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FF28C" w14:textId="77777777" w:rsidR="00B14ED8" w:rsidRPr="00CD42F5" w:rsidRDefault="00B14ED8" w:rsidP="00B14ED8">
      <w:pPr>
        <w:suppressAutoHyphens w:val="0"/>
        <w:spacing w:line="260" w:lineRule="exact"/>
        <w:ind w:firstLine="0"/>
        <w:jc w:val="center"/>
        <w:rPr>
          <w:sz w:val="52"/>
          <w:szCs w:val="52"/>
          <w:lang w:val="en-US" w:eastAsia="en-US"/>
        </w:rPr>
      </w:pPr>
    </w:p>
    <w:p w14:paraId="0FD8AE4B" w14:textId="77777777" w:rsidR="00B14ED8" w:rsidRPr="00CD42F5" w:rsidRDefault="00B14ED8" w:rsidP="00B14ED8">
      <w:pPr>
        <w:suppressAutoHyphens w:val="0"/>
        <w:spacing w:line="260" w:lineRule="exact"/>
        <w:ind w:firstLine="0"/>
        <w:jc w:val="center"/>
        <w:rPr>
          <w:sz w:val="52"/>
          <w:szCs w:val="52"/>
          <w:lang w:val="en-US" w:eastAsia="en-US"/>
        </w:rPr>
      </w:pPr>
    </w:p>
    <w:p w14:paraId="06A32706" w14:textId="77777777" w:rsidR="00B14ED8" w:rsidRPr="00CD42F5" w:rsidRDefault="00B14ED8" w:rsidP="00B14ED8">
      <w:pPr>
        <w:suppressAutoHyphens w:val="0"/>
        <w:spacing w:line="260" w:lineRule="exact"/>
        <w:ind w:firstLine="0"/>
        <w:jc w:val="center"/>
        <w:rPr>
          <w:sz w:val="52"/>
          <w:szCs w:val="52"/>
          <w:lang w:val="en-US" w:eastAsia="en-US"/>
        </w:rPr>
      </w:pPr>
    </w:p>
    <w:p w14:paraId="3C1CD85D" w14:textId="77777777" w:rsidR="00B14ED8" w:rsidRPr="00CD42F5" w:rsidRDefault="00B14ED8" w:rsidP="00B14ED8">
      <w:pPr>
        <w:suppressAutoHyphens w:val="0"/>
        <w:spacing w:line="260" w:lineRule="exact"/>
        <w:ind w:firstLine="0"/>
        <w:jc w:val="center"/>
        <w:rPr>
          <w:sz w:val="52"/>
          <w:szCs w:val="52"/>
          <w:lang w:val="en-US" w:eastAsia="en-US"/>
        </w:rPr>
      </w:pPr>
    </w:p>
    <w:p w14:paraId="39A530B1" w14:textId="77777777" w:rsidR="00B14ED8" w:rsidRPr="00CD42F5" w:rsidRDefault="00B14ED8" w:rsidP="00B14ED8">
      <w:pPr>
        <w:suppressAutoHyphens w:val="0"/>
        <w:spacing w:line="260" w:lineRule="exact"/>
        <w:ind w:firstLine="0"/>
        <w:jc w:val="center"/>
        <w:rPr>
          <w:sz w:val="52"/>
          <w:szCs w:val="52"/>
          <w:lang w:val="en-US" w:eastAsia="en-US"/>
        </w:rPr>
      </w:pPr>
    </w:p>
    <w:p w14:paraId="1149C607" w14:textId="77777777" w:rsidR="00B14ED8" w:rsidRPr="00CD42F5" w:rsidRDefault="00B14ED8" w:rsidP="00B14ED8">
      <w:pPr>
        <w:suppressAutoHyphens w:val="0"/>
        <w:spacing w:line="260" w:lineRule="exact"/>
        <w:ind w:firstLine="0"/>
        <w:jc w:val="center"/>
        <w:rPr>
          <w:sz w:val="52"/>
          <w:szCs w:val="52"/>
          <w:lang w:val="en-US" w:eastAsia="en-US"/>
        </w:rPr>
      </w:pPr>
    </w:p>
    <w:p w14:paraId="563EB835" w14:textId="77777777" w:rsidR="00B14ED8" w:rsidRPr="00CD42F5" w:rsidRDefault="00B14ED8" w:rsidP="00B14ED8">
      <w:pPr>
        <w:suppressAutoHyphens w:val="0"/>
        <w:spacing w:line="260" w:lineRule="exact"/>
        <w:ind w:firstLine="0"/>
        <w:jc w:val="center"/>
        <w:rPr>
          <w:sz w:val="52"/>
          <w:szCs w:val="52"/>
          <w:lang w:val="en-US" w:eastAsia="en-US"/>
        </w:rPr>
      </w:pPr>
    </w:p>
    <w:p w14:paraId="3F2DB5E6" w14:textId="77777777" w:rsidR="00B14ED8" w:rsidRPr="00CD42F5" w:rsidRDefault="00B14ED8" w:rsidP="00B14ED8">
      <w:pPr>
        <w:suppressAutoHyphens w:val="0"/>
        <w:spacing w:line="260" w:lineRule="exact"/>
        <w:ind w:firstLine="0"/>
        <w:jc w:val="center"/>
        <w:rPr>
          <w:sz w:val="52"/>
          <w:szCs w:val="52"/>
          <w:lang w:val="en-US" w:eastAsia="en-US"/>
        </w:rPr>
      </w:pPr>
    </w:p>
    <w:p w14:paraId="57A820EE" w14:textId="77777777" w:rsidR="00B14ED8" w:rsidRPr="00CD42F5" w:rsidRDefault="00B14ED8" w:rsidP="00B14ED8">
      <w:pPr>
        <w:suppressAutoHyphens w:val="0"/>
        <w:spacing w:line="260" w:lineRule="exact"/>
        <w:ind w:firstLine="0"/>
        <w:jc w:val="center"/>
        <w:rPr>
          <w:sz w:val="52"/>
          <w:szCs w:val="52"/>
          <w:lang w:val="en-US" w:eastAsia="en-US"/>
        </w:rPr>
      </w:pPr>
    </w:p>
    <w:p w14:paraId="68042546" w14:textId="77777777" w:rsidR="00B14ED8" w:rsidRPr="00CD42F5" w:rsidRDefault="00B14ED8" w:rsidP="00B14ED8">
      <w:pPr>
        <w:suppressAutoHyphens w:val="0"/>
        <w:spacing w:line="260" w:lineRule="exact"/>
        <w:ind w:firstLine="0"/>
        <w:jc w:val="center"/>
        <w:rPr>
          <w:sz w:val="52"/>
          <w:szCs w:val="52"/>
          <w:lang w:val="en-US" w:eastAsia="en-US"/>
        </w:rPr>
      </w:pPr>
    </w:p>
    <w:p w14:paraId="0216CDF8" w14:textId="77777777" w:rsidR="00B14ED8" w:rsidRPr="00CD42F5" w:rsidRDefault="00B14ED8" w:rsidP="00B14ED8">
      <w:pPr>
        <w:suppressAutoHyphens w:val="0"/>
        <w:spacing w:line="260" w:lineRule="exact"/>
        <w:ind w:firstLine="0"/>
        <w:jc w:val="center"/>
        <w:rPr>
          <w:sz w:val="52"/>
          <w:szCs w:val="52"/>
          <w:lang w:val="en-US" w:eastAsia="en-US"/>
        </w:rPr>
      </w:pPr>
    </w:p>
    <w:p w14:paraId="3FE846E9" w14:textId="77777777" w:rsidR="00B14ED8" w:rsidRPr="00CD42F5" w:rsidRDefault="00B14ED8" w:rsidP="00B14ED8">
      <w:pPr>
        <w:suppressAutoHyphens w:val="0"/>
        <w:spacing w:line="260" w:lineRule="exact"/>
        <w:ind w:firstLine="0"/>
        <w:jc w:val="center"/>
        <w:rPr>
          <w:b/>
          <w:sz w:val="48"/>
          <w:szCs w:val="48"/>
          <w:lang w:val="en-US" w:eastAsia="en-US"/>
        </w:rPr>
      </w:pPr>
    </w:p>
    <w:p w14:paraId="4CF52BBE" w14:textId="77777777" w:rsidR="00B14ED8" w:rsidRPr="00CD42F5" w:rsidRDefault="00B14ED8" w:rsidP="00B14ED8">
      <w:pPr>
        <w:suppressAutoHyphens w:val="0"/>
        <w:spacing w:line="260" w:lineRule="exact"/>
        <w:ind w:firstLine="0"/>
        <w:jc w:val="center"/>
        <w:rPr>
          <w:b/>
          <w:sz w:val="48"/>
          <w:szCs w:val="48"/>
          <w:lang w:val="en-US" w:eastAsia="en-US"/>
        </w:rPr>
      </w:pPr>
    </w:p>
    <w:p w14:paraId="749BF35C" w14:textId="77777777" w:rsidR="00B14ED8" w:rsidRPr="00CD42F5" w:rsidRDefault="00B14ED8" w:rsidP="00B14ED8">
      <w:pPr>
        <w:suppressAutoHyphens w:val="0"/>
        <w:spacing w:line="260" w:lineRule="exact"/>
        <w:ind w:firstLine="0"/>
        <w:jc w:val="center"/>
        <w:rPr>
          <w:b/>
          <w:sz w:val="48"/>
          <w:szCs w:val="48"/>
          <w:lang w:val="en-US" w:eastAsia="en-US"/>
        </w:rPr>
      </w:pPr>
    </w:p>
    <w:p w14:paraId="1DD3FA5F" w14:textId="77777777" w:rsidR="00B14ED8" w:rsidRPr="00CD42F5" w:rsidRDefault="00B14ED8" w:rsidP="00B14ED8">
      <w:pPr>
        <w:suppressAutoHyphens w:val="0"/>
        <w:spacing w:line="260" w:lineRule="exact"/>
        <w:ind w:firstLine="0"/>
        <w:jc w:val="center"/>
        <w:rPr>
          <w:b/>
          <w:sz w:val="48"/>
          <w:szCs w:val="48"/>
          <w:lang w:val="en-US" w:eastAsia="en-US"/>
        </w:rPr>
      </w:pPr>
    </w:p>
    <w:p w14:paraId="6838E25B" w14:textId="77777777" w:rsidR="00B14ED8" w:rsidRPr="00CD42F5" w:rsidRDefault="00B14ED8" w:rsidP="00B14ED8">
      <w:pPr>
        <w:suppressAutoHyphens w:val="0"/>
        <w:spacing w:line="260" w:lineRule="exact"/>
        <w:ind w:firstLine="0"/>
        <w:jc w:val="center"/>
        <w:rPr>
          <w:b/>
          <w:sz w:val="48"/>
          <w:szCs w:val="48"/>
          <w:lang w:val="en-US" w:eastAsia="en-US"/>
        </w:rPr>
      </w:pPr>
    </w:p>
    <w:p w14:paraId="6950A0B6" w14:textId="77777777" w:rsidR="00B14ED8" w:rsidRPr="00CD42F5" w:rsidRDefault="00B14ED8" w:rsidP="00B14ED8">
      <w:pPr>
        <w:suppressAutoHyphens w:val="0"/>
        <w:spacing w:line="260" w:lineRule="exact"/>
        <w:ind w:firstLine="0"/>
        <w:jc w:val="center"/>
        <w:rPr>
          <w:b/>
          <w:sz w:val="48"/>
          <w:szCs w:val="48"/>
          <w:lang w:val="en-US" w:eastAsia="en-US"/>
        </w:rPr>
      </w:pPr>
    </w:p>
    <w:p w14:paraId="55325649" w14:textId="77777777" w:rsidR="00B14ED8" w:rsidRPr="00CD42F5" w:rsidRDefault="00B14ED8" w:rsidP="00B14ED8">
      <w:pPr>
        <w:suppressAutoHyphens w:val="0"/>
        <w:spacing w:line="260" w:lineRule="exact"/>
        <w:ind w:firstLine="0"/>
        <w:jc w:val="center"/>
        <w:rPr>
          <w:b/>
          <w:sz w:val="48"/>
          <w:szCs w:val="48"/>
          <w:lang w:val="en-US" w:eastAsia="en-US"/>
        </w:rPr>
      </w:pPr>
    </w:p>
    <w:p w14:paraId="07250524" w14:textId="77777777" w:rsidR="00B14ED8" w:rsidRPr="00CD42F5" w:rsidRDefault="00B14ED8" w:rsidP="00B14ED8">
      <w:pPr>
        <w:suppressAutoHyphens w:val="0"/>
        <w:spacing w:line="400" w:lineRule="atLeast"/>
        <w:ind w:firstLine="0"/>
        <w:jc w:val="left"/>
        <w:rPr>
          <w:rFonts w:cs="Arial"/>
          <w:sz w:val="20"/>
          <w:lang w:val="en-US" w:eastAsia="en-US"/>
        </w:rPr>
      </w:pPr>
    </w:p>
    <w:p w14:paraId="3242E8A8" w14:textId="77777777" w:rsidR="00B14ED8" w:rsidRPr="00CD42F5" w:rsidRDefault="00B14ED8" w:rsidP="00B14ED8">
      <w:pPr>
        <w:suppressAutoHyphens w:val="0"/>
        <w:spacing w:line="400" w:lineRule="atLeast"/>
        <w:ind w:firstLine="0"/>
        <w:jc w:val="center"/>
        <w:rPr>
          <w:b/>
          <w:noProof/>
          <w:sz w:val="44"/>
          <w:szCs w:val="44"/>
          <w:lang w:eastAsia="en-US"/>
        </w:rPr>
      </w:pPr>
      <w:r w:rsidRPr="00CD42F5">
        <w:rPr>
          <w:b/>
          <w:noProof/>
          <w:sz w:val="44"/>
          <w:szCs w:val="44"/>
          <w:lang w:eastAsia="en-US"/>
        </w:rPr>
        <w:t>VSEBINSKO POROČILO</w:t>
      </w:r>
    </w:p>
    <w:p w14:paraId="4BE43FCF" w14:textId="77777777" w:rsidR="00B14ED8" w:rsidRPr="00CD42F5" w:rsidRDefault="00B14ED8" w:rsidP="00B14ED8">
      <w:pPr>
        <w:suppressAutoHyphens w:val="0"/>
        <w:spacing w:line="400" w:lineRule="atLeast"/>
        <w:ind w:firstLine="0"/>
        <w:jc w:val="center"/>
        <w:rPr>
          <w:b/>
          <w:noProof/>
          <w:sz w:val="44"/>
          <w:szCs w:val="44"/>
          <w:lang w:eastAsia="en-US"/>
        </w:rPr>
      </w:pPr>
      <w:r w:rsidRPr="00CD42F5">
        <w:rPr>
          <w:b/>
          <w:noProof/>
          <w:sz w:val="44"/>
          <w:szCs w:val="44"/>
          <w:lang w:eastAsia="en-US"/>
        </w:rPr>
        <w:t>O DELU UPRAVNIH ENOT</w:t>
      </w:r>
    </w:p>
    <w:p w14:paraId="0E70CCAE" w14:textId="13FF3EED" w:rsidR="00B14ED8" w:rsidRPr="00CD42F5" w:rsidRDefault="00B14ED8" w:rsidP="00B14ED8">
      <w:pPr>
        <w:suppressAutoHyphens w:val="0"/>
        <w:spacing w:line="400" w:lineRule="atLeast"/>
        <w:ind w:firstLine="0"/>
        <w:jc w:val="center"/>
        <w:rPr>
          <w:b/>
          <w:noProof/>
          <w:sz w:val="44"/>
          <w:szCs w:val="44"/>
          <w:lang w:eastAsia="en-US"/>
        </w:rPr>
      </w:pPr>
      <w:r w:rsidRPr="00CD42F5">
        <w:rPr>
          <w:b/>
          <w:noProof/>
          <w:sz w:val="44"/>
          <w:szCs w:val="44"/>
          <w:lang w:eastAsia="en-US"/>
        </w:rPr>
        <w:t>ZA LETO 202</w:t>
      </w:r>
      <w:r w:rsidR="001A4216">
        <w:rPr>
          <w:b/>
          <w:noProof/>
          <w:sz w:val="44"/>
          <w:szCs w:val="44"/>
          <w:lang w:eastAsia="en-US"/>
        </w:rPr>
        <w:t>5</w:t>
      </w:r>
    </w:p>
    <w:p w14:paraId="1868F8F1" w14:textId="77777777" w:rsidR="00B14ED8" w:rsidRPr="00CD42F5" w:rsidRDefault="00B14ED8" w:rsidP="00B14ED8">
      <w:pPr>
        <w:suppressAutoHyphens w:val="0"/>
        <w:spacing w:line="400" w:lineRule="atLeast"/>
        <w:ind w:firstLine="0"/>
        <w:jc w:val="center"/>
        <w:rPr>
          <w:b/>
          <w:sz w:val="44"/>
          <w:szCs w:val="44"/>
          <w:lang w:val="it-IT" w:eastAsia="en-US"/>
        </w:rPr>
      </w:pPr>
    </w:p>
    <w:p w14:paraId="0E230534" w14:textId="77777777" w:rsidR="00B14ED8" w:rsidRPr="00CD42F5" w:rsidRDefault="00B14ED8" w:rsidP="00B14ED8">
      <w:pPr>
        <w:suppressAutoHyphens w:val="0"/>
        <w:spacing w:line="400" w:lineRule="atLeast"/>
        <w:ind w:firstLine="0"/>
        <w:jc w:val="center"/>
        <w:rPr>
          <w:b/>
          <w:sz w:val="44"/>
          <w:szCs w:val="44"/>
          <w:lang w:val="it-IT" w:eastAsia="en-US"/>
        </w:rPr>
      </w:pPr>
    </w:p>
    <w:p w14:paraId="708B5296" w14:textId="77777777" w:rsidR="00B14ED8" w:rsidRPr="00CD42F5" w:rsidRDefault="00B14ED8" w:rsidP="00B14ED8">
      <w:pPr>
        <w:suppressAutoHyphens w:val="0"/>
        <w:spacing w:line="400" w:lineRule="atLeast"/>
        <w:ind w:firstLine="0"/>
        <w:jc w:val="center"/>
        <w:rPr>
          <w:b/>
          <w:sz w:val="44"/>
          <w:szCs w:val="44"/>
          <w:lang w:val="it-IT" w:eastAsia="en-US"/>
        </w:rPr>
      </w:pPr>
    </w:p>
    <w:p w14:paraId="2BEC3543" w14:textId="77777777" w:rsidR="00B14ED8" w:rsidRPr="00CD42F5" w:rsidRDefault="00B14ED8" w:rsidP="00B14ED8">
      <w:pPr>
        <w:suppressAutoHyphens w:val="0"/>
        <w:spacing w:line="400" w:lineRule="atLeast"/>
        <w:ind w:firstLine="0"/>
        <w:jc w:val="center"/>
        <w:rPr>
          <w:b/>
          <w:sz w:val="44"/>
          <w:szCs w:val="44"/>
          <w:lang w:val="it-IT" w:eastAsia="en-US"/>
        </w:rPr>
      </w:pPr>
    </w:p>
    <w:p w14:paraId="1FC40D0E" w14:textId="3EC5E091" w:rsidR="00B14ED8" w:rsidRPr="00CD42F5" w:rsidRDefault="00A32795" w:rsidP="00A32795">
      <w:pPr>
        <w:tabs>
          <w:tab w:val="left" w:pos="5595"/>
        </w:tabs>
        <w:suppressAutoHyphens w:val="0"/>
        <w:spacing w:line="400" w:lineRule="atLeast"/>
        <w:ind w:firstLine="0"/>
        <w:jc w:val="left"/>
        <w:rPr>
          <w:b/>
          <w:sz w:val="44"/>
          <w:szCs w:val="44"/>
          <w:lang w:val="it-IT" w:eastAsia="en-US"/>
        </w:rPr>
      </w:pPr>
      <w:r>
        <w:rPr>
          <w:b/>
          <w:sz w:val="44"/>
          <w:szCs w:val="44"/>
          <w:lang w:val="it-IT" w:eastAsia="en-US"/>
        </w:rPr>
        <w:tab/>
      </w:r>
    </w:p>
    <w:p w14:paraId="3F359107" w14:textId="77777777" w:rsidR="00B14ED8" w:rsidRPr="00CD42F5" w:rsidRDefault="00B14ED8" w:rsidP="00B14ED8">
      <w:pPr>
        <w:suppressAutoHyphens w:val="0"/>
        <w:spacing w:line="400" w:lineRule="atLeast"/>
        <w:ind w:firstLine="0"/>
        <w:jc w:val="center"/>
        <w:rPr>
          <w:b/>
          <w:sz w:val="44"/>
          <w:szCs w:val="44"/>
          <w:lang w:val="it-IT" w:eastAsia="en-US"/>
        </w:rPr>
      </w:pPr>
    </w:p>
    <w:p w14:paraId="05098334" w14:textId="77777777" w:rsidR="00B14ED8" w:rsidRPr="00CD42F5" w:rsidRDefault="00B14ED8" w:rsidP="00B14ED8">
      <w:pPr>
        <w:suppressAutoHyphens w:val="0"/>
        <w:spacing w:line="400" w:lineRule="atLeast"/>
        <w:ind w:firstLine="0"/>
        <w:jc w:val="center"/>
        <w:rPr>
          <w:b/>
          <w:sz w:val="44"/>
          <w:szCs w:val="44"/>
          <w:lang w:val="it-IT" w:eastAsia="en-US"/>
        </w:rPr>
      </w:pPr>
    </w:p>
    <w:p w14:paraId="58FB0435" w14:textId="77777777" w:rsidR="00B14ED8" w:rsidRPr="007D57FB" w:rsidRDefault="00B14ED8" w:rsidP="00B14ED8">
      <w:pPr>
        <w:suppressAutoHyphens w:val="0"/>
        <w:spacing w:line="400" w:lineRule="atLeast"/>
        <w:ind w:firstLine="0"/>
        <w:jc w:val="left"/>
        <w:rPr>
          <w:b/>
          <w:sz w:val="24"/>
          <w:lang w:val="it-IT" w:eastAsia="en-US"/>
        </w:rPr>
      </w:pPr>
    </w:p>
    <w:p w14:paraId="30DD4670" w14:textId="77777777" w:rsidR="00B14ED8" w:rsidRPr="00CD42F5" w:rsidRDefault="00B14ED8" w:rsidP="00B14ED8">
      <w:pPr>
        <w:suppressAutoHyphens w:val="0"/>
        <w:spacing w:line="400" w:lineRule="atLeast"/>
        <w:ind w:firstLine="0"/>
        <w:jc w:val="left"/>
        <w:rPr>
          <w:b/>
          <w:sz w:val="24"/>
          <w:lang w:val="it-IT" w:eastAsia="en-US"/>
        </w:rPr>
      </w:pPr>
    </w:p>
    <w:p w14:paraId="33E400B8" w14:textId="77777777" w:rsidR="00B14ED8" w:rsidRPr="00CD42F5" w:rsidRDefault="00B14ED8" w:rsidP="00B14ED8">
      <w:pPr>
        <w:suppressAutoHyphens w:val="0"/>
        <w:spacing w:line="400" w:lineRule="atLeast"/>
        <w:ind w:firstLine="0"/>
        <w:jc w:val="left"/>
        <w:rPr>
          <w:b/>
          <w:sz w:val="24"/>
          <w:lang w:val="it-IT" w:eastAsia="en-US"/>
        </w:rPr>
      </w:pPr>
    </w:p>
    <w:p w14:paraId="4CFC5801" w14:textId="77777777" w:rsidR="00B14ED8" w:rsidRPr="00CD42F5" w:rsidRDefault="00B14ED8" w:rsidP="00B14ED8">
      <w:pPr>
        <w:suppressAutoHyphens w:val="0"/>
        <w:spacing w:line="400" w:lineRule="atLeast"/>
        <w:ind w:firstLine="0"/>
        <w:jc w:val="left"/>
        <w:rPr>
          <w:b/>
          <w:sz w:val="24"/>
          <w:lang w:val="it-IT" w:eastAsia="en-US"/>
        </w:rPr>
      </w:pPr>
    </w:p>
    <w:p w14:paraId="07C8EAF2" w14:textId="0B57728F" w:rsidR="00B14ED8" w:rsidRPr="00CD42F5" w:rsidRDefault="00B14ED8" w:rsidP="00B14ED8">
      <w:pPr>
        <w:suppressAutoHyphens w:val="0"/>
        <w:spacing w:line="400" w:lineRule="atLeast"/>
        <w:ind w:firstLine="0"/>
        <w:jc w:val="left"/>
        <w:rPr>
          <w:noProof/>
          <w:szCs w:val="22"/>
          <w:lang w:eastAsia="en-US"/>
        </w:rPr>
      </w:pPr>
      <w:r w:rsidRPr="00CD42F5">
        <w:rPr>
          <w:noProof/>
          <w:szCs w:val="22"/>
          <w:lang w:eastAsia="en-US"/>
        </w:rPr>
        <w:t>Ljubljana, marec 202</w:t>
      </w:r>
      <w:r w:rsidR="001A4216">
        <w:rPr>
          <w:noProof/>
          <w:szCs w:val="22"/>
          <w:lang w:eastAsia="en-US"/>
        </w:rPr>
        <w:t>6</w:t>
      </w:r>
    </w:p>
    <w:p w14:paraId="41E9EB74" w14:textId="77777777" w:rsidR="00B14ED8" w:rsidRDefault="00B14ED8" w:rsidP="00B14ED8">
      <w:pPr>
        <w:suppressAutoHyphens w:val="0"/>
        <w:spacing w:after="160" w:line="259" w:lineRule="auto"/>
        <w:ind w:firstLine="0"/>
        <w:jc w:val="left"/>
        <w:rPr>
          <w:rFonts w:cs="Arial"/>
          <w:b/>
          <w:bCs/>
          <w:sz w:val="32"/>
          <w:szCs w:val="32"/>
        </w:rPr>
      </w:pPr>
      <w:r>
        <w:rPr>
          <w:rFonts w:cs="Arial"/>
          <w:b/>
          <w:bCs/>
          <w:sz w:val="32"/>
          <w:szCs w:val="32"/>
        </w:rPr>
        <w:br w:type="page"/>
      </w:r>
    </w:p>
    <w:p w14:paraId="458515FC" w14:textId="535872FD" w:rsidR="00EC1484" w:rsidRPr="001C6E2A" w:rsidRDefault="00B14ED8" w:rsidP="001C6E2A">
      <w:pPr>
        <w:ind w:firstLine="0"/>
        <w:rPr>
          <w:rFonts w:cs="Arial"/>
          <w:b/>
          <w:bCs/>
          <w:sz w:val="32"/>
          <w:szCs w:val="32"/>
        </w:rPr>
      </w:pPr>
      <w:r w:rsidRPr="001C6E2A">
        <w:rPr>
          <w:rFonts w:cs="Arial"/>
          <w:b/>
          <w:bCs/>
          <w:sz w:val="32"/>
          <w:szCs w:val="32"/>
        </w:rPr>
        <w:lastRenderedPageBreak/>
        <w:t>UVOD</w:t>
      </w:r>
    </w:p>
    <w:p w14:paraId="6779CD35" w14:textId="334BCC17" w:rsidR="00EC1484" w:rsidRPr="00EC1484" w:rsidRDefault="00CF03EB" w:rsidP="00EC1484">
      <w:pPr>
        <w:ind w:firstLine="284"/>
        <w:rPr>
          <w:rFonts w:cs="Arial"/>
          <w:szCs w:val="22"/>
        </w:rPr>
      </w:pPr>
      <w:r>
        <w:rPr>
          <w:rFonts w:cs="Arial"/>
          <w:szCs w:val="22"/>
        </w:rPr>
        <w:t xml:space="preserve">Vsebinsko </w:t>
      </w:r>
      <w:r w:rsidR="00EC1484" w:rsidRPr="00EC1484">
        <w:rPr>
          <w:rFonts w:cs="Arial"/>
          <w:szCs w:val="22"/>
        </w:rPr>
        <w:t xml:space="preserve">poročilo o delu upravnih enot </w:t>
      </w:r>
      <w:r>
        <w:rPr>
          <w:rFonts w:cs="Arial"/>
          <w:szCs w:val="22"/>
        </w:rPr>
        <w:t xml:space="preserve">za leto 2025 </w:t>
      </w:r>
      <w:r w:rsidR="00EC1484" w:rsidRPr="00EC1484">
        <w:rPr>
          <w:rFonts w:cs="Arial"/>
          <w:szCs w:val="22"/>
        </w:rPr>
        <w:t>pri</w:t>
      </w:r>
      <w:r>
        <w:rPr>
          <w:rFonts w:cs="Arial"/>
          <w:szCs w:val="22"/>
        </w:rPr>
        <w:t>kazuje</w:t>
      </w:r>
      <w:r w:rsidR="00EC1484" w:rsidRPr="00EC1484">
        <w:rPr>
          <w:rFonts w:cs="Arial"/>
          <w:szCs w:val="22"/>
        </w:rPr>
        <w:t xml:space="preserve"> celovit vpogled v </w:t>
      </w:r>
      <w:r>
        <w:rPr>
          <w:rFonts w:cs="Arial"/>
          <w:szCs w:val="22"/>
        </w:rPr>
        <w:t>delo upravnih enot</w:t>
      </w:r>
      <w:r w:rsidR="00EC1484" w:rsidRPr="00EC1484">
        <w:rPr>
          <w:rFonts w:cs="Arial"/>
          <w:szCs w:val="22"/>
        </w:rPr>
        <w:t xml:space="preserve"> </w:t>
      </w:r>
      <w:r>
        <w:rPr>
          <w:rFonts w:cs="Arial"/>
          <w:szCs w:val="22"/>
        </w:rPr>
        <w:t>za leto</w:t>
      </w:r>
      <w:r w:rsidR="00EC1484" w:rsidRPr="00EC1484">
        <w:rPr>
          <w:rFonts w:cs="Arial"/>
          <w:szCs w:val="22"/>
        </w:rPr>
        <w:t xml:space="preserve"> 2025. Temelji na poročilih, ki so jih upravne enote pripravile skladno z enotno metodologijo, </w:t>
      </w:r>
      <w:r>
        <w:rPr>
          <w:rFonts w:cs="Arial"/>
          <w:szCs w:val="22"/>
        </w:rPr>
        <w:t xml:space="preserve">zaradi </w:t>
      </w:r>
      <w:r w:rsidR="00EC1484" w:rsidRPr="00EC1484">
        <w:rPr>
          <w:rFonts w:cs="Arial"/>
          <w:szCs w:val="22"/>
        </w:rPr>
        <w:t>zagotavlja</w:t>
      </w:r>
      <w:r>
        <w:rPr>
          <w:rFonts w:cs="Arial"/>
          <w:szCs w:val="22"/>
        </w:rPr>
        <w:t>nja njihove</w:t>
      </w:r>
      <w:r w:rsidR="00EC1484" w:rsidRPr="00EC1484">
        <w:rPr>
          <w:rFonts w:cs="Arial"/>
          <w:szCs w:val="22"/>
        </w:rPr>
        <w:t xml:space="preserve"> primerljivost</w:t>
      </w:r>
      <w:r>
        <w:rPr>
          <w:rFonts w:cs="Arial"/>
          <w:szCs w:val="22"/>
        </w:rPr>
        <w:t xml:space="preserve">i ter zagotavljanja </w:t>
      </w:r>
      <w:r w:rsidR="00EC1484" w:rsidRPr="00EC1484">
        <w:rPr>
          <w:rFonts w:cs="Arial"/>
          <w:szCs w:val="22"/>
        </w:rPr>
        <w:t>transparentnost</w:t>
      </w:r>
      <w:r>
        <w:rPr>
          <w:rFonts w:cs="Arial"/>
          <w:szCs w:val="22"/>
        </w:rPr>
        <w:t>i</w:t>
      </w:r>
      <w:r w:rsidR="00EC1484" w:rsidRPr="00EC1484">
        <w:rPr>
          <w:rFonts w:cs="Arial"/>
          <w:szCs w:val="22"/>
        </w:rPr>
        <w:t xml:space="preserve"> in kakovost</w:t>
      </w:r>
      <w:r>
        <w:rPr>
          <w:rFonts w:cs="Arial"/>
          <w:szCs w:val="22"/>
        </w:rPr>
        <w:t>i</w:t>
      </w:r>
      <w:r w:rsidR="00EC1484" w:rsidRPr="00EC1484">
        <w:rPr>
          <w:rFonts w:cs="Arial"/>
          <w:szCs w:val="22"/>
        </w:rPr>
        <w:t xml:space="preserve"> predstavljenih podatkov.</w:t>
      </w:r>
    </w:p>
    <w:p w14:paraId="7593804F" w14:textId="77777777" w:rsidR="00EC1484" w:rsidRPr="00EC1484" w:rsidRDefault="00EC1484" w:rsidP="00EC1484">
      <w:pPr>
        <w:ind w:firstLine="0"/>
        <w:rPr>
          <w:rFonts w:cs="Arial"/>
          <w:szCs w:val="22"/>
        </w:rPr>
      </w:pPr>
    </w:p>
    <w:p w14:paraId="73248852" w14:textId="2D047591" w:rsidR="00EC1484" w:rsidRDefault="00EC1484" w:rsidP="00EC1484">
      <w:pPr>
        <w:ind w:firstLine="426"/>
        <w:rPr>
          <w:rFonts w:cs="Arial"/>
          <w:szCs w:val="22"/>
        </w:rPr>
      </w:pPr>
      <w:r w:rsidRPr="00EC1484">
        <w:rPr>
          <w:rFonts w:cs="Arial"/>
          <w:szCs w:val="22"/>
        </w:rPr>
        <w:t>Dokument združuje ključna področja delovanja</w:t>
      </w:r>
      <w:r>
        <w:rPr>
          <w:rFonts w:cs="Arial"/>
          <w:szCs w:val="22"/>
        </w:rPr>
        <w:t xml:space="preserve"> upravnih enot</w:t>
      </w:r>
      <w:r w:rsidRPr="00EC1484">
        <w:rPr>
          <w:rFonts w:cs="Arial"/>
          <w:szCs w:val="22"/>
        </w:rPr>
        <w:t xml:space="preserve"> – od vsebinskega in poslovnega poročila, do pregleda dela krajevnih uradov ter podrobnejšega poročila o sklepanju zakonskih zvez. Skupaj predstavljajo celostno sliko prizadevanj upravnih enot za učinkovito, zanesljivo in uporabnikom prijazno izvajanje </w:t>
      </w:r>
      <w:r w:rsidR="00CF03EB">
        <w:rPr>
          <w:rFonts w:cs="Arial"/>
          <w:szCs w:val="22"/>
        </w:rPr>
        <w:t>upravnih</w:t>
      </w:r>
      <w:r w:rsidRPr="00EC1484">
        <w:rPr>
          <w:rFonts w:cs="Arial"/>
          <w:szCs w:val="22"/>
        </w:rPr>
        <w:t xml:space="preserve"> storitev</w:t>
      </w:r>
      <w:r>
        <w:rPr>
          <w:rFonts w:cs="Arial"/>
          <w:szCs w:val="22"/>
        </w:rPr>
        <w:t xml:space="preserve">. </w:t>
      </w:r>
      <w:r w:rsidR="00F21CCB">
        <w:rPr>
          <w:rFonts w:cs="Arial"/>
          <w:szCs w:val="22"/>
        </w:rPr>
        <w:t xml:space="preserve">Vsebinsko poročilo </w:t>
      </w:r>
      <w:r w:rsidR="00CF03EB">
        <w:rPr>
          <w:rFonts w:cs="Arial"/>
          <w:szCs w:val="22"/>
        </w:rPr>
        <w:t xml:space="preserve">o delu upravnih enot </w:t>
      </w:r>
      <w:r w:rsidR="00F21CCB">
        <w:rPr>
          <w:rFonts w:cs="Arial"/>
          <w:szCs w:val="22"/>
        </w:rPr>
        <w:t>za leto 2025</w:t>
      </w:r>
      <w:r w:rsidRPr="00EC1484">
        <w:rPr>
          <w:rFonts w:cs="Arial"/>
          <w:szCs w:val="22"/>
        </w:rPr>
        <w:t xml:space="preserve"> poročilo tako ni le povzetek opravljenega dela, temveč tudi odraz zavezanosti</w:t>
      </w:r>
      <w:r w:rsidR="00F21CCB">
        <w:rPr>
          <w:rFonts w:cs="Arial"/>
          <w:szCs w:val="22"/>
        </w:rPr>
        <w:t xml:space="preserve"> h</w:t>
      </w:r>
      <w:r w:rsidRPr="00EC1484">
        <w:rPr>
          <w:rFonts w:cs="Arial"/>
          <w:szCs w:val="22"/>
        </w:rPr>
        <w:t xml:space="preserve"> kakovosti, strokovnosti in </w:t>
      </w:r>
      <w:r w:rsidR="00F21CCB">
        <w:rPr>
          <w:rFonts w:cs="Arial"/>
          <w:szCs w:val="22"/>
        </w:rPr>
        <w:t xml:space="preserve">nadaljnjemu </w:t>
      </w:r>
      <w:r w:rsidRPr="00EC1484">
        <w:rPr>
          <w:rFonts w:cs="Arial"/>
          <w:szCs w:val="22"/>
        </w:rPr>
        <w:t xml:space="preserve">izboljševanju </w:t>
      </w:r>
      <w:r w:rsidR="00CF03EB">
        <w:rPr>
          <w:rFonts w:cs="Arial"/>
          <w:szCs w:val="22"/>
        </w:rPr>
        <w:t>samega sistema upravnih enot na področjih njihovega delovanja</w:t>
      </w:r>
      <w:r w:rsidRPr="00EC1484">
        <w:rPr>
          <w:rFonts w:cs="Arial"/>
          <w:szCs w:val="22"/>
        </w:rPr>
        <w:t>.</w:t>
      </w:r>
    </w:p>
    <w:p w14:paraId="0A2E0649" w14:textId="0094B38A" w:rsidR="00B14ED8" w:rsidRDefault="00B14ED8" w:rsidP="001C6E2A">
      <w:pPr>
        <w:pStyle w:val="Naslov1"/>
        <w:numPr>
          <w:ilvl w:val="0"/>
          <w:numId w:val="11"/>
        </w:numPr>
      </w:pPr>
      <w:r w:rsidRPr="00E16A78">
        <w:t>ORGANIZIRANOST UPRAVNIH ENOT</w:t>
      </w:r>
    </w:p>
    <w:p w14:paraId="3CF5E056" w14:textId="1F1F16DE" w:rsidR="00EC1484" w:rsidRDefault="00EC1484" w:rsidP="00EC1484">
      <w:pPr>
        <w:rPr>
          <w:lang w:eastAsia="sl-SI"/>
        </w:rPr>
      </w:pPr>
      <w:r w:rsidRPr="00EC1484">
        <w:rPr>
          <w:lang w:eastAsia="sl-SI"/>
        </w:rPr>
        <w:t>Državna uprava v Republiki Sloveniji deluje kot sodoben, k uporabnikom usmerjen sistem. Upravne naloge na prvi stopnji se praviloma izvajajo preko mreže 58 upravnih enot, ki tvorijo dekoncentrirano strukturo po Zakonu o državni upravi (ZDU).</w:t>
      </w:r>
    </w:p>
    <w:p w14:paraId="384B38D1" w14:textId="77777777" w:rsidR="00EC1484" w:rsidRPr="00EC1484" w:rsidRDefault="00EC1484" w:rsidP="00EC1484">
      <w:pPr>
        <w:rPr>
          <w:lang w:eastAsia="sl-SI"/>
        </w:rPr>
      </w:pPr>
    </w:p>
    <w:p w14:paraId="232483AE" w14:textId="1D129D25" w:rsidR="00EC1484" w:rsidRDefault="00EC1484" w:rsidP="00EC1484">
      <w:pPr>
        <w:rPr>
          <w:lang w:eastAsia="sl-SI"/>
        </w:rPr>
      </w:pPr>
      <w:r w:rsidRPr="00EC1484">
        <w:rPr>
          <w:lang w:eastAsia="sl-SI"/>
        </w:rPr>
        <w:t xml:space="preserve">Ključna prednost takšne organiziranosti je enakomerna porazdelitev po celotnem teritoriju države, kar omogoča neposreden dostop do upravnih </w:t>
      </w:r>
      <w:r w:rsidR="00CF03EB">
        <w:rPr>
          <w:lang w:eastAsia="sl-SI"/>
        </w:rPr>
        <w:t xml:space="preserve">storitev </w:t>
      </w:r>
      <w:r w:rsidRPr="00EC1484">
        <w:rPr>
          <w:lang w:eastAsia="sl-SI"/>
        </w:rPr>
        <w:t>različnih ministrstev. Z letnim obsegom preko treh milijonov obdelanih zadev – od upravnih</w:t>
      </w:r>
      <w:r>
        <w:rPr>
          <w:lang w:eastAsia="sl-SI"/>
        </w:rPr>
        <w:t xml:space="preserve"> zadev</w:t>
      </w:r>
      <w:r w:rsidRPr="00EC1484">
        <w:rPr>
          <w:lang w:eastAsia="sl-SI"/>
        </w:rPr>
        <w:t xml:space="preserve"> in prekrškovnih postopkov do </w:t>
      </w:r>
      <w:r>
        <w:rPr>
          <w:lang w:eastAsia="sl-SI"/>
        </w:rPr>
        <w:t>drugih upravnih</w:t>
      </w:r>
      <w:r w:rsidRPr="00EC1484">
        <w:rPr>
          <w:lang w:eastAsia="sl-SI"/>
        </w:rPr>
        <w:t xml:space="preserve"> nalog</w:t>
      </w:r>
      <w:r w:rsidR="00CF03EB">
        <w:rPr>
          <w:lang w:eastAsia="sl-SI"/>
        </w:rPr>
        <w:t>,</w:t>
      </w:r>
      <w:r w:rsidRPr="00EC1484">
        <w:rPr>
          <w:lang w:eastAsia="sl-SI"/>
        </w:rPr>
        <w:t xml:space="preserve"> </w:t>
      </w:r>
      <w:r w:rsidR="00F21CCB">
        <w:rPr>
          <w:lang w:eastAsia="sl-SI"/>
        </w:rPr>
        <w:t>upravne enote predstavljajo</w:t>
      </w:r>
      <w:r w:rsidRPr="00EC1484">
        <w:rPr>
          <w:lang w:eastAsia="sl-SI"/>
        </w:rPr>
        <w:t xml:space="preserve"> osrednj</w:t>
      </w:r>
      <w:r>
        <w:rPr>
          <w:lang w:eastAsia="sl-SI"/>
        </w:rPr>
        <w:t>i</w:t>
      </w:r>
      <w:r w:rsidRPr="00EC1484">
        <w:rPr>
          <w:lang w:eastAsia="sl-SI"/>
        </w:rPr>
        <w:t xml:space="preserve"> stebra </w:t>
      </w:r>
      <w:r w:rsidR="00CF03EB">
        <w:rPr>
          <w:lang w:eastAsia="sl-SI"/>
        </w:rPr>
        <w:t>zagotavljanja</w:t>
      </w:r>
      <w:r w:rsidRPr="00EC1484">
        <w:rPr>
          <w:lang w:eastAsia="sl-SI"/>
        </w:rPr>
        <w:t xml:space="preserve"> dostopne in učinkovite javne uprave.</w:t>
      </w:r>
    </w:p>
    <w:p w14:paraId="720D97FB" w14:textId="36D2F7CE" w:rsidR="00B14ED8" w:rsidRDefault="00B14ED8" w:rsidP="001C6E2A">
      <w:pPr>
        <w:pStyle w:val="Naslov1"/>
        <w:numPr>
          <w:ilvl w:val="0"/>
          <w:numId w:val="11"/>
        </w:numPr>
      </w:pPr>
      <w:r w:rsidRPr="0046008E">
        <w:t>KADROVSKE ZADEVE</w:t>
      </w:r>
    </w:p>
    <w:p w14:paraId="7895417F" w14:textId="7C60E4EA" w:rsidR="0023211B" w:rsidRPr="0023211B" w:rsidRDefault="0023211B" w:rsidP="0023211B">
      <w:pPr>
        <w:rPr>
          <w:rFonts w:cs="Arial"/>
          <w:bCs/>
          <w:szCs w:val="22"/>
        </w:rPr>
      </w:pPr>
      <w:r w:rsidRPr="0023211B">
        <w:rPr>
          <w:rFonts w:cs="Arial"/>
          <w:bCs/>
          <w:szCs w:val="22"/>
        </w:rPr>
        <w:t>Poročilo podrobno analizira kadrovske podatke upravnih enot za obdobje 2020 – 2025. Analiza zajema trende v nazivih in stopnjah nazivov na uradniških delovnih mestih, stanje na strokovno-tehničnih delovnih mestih, razporeditev zaposlenih po tarifnih razredih ter spremembe v strukturi uslužbencev med posameznimi upravnimi enotami.</w:t>
      </w:r>
    </w:p>
    <w:p w14:paraId="20FF5FCA" w14:textId="77777777" w:rsidR="0023211B" w:rsidRDefault="0023211B" w:rsidP="0023211B">
      <w:pPr>
        <w:rPr>
          <w:rFonts w:cs="Arial"/>
          <w:bCs/>
          <w:szCs w:val="22"/>
        </w:rPr>
      </w:pPr>
    </w:p>
    <w:p w14:paraId="10FE8F50" w14:textId="63D94380" w:rsidR="0023211B" w:rsidRPr="0023211B" w:rsidRDefault="0023211B" w:rsidP="0023211B">
      <w:pPr>
        <w:rPr>
          <w:rFonts w:cs="Arial"/>
          <w:bCs/>
          <w:szCs w:val="22"/>
        </w:rPr>
      </w:pPr>
      <w:r w:rsidRPr="0023211B">
        <w:rPr>
          <w:rFonts w:cs="Arial"/>
          <w:bCs/>
          <w:szCs w:val="22"/>
        </w:rPr>
        <w:t>V navedenem obdobju se je skupno število zaposlenih v upravnih enotah povečalo z 2.305 v letu 2020 na 2.430 v letu 2025. Med letoma 2024 in 2025 je kljub splošnemu porastu zaposlenih zaznan manjši upad skupnega števila javnih uslužbencev.</w:t>
      </w:r>
    </w:p>
    <w:p w14:paraId="32491E87" w14:textId="77777777" w:rsidR="0023211B" w:rsidRDefault="0023211B" w:rsidP="0023211B">
      <w:pPr>
        <w:rPr>
          <w:rFonts w:cs="Arial"/>
          <w:bCs/>
          <w:szCs w:val="22"/>
        </w:rPr>
      </w:pPr>
    </w:p>
    <w:p w14:paraId="10CCB261" w14:textId="000A9D81" w:rsidR="0023211B" w:rsidRPr="0023211B" w:rsidRDefault="0023211B" w:rsidP="0023211B">
      <w:pPr>
        <w:rPr>
          <w:rFonts w:cs="Arial"/>
          <w:bCs/>
          <w:szCs w:val="22"/>
        </w:rPr>
      </w:pPr>
      <w:r w:rsidRPr="0023211B">
        <w:rPr>
          <w:rFonts w:cs="Arial"/>
          <w:bCs/>
          <w:szCs w:val="22"/>
        </w:rPr>
        <w:t>V letu 2025 je bilo v upravnih enotah zaposlenih 2.022 uradnikov in 408 strokovno-tehničnih delavcev. Navedeni podatki kažejo na zmanjšanje obsega strokovno-tehničnih delovnih mest glede na leto 2020. Spremembe v razmerju med skupinami zaposlenih nakazujejo postopne strukturne in kadrovske premike znotraj upravnih enot.</w:t>
      </w:r>
    </w:p>
    <w:p w14:paraId="4D49197E" w14:textId="77777777" w:rsidR="00182C20" w:rsidRPr="00182C20" w:rsidRDefault="00182C20" w:rsidP="00182C20">
      <w:pPr>
        <w:rPr>
          <w:rFonts w:cs="Arial"/>
          <w:bCs/>
          <w:szCs w:val="22"/>
        </w:rPr>
      </w:pPr>
    </w:p>
    <w:p w14:paraId="306CC37F" w14:textId="3DC108A7" w:rsidR="00182C20" w:rsidRPr="00182C20" w:rsidRDefault="00182C20" w:rsidP="00182C20">
      <w:pPr>
        <w:ind w:firstLine="0"/>
        <w:rPr>
          <w:rFonts w:cs="Arial"/>
          <w:bCs/>
          <w:szCs w:val="22"/>
        </w:rPr>
      </w:pPr>
      <w:r w:rsidRPr="00182C20">
        <w:rPr>
          <w:rFonts w:cs="Arial"/>
          <w:noProof/>
          <w:szCs w:val="22"/>
        </w:rPr>
        <w:lastRenderedPageBreak/>
        <w:drawing>
          <wp:inline distT="0" distB="0" distL="0" distR="0" wp14:anchorId="3175BEB1" wp14:editId="14AC3B64">
            <wp:extent cx="5396230" cy="3013371"/>
            <wp:effectExtent l="0" t="0" r="13970" b="15875"/>
            <wp:docPr id="260239814" name="Grafikon 1" descr="Graf prikazuje število javnih uslužbencev v letih od 2020 do vključno 2024, ločeno po strokovno tehničnih delavcih in uradnikih. Izgled je naloženi stolpični grafikon.">
              <a:extLst xmlns:a="http://schemas.openxmlformats.org/drawingml/2006/main">
                <a:ext uri="{FF2B5EF4-FFF2-40B4-BE49-F238E27FC236}">
                  <a16:creationId xmlns:a16="http://schemas.microsoft.com/office/drawing/2014/main" id="{3C373C92-4D77-1928-574E-EA9AF40F28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B3F11E4" w14:textId="38BBD1CC" w:rsidR="00182C20" w:rsidRPr="00182C20" w:rsidRDefault="00182C20" w:rsidP="00641A5A">
      <w:pPr>
        <w:spacing w:after="200" w:line="240" w:lineRule="auto"/>
        <w:rPr>
          <w:rFonts w:cs="Arial"/>
          <w:i/>
          <w:iCs/>
          <w:color w:val="0E2841"/>
          <w:sz w:val="18"/>
          <w:szCs w:val="22"/>
        </w:rPr>
      </w:pPr>
      <w:r w:rsidRPr="00182C20">
        <w:rPr>
          <w:i/>
          <w:iCs/>
          <w:color w:val="0E2841"/>
          <w:sz w:val="18"/>
          <w:szCs w:val="18"/>
        </w:rPr>
        <w:t xml:space="preserve">Slika </w:t>
      </w:r>
      <w:r w:rsidRPr="00182C20">
        <w:rPr>
          <w:i/>
          <w:iCs/>
          <w:color w:val="0E2841"/>
          <w:sz w:val="18"/>
          <w:szCs w:val="18"/>
        </w:rPr>
        <w:fldChar w:fldCharType="begin"/>
      </w:r>
      <w:r w:rsidRPr="00182C20">
        <w:rPr>
          <w:i/>
          <w:iCs/>
          <w:color w:val="0E2841"/>
          <w:sz w:val="18"/>
          <w:szCs w:val="18"/>
        </w:rPr>
        <w:instrText xml:space="preserve"> SEQ Slika \* ARABIC </w:instrText>
      </w:r>
      <w:r w:rsidRPr="00182C20">
        <w:rPr>
          <w:i/>
          <w:iCs/>
          <w:color w:val="0E2841"/>
          <w:sz w:val="18"/>
          <w:szCs w:val="18"/>
        </w:rPr>
        <w:fldChar w:fldCharType="separate"/>
      </w:r>
      <w:r w:rsidRPr="00182C20">
        <w:rPr>
          <w:i/>
          <w:iCs/>
          <w:noProof/>
          <w:color w:val="0E2841"/>
          <w:sz w:val="18"/>
          <w:szCs w:val="18"/>
        </w:rPr>
        <w:t>1</w:t>
      </w:r>
      <w:r w:rsidRPr="00182C20">
        <w:rPr>
          <w:i/>
          <w:iCs/>
          <w:color w:val="0E2841"/>
          <w:sz w:val="18"/>
          <w:szCs w:val="18"/>
        </w:rPr>
        <w:fldChar w:fldCharType="end"/>
      </w:r>
      <w:r w:rsidRPr="00182C20">
        <w:rPr>
          <w:i/>
          <w:iCs/>
          <w:color w:val="0E2841"/>
          <w:sz w:val="18"/>
          <w:szCs w:val="18"/>
        </w:rPr>
        <w:t>: število javnih uslužbencev upravnih enot po letih</w:t>
      </w:r>
    </w:p>
    <w:p w14:paraId="4C72B61F" w14:textId="73C1FCC9" w:rsidR="0023211B" w:rsidRPr="0023211B" w:rsidRDefault="0023211B" w:rsidP="0023211B">
      <w:pPr>
        <w:suppressAutoHyphens w:val="0"/>
        <w:spacing w:after="160"/>
        <w:rPr>
          <w:rFonts w:eastAsia="Aptos" w:cs="Arial"/>
          <w:bCs/>
          <w:kern w:val="2"/>
          <w:szCs w:val="22"/>
          <w:lang w:eastAsia="en-US"/>
          <w14:ligatures w14:val="standardContextual"/>
        </w:rPr>
      </w:pPr>
      <w:r w:rsidRPr="0023211B">
        <w:rPr>
          <w:rFonts w:eastAsia="Aptos" w:cs="Arial"/>
          <w:bCs/>
          <w:kern w:val="2"/>
          <w:szCs w:val="22"/>
          <w:lang w:eastAsia="en-US"/>
          <w14:ligatures w14:val="standardContextual"/>
        </w:rPr>
        <w:t>Analiza strukture zaposlenih po tarifnih skupinah v obdobju 2020-2025 kaže, da je največ javnih uslužbencev uvrščenih v tarifno skupino VII/1. V letu 2024 je bilo v tej skupini evidentiranih 1.635 zaposlenih. V letu 2025 je bilo v tarifni skupini VII/1 evidentiranih1.666 zaposlenih. To odraža visoko zastopanost delovnih mest svetovalcev in višjih svetovalcev. V navedenem obdobju je v tarifnem razredu V prišlo do zmanjšanja števila zaposlenih s 652 na 420, kar odraža trend postopnega zmanjševanja obsega nižjih tarifnih razredov v upravnih enotah.</w:t>
      </w:r>
    </w:p>
    <w:p w14:paraId="05FE5041" w14:textId="77777777" w:rsidR="00182C20" w:rsidRDefault="00182C20" w:rsidP="00182C20">
      <w:pPr>
        <w:ind w:firstLine="0"/>
        <w:rPr>
          <w:rFonts w:cs="Arial"/>
          <w:szCs w:val="22"/>
        </w:rPr>
      </w:pPr>
    </w:p>
    <w:p w14:paraId="62C72990" w14:textId="1DA5570E" w:rsidR="00182C20" w:rsidRPr="00182C20" w:rsidRDefault="00182C20" w:rsidP="00182C20">
      <w:pPr>
        <w:ind w:firstLine="0"/>
        <w:rPr>
          <w:rFonts w:cs="Arial"/>
          <w:bCs/>
          <w:szCs w:val="22"/>
        </w:rPr>
      </w:pPr>
      <w:r>
        <w:rPr>
          <w:noProof/>
        </w:rPr>
        <w:drawing>
          <wp:inline distT="0" distB="0" distL="0" distR="0" wp14:anchorId="6B097772" wp14:editId="1680C62E">
            <wp:extent cx="5396230" cy="3142711"/>
            <wp:effectExtent l="0" t="0" r="13970" b="635"/>
            <wp:docPr id="719251790" name="Grafikon 1" descr="graf prikazuje število javnih uslužbencih v letih 2020 do vključno 2024 glede na tarifno skupino">
              <a:extLst xmlns:a="http://schemas.openxmlformats.org/drawingml/2006/main">
                <a:ext uri="{FF2B5EF4-FFF2-40B4-BE49-F238E27FC236}">
                  <a16:creationId xmlns:a16="http://schemas.microsoft.com/office/drawing/2014/main" id="{ED3D45F7-8815-5437-1430-14C9E3CAA5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37D603B" w14:textId="399CB92F" w:rsidR="00182C20" w:rsidRPr="00182C20" w:rsidRDefault="00182C20" w:rsidP="00641A5A">
      <w:pPr>
        <w:spacing w:after="200" w:line="240" w:lineRule="auto"/>
        <w:rPr>
          <w:rFonts w:cs="Arial"/>
          <w:i/>
          <w:iCs/>
          <w:color w:val="0E2841"/>
          <w:sz w:val="18"/>
          <w:szCs w:val="22"/>
        </w:rPr>
      </w:pPr>
      <w:r w:rsidRPr="00182C20">
        <w:rPr>
          <w:i/>
          <w:iCs/>
          <w:color w:val="0E2841"/>
          <w:sz w:val="18"/>
          <w:szCs w:val="18"/>
        </w:rPr>
        <w:t xml:space="preserve">Slika </w:t>
      </w:r>
      <w:r w:rsidRPr="00182C20">
        <w:rPr>
          <w:i/>
          <w:iCs/>
          <w:color w:val="0E2841"/>
          <w:sz w:val="18"/>
          <w:szCs w:val="18"/>
        </w:rPr>
        <w:fldChar w:fldCharType="begin"/>
      </w:r>
      <w:r w:rsidRPr="00182C20">
        <w:rPr>
          <w:i/>
          <w:iCs/>
          <w:color w:val="0E2841"/>
          <w:sz w:val="18"/>
          <w:szCs w:val="18"/>
        </w:rPr>
        <w:instrText xml:space="preserve"> SEQ Slika \* ARABIC </w:instrText>
      </w:r>
      <w:r w:rsidRPr="00182C20">
        <w:rPr>
          <w:i/>
          <w:iCs/>
          <w:color w:val="0E2841"/>
          <w:sz w:val="18"/>
          <w:szCs w:val="18"/>
        </w:rPr>
        <w:fldChar w:fldCharType="separate"/>
      </w:r>
      <w:r w:rsidRPr="00182C20">
        <w:rPr>
          <w:i/>
          <w:iCs/>
          <w:noProof/>
          <w:color w:val="0E2841"/>
          <w:sz w:val="18"/>
          <w:szCs w:val="18"/>
        </w:rPr>
        <w:t>2</w:t>
      </w:r>
      <w:r w:rsidRPr="00182C20">
        <w:rPr>
          <w:i/>
          <w:iCs/>
          <w:color w:val="0E2841"/>
          <w:sz w:val="18"/>
          <w:szCs w:val="18"/>
        </w:rPr>
        <w:fldChar w:fldCharType="end"/>
      </w:r>
      <w:r w:rsidRPr="00182C20">
        <w:rPr>
          <w:i/>
          <w:iCs/>
          <w:color w:val="0E2841"/>
          <w:sz w:val="18"/>
          <w:szCs w:val="18"/>
        </w:rPr>
        <w:t>: Število javnih uslužbencev upravnih enot po tarifnih skupinah</w:t>
      </w:r>
    </w:p>
    <w:p w14:paraId="54530D7D" w14:textId="2A511ADA" w:rsidR="0023211B" w:rsidRDefault="0023211B" w:rsidP="00F21CCB">
      <w:pPr>
        <w:rPr>
          <w:rFonts w:cs="Arial"/>
          <w:bCs/>
          <w:szCs w:val="22"/>
        </w:rPr>
      </w:pPr>
      <w:r w:rsidRPr="0023211B">
        <w:rPr>
          <w:rFonts w:cs="Arial"/>
          <w:bCs/>
          <w:szCs w:val="22"/>
        </w:rPr>
        <w:t xml:space="preserve">Analiza učinkov in prihodnjih usmeritev kaže, da se je zaradi optimizacije kadrov, ki vključuje povečanje števila svetovalcev in višjih svetovalcev ter sočasno zmanjšanje </w:t>
      </w:r>
      <w:r w:rsidRPr="0023211B">
        <w:rPr>
          <w:rFonts w:cs="Arial"/>
          <w:bCs/>
          <w:szCs w:val="22"/>
        </w:rPr>
        <w:lastRenderedPageBreak/>
        <w:t xml:space="preserve">števila referentov, v obravnavanem obdobju struktura zaposlenih na upravnih enotah opazno spremenila. Povečanje števila zaposlenih v višjih tarifnih skupinah potrjuje naraščajoče potrebe po večji zastopanosti javnih uslužbencev na zahtevnejših delovnih mestih. </w:t>
      </w:r>
    </w:p>
    <w:p w14:paraId="6B4A13FA" w14:textId="77777777" w:rsidR="00F21CCB" w:rsidRPr="0023211B" w:rsidRDefault="00F21CCB" w:rsidP="00F21CCB">
      <w:pPr>
        <w:rPr>
          <w:rFonts w:cs="Arial"/>
          <w:bCs/>
          <w:szCs w:val="22"/>
        </w:rPr>
      </w:pPr>
    </w:p>
    <w:p w14:paraId="278FA483" w14:textId="19D60C2F" w:rsidR="00F21CCB" w:rsidRDefault="0023211B" w:rsidP="00F21CCB">
      <w:pPr>
        <w:rPr>
          <w:rFonts w:cs="Arial"/>
          <w:bCs/>
          <w:szCs w:val="22"/>
        </w:rPr>
      </w:pPr>
      <w:r w:rsidRPr="0023211B">
        <w:rPr>
          <w:rFonts w:cs="Arial"/>
          <w:bCs/>
          <w:szCs w:val="22"/>
        </w:rPr>
        <w:t xml:space="preserve">Rezultati analize poudarjajo, da je pri nadaljnjem kadrovskem načrtovanju nujen celovit pristop, ki temelji na realnih potrebah upravnega poslovanja. Pri tem je potrebno zagotoviti ustrezno ravnotežje med zahtevnejšimi in manj zahtevnim delovnimi mesti ter primerno zastopanost strokovno-tehničnih kadrov, ki so ključni za nemoten potek delovnih postopkov. Pri načrtovanju nove kadrovske strukture je treba upoštevati dejanske delovne obremenitve, vsebino nalog ter zahtevana znanja in veščine, ki </w:t>
      </w:r>
      <w:r w:rsidR="00F21CCB" w:rsidRPr="0023211B">
        <w:rPr>
          <w:rFonts w:cs="Arial"/>
          <w:bCs/>
          <w:szCs w:val="22"/>
        </w:rPr>
        <w:t>omogočajo</w:t>
      </w:r>
      <w:r w:rsidRPr="0023211B">
        <w:rPr>
          <w:rFonts w:cs="Arial"/>
          <w:bCs/>
          <w:szCs w:val="22"/>
        </w:rPr>
        <w:t xml:space="preserve"> učinkovito izvajanje nalog.</w:t>
      </w:r>
    </w:p>
    <w:p w14:paraId="794AC212" w14:textId="77777777" w:rsidR="00F21CCB" w:rsidRPr="0023211B" w:rsidRDefault="00F21CCB" w:rsidP="00F21CCB">
      <w:pPr>
        <w:rPr>
          <w:rFonts w:cs="Arial"/>
          <w:bCs/>
          <w:szCs w:val="22"/>
        </w:rPr>
      </w:pPr>
    </w:p>
    <w:p w14:paraId="5911B7DD" w14:textId="0BD7B4BC" w:rsidR="0023211B" w:rsidRDefault="0023211B" w:rsidP="0023211B">
      <w:pPr>
        <w:rPr>
          <w:rFonts w:cs="Arial"/>
          <w:bCs/>
          <w:szCs w:val="22"/>
        </w:rPr>
      </w:pPr>
      <w:r w:rsidRPr="0023211B">
        <w:rPr>
          <w:rFonts w:cs="Arial"/>
          <w:bCs/>
          <w:szCs w:val="22"/>
        </w:rPr>
        <w:t>Skupne ugotovitve potrjujejo, da so strukturne spremembe odraz spreminjajočih se organizacijskih</w:t>
      </w:r>
      <w:r w:rsidR="00467746">
        <w:rPr>
          <w:rFonts w:cs="Arial"/>
          <w:bCs/>
          <w:szCs w:val="22"/>
        </w:rPr>
        <w:t xml:space="preserve"> </w:t>
      </w:r>
      <w:r w:rsidRPr="0023211B">
        <w:rPr>
          <w:rFonts w:cs="Arial"/>
          <w:bCs/>
          <w:szCs w:val="22"/>
        </w:rPr>
        <w:t>potreb. Nadaljnji razvoj upravnih enot bo zahteval premišljeno načrtovanje kadrov, usmerjeno v zagotavljanje strokovne, učinkovite in stabilne javne uprave.</w:t>
      </w:r>
    </w:p>
    <w:p w14:paraId="17C78F73" w14:textId="37E0A2A2" w:rsidR="0023211B" w:rsidRPr="00C77EDD" w:rsidRDefault="00BC47A5" w:rsidP="00C77EDD">
      <w:pPr>
        <w:pStyle w:val="Naslov2"/>
      </w:pPr>
      <w:r w:rsidRPr="00C77EDD">
        <w:t>2.1</w:t>
      </w:r>
      <w:r w:rsidRPr="00C77EDD">
        <w:tab/>
      </w:r>
      <w:r w:rsidR="0023211B" w:rsidRPr="00C77EDD">
        <w:t>Implementacija plačne reforme in organizacijsk</w:t>
      </w:r>
      <w:r w:rsidR="00135A6B" w:rsidRPr="00C77EDD">
        <w:t>e novosti</w:t>
      </w:r>
    </w:p>
    <w:p w14:paraId="1A44EBAC" w14:textId="77777777" w:rsidR="0023211B" w:rsidRDefault="0023211B" w:rsidP="0023211B">
      <w:pPr>
        <w:rPr>
          <w:rFonts w:cs="Arial"/>
          <w:bCs/>
          <w:szCs w:val="22"/>
        </w:rPr>
      </w:pPr>
      <w:r w:rsidRPr="0023211B">
        <w:rPr>
          <w:rFonts w:cs="Arial"/>
          <w:bCs/>
          <w:szCs w:val="22"/>
        </w:rPr>
        <w:t>Leta 2025 MJU in vse upravne enote podpišejo dogovor št. 1002</w:t>
      </w:r>
      <w:r w:rsidRPr="0023211B">
        <w:rPr>
          <w:rFonts w:ascii="Cambria Math" w:hAnsi="Cambria Math" w:cs="Cambria Math"/>
          <w:bCs/>
          <w:szCs w:val="22"/>
        </w:rPr>
        <w:t>‑</w:t>
      </w:r>
      <w:r w:rsidRPr="0023211B">
        <w:rPr>
          <w:rFonts w:cs="Arial"/>
          <w:bCs/>
          <w:szCs w:val="22"/>
        </w:rPr>
        <w:t>66/2025</w:t>
      </w:r>
      <w:r w:rsidRPr="0023211B">
        <w:rPr>
          <w:rFonts w:ascii="Cambria Math" w:hAnsi="Cambria Math" w:cs="Cambria Math"/>
          <w:bCs/>
          <w:szCs w:val="22"/>
        </w:rPr>
        <w:t>‑</w:t>
      </w:r>
      <w:r w:rsidRPr="0023211B">
        <w:rPr>
          <w:rFonts w:cs="Arial"/>
          <w:bCs/>
          <w:szCs w:val="22"/>
        </w:rPr>
        <w:t>7, z dne 3. 3. 2025, katerega namen je izplačevanje delovne uspešnosti za vse zaposlene na upravnih enotah v letu 2025 iz naslova povečanega obsega dela. Ključne rešitve, ki jih je prinesel dogovor so naslednje:</w:t>
      </w:r>
    </w:p>
    <w:p w14:paraId="7C2DF1DD" w14:textId="77777777" w:rsidR="00F645DD" w:rsidRPr="0023211B" w:rsidRDefault="00F645DD" w:rsidP="0023211B">
      <w:pPr>
        <w:rPr>
          <w:rFonts w:cs="Arial"/>
          <w:bCs/>
          <w:szCs w:val="22"/>
        </w:rPr>
      </w:pPr>
    </w:p>
    <w:p w14:paraId="6111E7DF" w14:textId="78C3F756" w:rsidR="0023211B" w:rsidRPr="0023211B" w:rsidRDefault="00F21CCB" w:rsidP="0023211B">
      <w:pPr>
        <w:numPr>
          <w:ilvl w:val="0"/>
          <w:numId w:val="6"/>
        </w:numPr>
        <w:rPr>
          <w:rFonts w:cs="Arial"/>
          <w:bCs/>
          <w:szCs w:val="22"/>
        </w:rPr>
      </w:pPr>
      <w:r>
        <w:rPr>
          <w:rFonts w:cs="Arial"/>
          <w:bCs/>
          <w:szCs w:val="22"/>
        </w:rPr>
        <w:t>n</w:t>
      </w:r>
      <w:r w:rsidR="0023211B" w:rsidRPr="0023211B">
        <w:rPr>
          <w:rFonts w:cs="Arial"/>
          <w:bCs/>
          <w:szCs w:val="22"/>
        </w:rPr>
        <w:t>adaljevanje sistema dodatnega nagrajevanja do 20 % osnovne plače za nadpovprečne</w:t>
      </w:r>
      <w:r w:rsidR="00391111">
        <w:rPr>
          <w:rFonts w:cs="Arial"/>
          <w:bCs/>
          <w:szCs w:val="22"/>
        </w:rPr>
        <w:t xml:space="preserve"> javne uslužbence</w:t>
      </w:r>
      <w:r>
        <w:rPr>
          <w:rFonts w:cs="Arial"/>
          <w:bCs/>
          <w:szCs w:val="22"/>
        </w:rPr>
        <w:t>,</w:t>
      </w:r>
    </w:p>
    <w:p w14:paraId="24164F9C" w14:textId="77777777" w:rsidR="00F21CCB" w:rsidRPr="0023211B" w:rsidRDefault="00F21CCB" w:rsidP="00F21CCB">
      <w:pPr>
        <w:numPr>
          <w:ilvl w:val="0"/>
          <w:numId w:val="6"/>
        </w:numPr>
        <w:rPr>
          <w:rFonts w:cs="Arial"/>
          <w:bCs/>
          <w:szCs w:val="22"/>
        </w:rPr>
      </w:pPr>
      <w:r w:rsidRPr="0023211B">
        <w:rPr>
          <w:rFonts w:cs="Arial"/>
          <w:bCs/>
          <w:szCs w:val="22"/>
        </w:rPr>
        <w:t>MJU prevzame finančni del postopka: upravne enote se odpovejo lastnim prihrankom iz plač, sredstva se zbirajo in prerazporejajo centralno</w:t>
      </w:r>
      <w:r>
        <w:rPr>
          <w:rFonts w:cs="Arial"/>
          <w:bCs/>
          <w:szCs w:val="22"/>
        </w:rPr>
        <w:t>,</w:t>
      </w:r>
      <w:r w:rsidRPr="0023211B">
        <w:rPr>
          <w:rFonts w:cs="Arial"/>
          <w:bCs/>
          <w:szCs w:val="22"/>
        </w:rPr>
        <w:t xml:space="preserve"> </w:t>
      </w:r>
    </w:p>
    <w:p w14:paraId="06F8D457" w14:textId="5DC2894B" w:rsidR="00F21CCB" w:rsidRPr="0023211B" w:rsidRDefault="00F21CCB" w:rsidP="00F21CCB">
      <w:pPr>
        <w:numPr>
          <w:ilvl w:val="0"/>
          <w:numId w:val="6"/>
        </w:numPr>
        <w:rPr>
          <w:rFonts w:cs="Arial"/>
          <w:bCs/>
          <w:szCs w:val="22"/>
        </w:rPr>
      </w:pPr>
      <w:r>
        <w:rPr>
          <w:rFonts w:cs="Arial"/>
          <w:bCs/>
          <w:szCs w:val="22"/>
        </w:rPr>
        <w:t>v</w:t>
      </w:r>
      <w:r w:rsidRPr="0023211B">
        <w:rPr>
          <w:rFonts w:cs="Arial"/>
          <w:bCs/>
          <w:szCs w:val="22"/>
        </w:rPr>
        <w:t xml:space="preserve">zpostavljen je skupni fond sredstev za vse </w:t>
      </w:r>
      <w:r w:rsidR="00391111">
        <w:rPr>
          <w:rFonts w:cs="Arial"/>
          <w:bCs/>
          <w:szCs w:val="22"/>
        </w:rPr>
        <w:t>upravne enote</w:t>
      </w:r>
      <w:r w:rsidRPr="0023211B">
        <w:rPr>
          <w:rFonts w:cs="Arial"/>
          <w:bCs/>
          <w:szCs w:val="22"/>
        </w:rPr>
        <w:t>,</w:t>
      </w:r>
      <w:r w:rsidR="00F645DD" w:rsidRPr="0023211B">
        <w:rPr>
          <w:rFonts w:cs="Arial"/>
          <w:bCs/>
          <w:szCs w:val="22"/>
        </w:rPr>
        <w:t xml:space="preserve"> </w:t>
      </w:r>
      <w:r w:rsidRPr="0023211B">
        <w:rPr>
          <w:rFonts w:cs="Arial"/>
          <w:bCs/>
          <w:szCs w:val="22"/>
        </w:rPr>
        <w:t xml:space="preserve">če posamezna </w:t>
      </w:r>
      <w:r w:rsidR="00391111">
        <w:rPr>
          <w:rFonts w:cs="Arial"/>
          <w:bCs/>
          <w:szCs w:val="22"/>
        </w:rPr>
        <w:t xml:space="preserve">upravna enota </w:t>
      </w:r>
      <w:r w:rsidRPr="0023211B">
        <w:rPr>
          <w:rFonts w:cs="Arial"/>
          <w:bCs/>
          <w:szCs w:val="22"/>
        </w:rPr>
        <w:t>nima dovolj lastnih prihrankov</w:t>
      </w:r>
      <w:r>
        <w:rPr>
          <w:rFonts w:cs="Arial"/>
          <w:bCs/>
          <w:szCs w:val="22"/>
        </w:rPr>
        <w:t>,</w:t>
      </w:r>
    </w:p>
    <w:p w14:paraId="12F6B7B8" w14:textId="227EBA16" w:rsidR="00F21CCB" w:rsidRPr="0023211B" w:rsidRDefault="00F21CCB" w:rsidP="00F21CCB">
      <w:pPr>
        <w:numPr>
          <w:ilvl w:val="0"/>
          <w:numId w:val="6"/>
        </w:numPr>
        <w:rPr>
          <w:rFonts w:cs="Arial"/>
          <w:bCs/>
          <w:szCs w:val="22"/>
        </w:rPr>
      </w:pPr>
      <w:r>
        <w:rPr>
          <w:rFonts w:cs="Arial"/>
          <w:bCs/>
          <w:szCs w:val="22"/>
        </w:rPr>
        <w:t>u</w:t>
      </w:r>
      <w:r w:rsidRPr="0023211B">
        <w:rPr>
          <w:rFonts w:cs="Arial"/>
          <w:bCs/>
          <w:szCs w:val="22"/>
        </w:rPr>
        <w:t xml:space="preserve">vedena je kalkulativna osnova 120 EUR/mesec na zaposlenega, </w:t>
      </w:r>
      <w:r w:rsidR="00DA19EB">
        <w:rPr>
          <w:rFonts w:cs="Arial"/>
          <w:bCs/>
          <w:szCs w:val="22"/>
        </w:rPr>
        <w:t xml:space="preserve">ki se je </w:t>
      </w:r>
      <w:r w:rsidR="00DA19EB" w:rsidRPr="00DA19EB">
        <w:rPr>
          <w:rFonts w:cs="Arial"/>
          <w:bCs/>
          <w:szCs w:val="22"/>
        </w:rPr>
        <w:t>nato povišal</w:t>
      </w:r>
      <w:r w:rsidR="00DA19EB">
        <w:rPr>
          <w:rFonts w:cs="Arial"/>
          <w:bCs/>
          <w:szCs w:val="22"/>
        </w:rPr>
        <w:t>a</w:t>
      </w:r>
      <w:r w:rsidR="00DA19EB" w:rsidRPr="00DA19EB">
        <w:rPr>
          <w:rFonts w:cs="Arial"/>
          <w:bCs/>
          <w:szCs w:val="22"/>
        </w:rPr>
        <w:t xml:space="preserve"> na 150 </w:t>
      </w:r>
      <w:r w:rsidR="00DA19EB">
        <w:rPr>
          <w:rFonts w:cs="Arial"/>
          <w:bCs/>
          <w:szCs w:val="22"/>
        </w:rPr>
        <w:t>EUR/mesec na z</w:t>
      </w:r>
      <w:r w:rsidR="00DA19EB" w:rsidRPr="00DA19EB">
        <w:rPr>
          <w:rFonts w:cs="Arial"/>
          <w:bCs/>
          <w:szCs w:val="22"/>
        </w:rPr>
        <w:t>aposlenega</w:t>
      </w:r>
      <w:r w:rsidR="00DA19EB">
        <w:rPr>
          <w:rFonts w:cs="Arial"/>
          <w:bCs/>
          <w:szCs w:val="22"/>
        </w:rPr>
        <w:t xml:space="preserve">, </w:t>
      </w:r>
      <w:r w:rsidRPr="0023211B">
        <w:rPr>
          <w:rFonts w:cs="Arial"/>
          <w:bCs/>
          <w:szCs w:val="22"/>
        </w:rPr>
        <w:t>k</w:t>
      </w:r>
      <w:r w:rsidR="00DA19EB">
        <w:rPr>
          <w:rFonts w:cs="Arial"/>
          <w:bCs/>
          <w:szCs w:val="22"/>
        </w:rPr>
        <w:t>ar</w:t>
      </w:r>
      <w:r w:rsidRPr="0023211B">
        <w:rPr>
          <w:rFonts w:cs="Arial"/>
          <w:bCs/>
          <w:szCs w:val="22"/>
        </w:rPr>
        <w:t xml:space="preserve"> določa razpoložljiva sredstva za izplačila</w:t>
      </w:r>
      <w:r>
        <w:rPr>
          <w:rFonts w:cs="Arial"/>
          <w:bCs/>
          <w:szCs w:val="22"/>
        </w:rPr>
        <w:t xml:space="preserve"> </w:t>
      </w:r>
      <w:r w:rsidR="00467746">
        <w:rPr>
          <w:rFonts w:cs="Arial"/>
          <w:bCs/>
          <w:szCs w:val="22"/>
        </w:rPr>
        <w:t xml:space="preserve">povečanega obsega dela, </w:t>
      </w:r>
    </w:p>
    <w:p w14:paraId="1DF2C478" w14:textId="1092F226" w:rsidR="00F21CCB" w:rsidRPr="0023211B" w:rsidRDefault="00F21CCB" w:rsidP="00F21CCB">
      <w:pPr>
        <w:numPr>
          <w:ilvl w:val="0"/>
          <w:numId w:val="6"/>
        </w:numPr>
        <w:rPr>
          <w:rFonts w:cs="Arial"/>
          <w:bCs/>
          <w:szCs w:val="22"/>
        </w:rPr>
      </w:pPr>
      <w:r w:rsidRPr="0023211B">
        <w:rPr>
          <w:rFonts w:cs="Arial"/>
          <w:bCs/>
          <w:szCs w:val="22"/>
        </w:rPr>
        <w:t>MJU spremlja porabo sredstev in po potrebi prerazporeja sredstva med upravnimi enotami</w:t>
      </w:r>
      <w:r>
        <w:rPr>
          <w:rFonts w:cs="Arial"/>
          <w:bCs/>
          <w:szCs w:val="22"/>
        </w:rPr>
        <w:t>,</w:t>
      </w:r>
    </w:p>
    <w:p w14:paraId="0567F308" w14:textId="228A038A" w:rsidR="00F21CCB" w:rsidRPr="0023211B" w:rsidRDefault="00F21CCB" w:rsidP="00F21CCB">
      <w:pPr>
        <w:numPr>
          <w:ilvl w:val="0"/>
          <w:numId w:val="6"/>
        </w:numPr>
        <w:rPr>
          <w:rFonts w:cs="Arial"/>
          <w:bCs/>
          <w:szCs w:val="22"/>
        </w:rPr>
      </w:pPr>
      <w:r>
        <w:rPr>
          <w:rFonts w:cs="Arial"/>
          <w:bCs/>
          <w:szCs w:val="22"/>
        </w:rPr>
        <w:t>d</w:t>
      </w:r>
      <w:r w:rsidRPr="0023211B">
        <w:rPr>
          <w:rFonts w:cs="Arial"/>
          <w:bCs/>
          <w:szCs w:val="22"/>
        </w:rPr>
        <w:t>ogovor je veljal za leto 2025, uporablja</w:t>
      </w:r>
      <w:r>
        <w:rPr>
          <w:rFonts w:cs="Arial"/>
          <w:bCs/>
          <w:szCs w:val="22"/>
        </w:rPr>
        <w:t>l</w:t>
      </w:r>
      <w:r w:rsidRPr="0023211B">
        <w:rPr>
          <w:rFonts w:cs="Arial"/>
          <w:bCs/>
          <w:szCs w:val="22"/>
        </w:rPr>
        <w:t xml:space="preserve"> pa se za izplačila od marca 2025 dalje.</w:t>
      </w:r>
    </w:p>
    <w:p w14:paraId="0C8A4F49" w14:textId="77777777" w:rsidR="0023211B" w:rsidRPr="0023211B" w:rsidRDefault="0023211B" w:rsidP="0023211B">
      <w:pPr>
        <w:rPr>
          <w:rFonts w:cs="Arial"/>
          <w:bCs/>
          <w:szCs w:val="22"/>
        </w:rPr>
      </w:pPr>
    </w:p>
    <w:p w14:paraId="311068E8" w14:textId="77777777" w:rsidR="0023211B" w:rsidRDefault="0023211B" w:rsidP="0023211B">
      <w:pPr>
        <w:rPr>
          <w:rFonts w:cs="Arial"/>
          <w:bCs/>
          <w:szCs w:val="22"/>
        </w:rPr>
      </w:pPr>
      <w:r w:rsidRPr="0023211B">
        <w:rPr>
          <w:rFonts w:cs="Arial"/>
          <w:bCs/>
          <w:szCs w:val="22"/>
        </w:rPr>
        <w:t>Z novo plačno reformo (ZSTSPJS) vsi javni uslužbenci, tudi uslužbenci na vseh upravnih enotah, pridobijo bolj pregleden in pravičnejši plačni sistem, v katerem so napredovanja, vrednotenje dela in delovna uspešnost jasneje določeni in enotno urejeni. Pri prevodu plačnih razredov so bili vsi javni uslužbenci na boljšem, hkrati pa se je dvignila tudi izhodiščna oziroma minimalna plača, kar izboljšuje osnovni položaj vseh zaposlenih v javnem sektorju.</w:t>
      </w:r>
    </w:p>
    <w:p w14:paraId="2825FDE3" w14:textId="77777777" w:rsidR="00135A6B" w:rsidRPr="0023211B" w:rsidRDefault="00135A6B" w:rsidP="0023211B">
      <w:pPr>
        <w:rPr>
          <w:rFonts w:cs="Arial"/>
          <w:bCs/>
          <w:szCs w:val="22"/>
        </w:rPr>
      </w:pPr>
    </w:p>
    <w:p w14:paraId="5D954766" w14:textId="22D29887" w:rsidR="0023211B" w:rsidRDefault="0023211B" w:rsidP="0023211B">
      <w:pPr>
        <w:rPr>
          <w:rFonts w:cs="Arial"/>
          <w:bCs/>
          <w:szCs w:val="22"/>
        </w:rPr>
      </w:pPr>
      <w:r w:rsidRPr="0023211B">
        <w:rPr>
          <w:rFonts w:cs="Arial"/>
          <w:bCs/>
          <w:szCs w:val="22"/>
        </w:rPr>
        <w:t>V letu 2025 je Ministrstvo za javno upravo upravnim enotam posredovalo obvezne usmeritve za prvi sklop strukturnih sprememb</w:t>
      </w:r>
      <w:r w:rsidR="00EF0C53">
        <w:rPr>
          <w:rFonts w:cs="Arial"/>
          <w:bCs/>
          <w:szCs w:val="22"/>
        </w:rPr>
        <w:t>,</w:t>
      </w:r>
      <w:r w:rsidRPr="0023211B">
        <w:rPr>
          <w:rFonts w:cs="Arial"/>
          <w:bCs/>
          <w:szCs w:val="22"/>
        </w:rPr>
        <w:t xml:space="preserve"> za katere so že obstajale ustrezne (veljavne) pravne podlage za spremembe sistemizacij.</w:t>
      </w:r>
    </w:p>
    <w:p w14:paraId="56E717A7" w14:textId="77777777" w:rsidR="0023211B" w:rsidRPr="0023211B" w:rsidRDefault="0023211B" w:rsidP="0023211B">
      <w:pPr>
        <w:rPr>
          <w:rFonts w:cs="Arial"/>
          <w:bCs/>
          <w:szCs w:val="22"/>
        </w:rPr>
      </w:pPr>
    </w:p>
    <w:p w14:paraId="42E0F9F5" w14:textId="77777777" w:rsidR="0023211B" w:rsidRDefault="0023211B" w:rsidP="0023211B">
      <w:pPr>
        <w:rPr>
          <w:rFonts w:cs="Arial"/>
          <w:bCs/>
          <w:szCs w:val="22"/>
        </w:rPr>
      </w:pPr>
      <w:r w:rsidRPr="0023211B">
        <w:rPr>
          <w:rFonts w:cs="Arial"/>
          <w:bCs/>
          <w:szCs w:val="22"/>
        </w:rPr>
        <w:t>Upravne enote so na podlagi 105. člena ZSTSPJS - spregled izobrazbe pripravile spremembe sistemizacij za 83 javnih uslužbencev na strokovno tehničnih delovnih mestih ter na podlagi višjega vrednotenja delovnega mesta pripravile spremembe sistemizacij za 150 javnih uslužbencev na uradniških delovnih mestih ter 25 javnih uslužbencev na strokovno tehničnih delovnih mestih.</w:t>
      </w:r>
    </w:p>
    <w:p w14:paraId="1B6E6F49" w14:textId="77777777" w:rsidR="0023211B" w:rsidRPr="0023211B" w:rsidRDefault="0023211B" w:rsidP="0023211B">
      <w:pPr>
        <w:rPr>
          <w:rFonts w:cs="Arial"/>
          <w:bCs/>
          <w:szCs w:val="22"/>
        </w:rPr>
      </w:pPr>
    </w:p>
    <w:p w14:paraId="4BE2070B" w14:textId="77777777" w:rsidR="0023211B" w:rsidRPr="0023211B" w:rsidRDefault="0023211B" w:rsidP="0023211B">
      <w:pPr>
        <w:rPr>
          <w:rFonts w:cs="Arial"/>
          <w:bCs/>
          <w:szCs w:val="22"/>
        </w:rPr>
      </w:pPr>
      <w:r w:rsidRPr="0023211B">
        <w:rPr>
          <w:rFonts w:cs="Arial"/>
          <w:bCs/>
          <w:szCs w:val="22"/>
        </w:rPr>
        <w:t xml:space="preserve">Na podlagi nove </w:t>
      </w:r>
      <w:bookmarkStart w:id="0" w:name="_Hlk35508307"/>
      <w:bookmarkStart w:id="1" w:name="_Hlk127883915"/>
      <w:bookmarkStart w:id="2" w:name="_Hlk214608808"/>
      <w:r w:rsidRPr="0023211B">
        <w:rPr>
          <w:rFonts w:cs="Arial"/>
          <w:bCs/>
          <w:szCs w:val="22"/>
        </w:rPr>
        <w:t xml:space="preserve">Uredbe </w:t>
      </w:r>
      <w:bookmarkEnd w:id="0"/>
      <w:r w:rsidRPr="0023211B">
        <w:rPr>
          <w:rFonts w:cs="Arial"/>
          <w:bCs/>
          <w:szCs w:val="22"/>
        </w:rPr>
        <w:t>o notranji organizaciji, sistemizaciji, delovnih mestih in nazivih v organih državne uprave, upravah lokalnih skupnosti in pravosodnih organih</w:t>
      </w:r>
      <w:bookmarkEnd w:id="1"/>
      <w:bookmarkEnd w:id="2"/>
      <w:r w:rsidRPr="0023211B">
        <w:rPr>
          <w:rFonts w:cs="Arial"/>
          <w:bCs/>
          <w:szCs w:val="22"/>
        </w:rPr>
        <w:t>, je bilo tudi za upravne enote vzpostavljeno naslednje:</w:t>
      </w:r>
    </w:p>
    <w:p w14:paraId="3934FF12" w14:textId="6B03E8A6" w:rsidR="0023211B" w:rsidRPr="0023211B" w:rsidRDefault="00EF0C53" w:rsidP="0023211B">
      <w:pPr>
        <w:numPr>
          <w:ilvl w:val="0"/>
          <w:numId w:val="7"/>
        </w:numPr>
        <w:rPr>
          <w:rFonts w:cs="Arial"/>
          <w:bCs/>
          <w:szCs w:val="22"/>
        </w:rPr>
      </w:pPr>
      <w:r>
        <w:rPr>
          <w:rFonts w:cs="Arial"/>
          <w:bCs/>
          <w:szCs w:val="22"/>
        </w:rPr>
        <w:t>v</w:t>
      </w:r>
      <w:r w:rsidR="0023211B" w:rsidRPr="0023211B">
        <w:rPr>
          <w:rFonts w:cs="Arial"/>
          <w:bCs/>
          <w:szCs w:val="22"/>
        </w:rPr>
        <w:t xml:space="preserve">išji nazivi za vodstvena delovna mesta – vodje oddelkov in referatov se lahko sistemizirajo v višjih nazivih, vključno z nazivom podsekretar, tudi v srednjih in malih </w:t>
      </w:r>
      <w:r w:rsidR="00F645DD">
        <w:rPr>
          <w:rFonts w:cs="Arial"/>
          <w:bCs/>
          <w:szCs w:val="22"/>
        </w:rPr>
        <w:t>upravnih enotah</w:t>
      </w:r>
      <w:r w:rsidR="0023211B" w:rsidRPr="0023211B">
        <w:rPr>
          <w:rFonts w:cs="Arial"/>
          <w:bCs/>
          <w:szCs w:val="22"/>
        </w:rPr>
        <w:t xml:space="preserve">. </w:t>
      </w:r>
    </w:p>
    <w:p w14:paraId="412A39B8" w14:textId="476CCE64" w:rsidR="0023211B" w:rsidRPr="0023211B" w:rsidRDefault="00EF0C53" w:rsidP="0023211B">
      <w:pPr>
        <w:numPr>
          <w:ilvl w:val="0"/>
          <w:numId w:val="7"/>
        </w:numPr>
        <w:rPr>
          <w:rFonts w:cs="Arial"/>
          <w:bCs/>
          <w:szCs w:val="22"/>
        </w:rPr>
      </w:pPr>
      <w:r>
        <w:rPr>
          <w:rFonts w:cs="Arial"/>
          <w:bCs/>
          <w:szCs w:val="22"/>
        </w:rPr>
        <w:t>m</w:t>
      </w:r>
      <w:r w:rsidR="0023211B" w:rsidRPr="0023211B">
        <w:rPr>
          <w:rFonts w:cs="Arial"/>
          <w:bCs/>
          <w:szCs w:val="22"/>
        </w:rPr>
        <w:t xml:space="preserve">ožnost sistemizacije delovnega mesta v dveh nazivih brez omejitev, kar omogoča hitrejše napredovanje in bolj fleksibilno kadrovsko načrtovanje. </w:t>
      </w:r>
    </w:p>
    <w:p w14:paraId="0BF51C11" w14:textId="7889A561" w:rsidR="0023211B" w:rsidRPr="0023211B" w:rsidRDefault="00EF0C53" w:rsidP="0023211B">
      <w:pPr>
        <w:numPr>
          <w:ilvl w:val="0"/>
          <w:numId w:val="7"/>
        </w:numPr>
        <w:rPr>
          <w:rFonts w:cs="Arial"/>
          <w:bCs/>
          <w:szCs w:val="22"/>
        </w:rPr>
      </w:pPr>
      <w:r>
        <w:rPr>
          <w:rFonts w:cs="Arial"/>
          <w:bCs/>
          <w:szCs w:val="22"/>
        </w:rPr>
        <w:t>v</w:t>
      </w:r>
      <w:r w:rsidR="0023211B" w:rsidRPr="0023211B">
        <w:rPr>
          <w:rFonts w:cs="Arial"/>
          <w:bCs/>
          <w:szCs w:val="22"/>
        </w:rPr>
        <w:t xml:space="preserve">odje sektorjev in sekretariatov v največjih </w:t>
      </w:r>
      <w:r w:rsidR="00F645DD">
        <w:rPr>
          <w:rFonts w:cs="Arial"/>
          <w:bCs/>
          <w:szCs w:val="22"/>
        </w:rPr>
        <w:t>upravnih enot</w:t>
      </w:r>
      <w:r w:rsidR="0023211B" w:rsidRPr="0023211B">
        <w:rPr>
          <w:rFonts w:cs="Arial"/>
          <w:bCs/>
          <w:szCs w:val="22"/>
        </w:rPr>
        <w:t xml:space="preserve"> (Ljubljana, Maribor) v najvišjem nazivu – sekretar, kar dviguje status in vrednotenje teh funkcij. </w:t>
      </w:r>
    </w:p>
    <w:p w14:paraId="554271F2" w14:textId="62033E3F" w:rsidR="0023211B" w:rsidRPr="0023211B" w:rsidRDefault="00EF0C53" w:rsidP="0023211B">
      <w:pPr>
        <w:numPr>
          <w:ilvl w:val="0"/>
          <w:numId w:val="7"/>
        </w:numPr>
        <w:rPr>
          <w:rFonts w:cs="Arial"/>
          <w:bCs/>
          <w:szCs w:val="22"/>
        </w:rPr>
      </w:pPr>
      <w:r>
        <w:rPr>
          <w:rFonts w:cs="Arial"/>
          <w:bCs/>
          <w:szCs w:val="22"/>
        </w:rPr>
        <w:t>j</w:t>
      </w:r>
      <w:r w:rsidR="0023211B" w:rsidRPr="0023211B">
        <w:rPr>
          <w:rFonts w:cs="Arial"/>
          <w:bCs/>
          <w:szCs w:val="22"/>
        </w:rPr>
        <w:t>asno določeni višji nazivni razponi za vodje oddelkov, kar omogoča višje vrednotenje dela v večjih in kompleksnejših enotah.</w:t>
      </w:r>
    </w:p>
    <w:p w14:paraId="711A2C79" w14:textId="3B9993C5" w:rsidR="0023211B" w:rsidRDefault="00EF0C53" w:rsidP="0023211B">
      <w:pPr>
        <w:numPr>
          <w:ilvl w:val="0"/>
          <w:numId w:val="7"/>
        </w:numPr>
        <w:rPr>
          <w:rFonts w:cs="Arial"/>
          <w:bCs/>
          <w:szCs w:val="22"/>
        </w:rPr>
      </w:pPr>
      <w:r>
        <w:rPr>
          <w:rFonts w:cs="Arial"/>
          <w:bCs/>
          <w:szCs w:val="22"/>
        </w:rPr>
        <w:t>m</w:t>
      </w:r>
      <w:r w:rsidR="0023211B" w:rsidRPr="0023211B">
        <w:rPr>
          <w:rFonts w:cs="Arial"/>
          <w:bCs/>
          <w:szCs w:val="22"/>
        </w:rPr>
        <w:t xml:space="preserve">ožnost dviga nazivov tudi v manjših </w:t>
      </w:r>
      <w:r w:rsidR="00F645DD">
        <w:rPr>
          <w:rFonts w:cs="Arial"/>
          <w:bCs/>
          <w:szCs w:val="22"/>
        </w:rPr>
        <w:t>upravnih enotah</w:t>
      </w:r>
      <w:r w:rsidR="0023211B" w:rsidRPr="0023211B">
        <w:rPr>
          <w:rFonts w:cs="Arial"/>
          <w:bCs/>
          <w:szCs w:val="22"/>
        </w:rPr>
        <w:t xml:space="preserve">, kjer je to </w:t>
      </w:r>
      <w:r w:rsidR="00F645DD" w:rsidRPr="0023211B">
        <w:rPr>
          <w:rFonts w:cs="Arial"/>
          <w:bCs/>
          <w:szCs w:val="22"/>
        </w:rPr>
        <w:t xml:space="preserve">prej </w:t>
      </w:r>
      <w:r w:rsidR="0023211B" w:rsidRPr="0023211B">
        <w:rPr>
          <w:rFonts w:cs="Arial"/>
          <w:bCs/>
          <w:szCs w:val="22"/>
        </w:rPr>
        <w:t>bilo bistveno bolj omejeno – zdaj je omogočeno sistemiziranje vodij oddelkov tudi v naziv</w:t>
      </w:r>
      <w:r w:rsidR="00F645DD">
        <w:rPr>
          <w:rFonts w:cs="Arial"/>
          <w:bCs/>
          <w:szCs w:val="22"/>
        </w:rPr>
        <w:t>u</w:t>
      </w:r>
      <w:r w:rsidR="0023211B" w:rsidRPr="0023211B">
        <w:rPr>
          <w:rFonts w:cs="Arial"/>
          <w:bCs/>
          <w:szCs w:val="22"/>
        </w:rPr>
        <w:t xml:space="preserve"> podsekretar.</w:t>
      </w:r>
    </w:p>
    <w:p w14:paraId="228C6C46" w14:textId="3D123607" w:rsidR="00C32261" w:rsidRPr="00C32261" w:rsidRDefault="00C32261" w:rsidP="00C32261">
      <w:pPr>
        <w:numPr>
          <w:ilvl w:val="0"/>
          <w:numId w:val="7"/>
        </w:numPr>
        <w:rPr>
          <w:rFonts w:cs="Arial"/>
          <w:bCs/>
          <w:szCs w:val="22"/>
        </w:rPr>
      </w:pPr>
      <w:r>
        <w:rPr>
          <w:rFonts w:cs="Arial"/>
          <w:bCs/>
          <w:szCs w:val="22"/>
        </w:rPr>
        <w:t>m</w:t>
      </w:r>
      <w:r w:rsidRPr="00C32261">
        <w:rPr>
          <w:rFonts w:cs="Arial"/>
          <w:bCs/>
          <w:szCs w:val="22"/>
        </w:rPr>
        <w:t>ožnost</w:t>
      </w:r>
      <w:r>
        <w:rPr>
          <w:rFonts w:cs="Arial"/>
          <w:bCs/>
          <w:szCs w:val="22"/>
        </w:rPr>
        <w:t xml:space="preserve"> oblikovanja delovnih mest</w:t>
      </w:r>
      <w:r w:rsidRPr="00C32261">
        <w:rPr>
          <w:rFonts w:cs="Arial"/>
          <w:bCs/>
          <w:szCs w:val="22"/>
        </w:rPr>
        <w:t xml:space="preserve"> podsekretar/sekretar tudi kot nepoložajno</w:t>
      </w:r>
      <w:r>
        <w:rPr>
          <w:rFonts w:cs="Arial"/>
          <w:bCs/>
          <w:szCs w:val="22"/>
        </w:rPr>
        <w:t xml:space="preserve"> delovno mesto</w:t>
      </w:r>
      <w:r w:rsidRPr="00C32261">
        <w:rPr>
          <w:rFonts w:cs="Arial"/>
          <w:bCs/>
          <w:szCs w:val="22"/>
        </w:rPr>
        <w:t>, na katerem se opravljajo najzahtevnejša vsebinske naloge</w:t>
      </w:r>
      <w:r>
        <w:rPr>
          <w:rFonts w:cs="Arial"/>
          <w:bCs/>
          <w:szCs w:val="22"/>
        </w:rPr>
        <w:t xml:space="preserve"> ter</w:t>
      </w:r>
      <w:r w:rsidRPr="00C32261">
        <w:rPr>
          <w:rFonts w:cs="Arial"/>
          <w:bCs/>
          <w:szCs w:val="22"/>
        </w:rPr>
        <w:t xml:space="preserve"> vodi in odloča v najzahtevnejših upravnih postopkih</w:t>
      </w:r>
      <w:r>
        <w:rPr>
          <w:rFonts w:cs="Arial"/>
          <w:bCs/>
          <w:szCs w:val="22"/>
        </w:rPr>
        <w:t>.</w:t>
      </w:r>
    </w:p>
    <w:p w14:paraId="14291CD0" w14:textId="655B3D9E" w:rsidR="0023211B" w:rsidRPr="0023211B" w:rsidRDefault="00EF0C53" w:rsidP="0023211B">
      <w:pPr>
        <w:numPr>
          <w:ilvl w:val="0"/>
          <w:numId w:val="7"/>
        </w:numPr>
        <w:rPr>
          <w:rFonts w:cs="Arial"/>
          <w:bCs/>
          <w:szCs w:val="22"/>
        </w:rPr>
      </w:pPr>
      <w:r>
        <w:rPr>
          <w:rFonts w:cs="Arial"/>
          <w:bCs/>
          <w:szCs w:val="22"/>
        </w:rPr>
        <w:t>p</w:t>
      </w:r>
      <w:r w:rsidR="0023211B" w:rsidRPr="0023211B">
        <w:rPr>
          <w:rFonts w:cs="Arial"/>
          <w:bCs/>
          <w:szCs w:val="22"/>
        </w:rPr>
        <w:t xml:space="preserve">oenotena organizacija prinaša večjo preglednost in primerljivost, kar krepi položaj </w:t>
      </w:r>
      <w:r w:rsidR="00F645DD">
        <w:rPr>
          <w:rFonts w:cs="Arial"/>
          <w:bCs/>
          <w:szCs w:val="22"/>
        </w:rPr>
        <w:t xml:space="preserve">upravnih enota </w:t>
      </w:r>
      <w:r w:rsidR="0023211B" w:rsidRPr="0023211B">
        <w:rPr>
          <w:rFonts w:cs="Arial"/>
          <w:bCs/>
          <w:szCs w:val="22"/>
        </w:rPr>
        <w:t xml:space="preserve">v sistemu državne uprave. </w:t>
      </w:r>
    </w:p>
    <w:p w14:paraId="08431EF9" w14:textId="5359578E" w:rsidR="0023211B" w:rsidRPr="0023211B" w:rsidRDefault="00EF0C53" w:rsidP="0023211B">
      <w:pPr>
        <w:numPr>
          <w:ilvl w:val="0"/>
          <w:numId w:val="7"/>
        </w:numPr>
        <w:rPr>
          <w:rFonts w:cs="Arial"/>
          <w:bCs/>
          <w:szCs w:val="22"/>
        </w:rPr>
      </w:pPr>
      <w:r>
        <w:rPr>
          <w:rFonts w:cs="Arial"/>
          <w:bCs/>
          <w:szCs w:val="22"/>
        </w:rPr>
        <w:t>v</w:t>
      </w:r>
      <w:r w:rsidR="0023211B" w:rsidRPr="0023211B">
        <w:rPr>
          <w:rFonts w:cs="Arial"/>
          <w:bCs/>
          <w:szCs w:val="22"/>
        </w:rPr>
        <w:t>ečja kadrovska stabilnost – omogočeno je sistemiziranje do 25 % več delovnih mest, kar olajša nadomeščanja, pripravništva in reorganizacije.</w:t>
      </w:r>
    </w:p>
    <w:p w14:paraId="1207EDE8" w14:textId="5A898813" w:rsidR="0023211B" w:rsidRDefault="00EF0C53" w:rsidP="0023211B">
      <w:pPr>
        <w:numPr>
          <w:ilvl w:val="0"/>
          <w:numId w:val="7"/>
        </w:numPr>
        <w:rPr>
          <w:rFonts w:cs="Arial"/>
          <w:bCs/>
          <w:szCs w:val="22"/>
        </w:rPr>
      </w:pPr>
      <w:r>
        <w:rPr>
          <w:rFonts w:cs="Arial"/>
          <w:bCs/>
          <w:szCs w:val="22"/>
        </w:rPr>
        <w:t>p</w:t>
      </w:r>
      <w:r w:rsidR="0023211B" w:rsidRPr="0023211B">
        <w:rPr>
          <w:rFonts w:cs="Arial"/>
          <w:bCs/>
          <w:szCs w:val="22"/>
        </w:rPr>
        <w:t xml:space="preserve">ripravniki se razporejajo na uradniška delovna mesta, kar pomeni boljšo integracijo mladih kadrov in večjo možnost napredovanja. </w:t>
      </w:r>
    </w:p>
    <w:p w14:paraId="573BEAF7" w14:textId="77777777" w:rsidR="0023211B" w:rsidRPr="0023211B" w:rsidRDefault="0023211B" w:rsidP="0023211B">
      <w:pPr>
        <w:ind w:left="720" w:firstLine="0"/>
        <w:rPr>
          <w:rFonts w:cs="Arial"/>
          <w:bCs/>
          <w:szCs w:val="22"/>
        </w:rPr>
      </w:pPr>
    </w:p>
    <w:p w14:paraId="5EA598BB" w14:textId="320BBF06" w:rsidR="0023211B" w:rsidRDefault="0023211B" w:rsidP="0023211B">
      <w:pPr>
        <w:rPr>
          <w:rFonts w:cs="Arial"/>
          <w:bCs/>
          <w:szCs w:val="22"/>
        </w:rPr>
      </w:pPr>
      <w:r w:rsidRPr="0023211B">
        <w:rPr>
          <w:rFonts w:cs="Arial"/>
          <w:bCs/>
          <w:szCs w:val="22"/>
        </w:rPr>
        <w:t>V letu 2026 upravne enote nadaljujejo z izvajanjem strukturnih sprememb, kar pomeni</w:t>
      </w:r>
      <w:r>
        <w:rPr>
          <w:rFonts w:cs="Arial"/>
          <w:bCs/>
          <w:szCs w:val="22"/>
        </w:rPr>
        <w:t xml:space="preserve"> </w:t>
      </w:r>
      <w:r w:rsidRPr="0023211B">
        <w:rPr>
          <w:rFonts w:cs="Arial"/>
          <w:bCs/>
          <w:szCs w:val="22"/>
        </w:rPr>
        <w:t>uvajanje višjih nazivov na vodstvenih mestih, širšo sistemizacijo delovnih mest v dveh nazivih za hitrejše napredovanje ter večjo preglednost in primerljivost organizacije med vsemi upravnimi enotami.</w:t>
      </w:r>
    </w:p>
    <w:p w14:paraId="70301ADA" w14:textId="0F4AC1DC" w:rsidR="0023211B" w:rsidRPr="00C77EDD" w:rsidRDefault="0035331D" w:rsidP="00C77EDD">
      <w:pPr>
        <w:pStyle w:val="Naslov2"/>
      </w:pPr>
      <w:r w:rsidRPr="00C77EDD">
        <w:t>2.2</w:t>
      </w:r>
      <w:r w:rsidRPr="00C77EDD">
        <w:tab/>
      </w:r>
      <w:r w:rsidR="00EF0C53" w:rsidRPr="00C77EDD">
        <w:t>Kadrovska strategija in razvojni cilji</w:t>
      </w:r>
    </w:p>
    <w:p w14:paraId="0B18E550" w14:textId="192EDF8B" w:rsidR="0023211B" w:rsidRDefault="0023211B" w:rsidP="0023211B">
      <w:pPr>
        <w:rPr>
          <w:rFonts w:cs="Arial"/>
          <w:bCs/>
          <w:szCs w:val="22"/>
        </w:rPr>
      </w:pPr>
      <w:r w:rsidRPr="0023211B">
        <w:rPr>
          <w:rFonts w:cs="Arial"/>
          <w:bCs/>
          <w:szCs w:val="22"/>
        </w:rPr>
        <w:t xml:space="preserve">Za uspešen razvoj sodobne in učinkovite javne uprave </w:t>
      </w:r>
      <w:r w:rsidR="00EF0C53">
        <w:rPr>
          <w:rFonts w:cs="Arial"/>
          <w:bCs/>
          <w:szCs w:val="22"/>
        </w:rPr>
        <w:t>je</w:t>
      </w:r>
      <w:r w:rsidRPr="0023211B">
        <w:rPr>
          <w:rFonts w:cs="Arial"/>
          <w:bCs/>
          <w:szCs w:val="22"/>
        </w:rPr>
        <w:t xml:space="preserve"> usmerjen v prehod od zaposlovanja, ki ne temelji zgolj na sistemizaciji delovnih mest, k modelu upravljanja kadrov, ki podpira učinkovito, prilagodljivo in na zaposlene osredotočeno javno upravo. Sodobna javna uprava mora delovati kot urejen sistem, katerega glavni cilj je zagotavljanje stabilnih, kakovostnih in strokovno podprtih storitev.</w:t>
      </w:r>
    </w:p>
    <w:p w14:paraId="7ABC3D18" w14:textId="77777777" w:rsidR="0023211B" w:rsidRPr="0023211B" w:rsidRDefault="0023211B" w:rsidP="0023211B">
      <w:pPr>
        <w:rPr>
          <w:rFonts w:cs="Arial"/>
          <w:bCs/>
          <w:szCs w:val="22"/>
        </w:rPr>
      </w:pPr>
    </w:p>
    <w:p w14:paraId="5521D8C5" w14:textId="77777777" w:rsidR="0023211B" w:rsidRDefault="0023211B" w:rsidP="0023211B">
      <w:pPr>
        <w:rPr>
          <w:rFonts w:cs="Arial"/>
          <w:bCs/>
          <w:szCs w:val="22"/>
        </w:rPr>
      </w:pPr>
      <w:r w:rsidRPr="0023211B">
        <w:rPr>
          <w:rFonts w:cs="Arial"/>
          <w:bCs/>
          <w:szCs w:val="22"/>
        </w:rPr>
        <w:t xml:space="preserve">Ključni elementi prihodnjega razvoja vključujejo sistematično vključevanje zaposlenih v procese uvajanja izboljšav, vzpostavitev strukturiranega prenosa znanja in izkušenj na nove kadre ter spodbujanje medresorskega in medorganizacijskega </w:t>
      </w:r>
      <w:r w:rsidRPr="0023211B">
        <w:rPr>
          <w:rFonts w:cs="Arial"/>
          <w:bCs/>
          <w:szCs w:val="22"/>
        </w:rPr>
        <w:lastRenderedPageBreak/>
        <w:t>sodelovanja. Poseben poudarek je na jasni, konsistentni komunikaciji o vlogah, pristojnostih in odgovornostih posameznikov, kar zagotavlja preglednost ter večjo stopnjo zaupanja v organizacijski sistem.</w:t>
      </w:r>
    </w:p>
    <w:p w14:paraId="40A20C39" w14:textId="77777777" w:rsidR="0023211B" w:rsidRPr="0023211B" w:rsidRDefault="0023211B" w:rsidP="0023211B">
      <w:pPr>
        <w:rPr>
          <w:rFonts w:cs="Arial"/>
          <w:bCs/>
          <w:szCs w:val="22"/>
        </w:rPr>
      </w:pPr>
    </w:p>
    <w:p w14:paraId="0E85EBF0" w14:textId="1FA51DDE" w:rsidR="0023211B" w:rsidRPr="0023211B" w:rsidRDefault="0023211B" w:rsidP="0023211B">
      <w:pPr>
        <w:rPr>
          <w:rFonts w:cs="Arial"/>
          <w:bCs/>
          <w:szCs w:val="22"/>
        </w:rPr>
      </w:pPr>
      <w:r w:rsidRPr="0023211B">
        <w:rPr>
          <w:rFonts w:cs="Arial"/>
          <w:bCs/>
          <w:szCs w:val="22"/>
        </w:rPr>
        <w:t xml:space="preserve">Za učinkovito izvajanje razvojnih usmeritev morajo biti cilji jasno opredeljeni, merljivi in podprti z ustrezno organizacijsko strukturo. Ključnega pomena ostaja zavezanost </w:t>
      </w:r>
      <w:r w:rsidR="00F645DD">
        <w:rPr>
          <w:rFonts w:cs="Arial"/>
          <w:bCs/>
          <w:szCs w:val="22"/>
        </w:rPr>
        <w:t xml:space="preserve">k </w:t>
      </w:r>
      <w:r w:rsidRPr="0023211B">
        <w:rPr>
          <w:rFonts w:cs="Arial"/>
          <w:bCs/>
          <w:szCs w:val="22"/>
        </w:rPr>
        <w:t>stalnemu dialogu, konstruktivnemu sodelovanju in doslednemu izvajanju sprejetih nalog, saj ti elementi predstavljajo temelj za uspešno reševanje izzivov sodobne javne uprave.</w:t>
      </w:r>
    </w:p>
    <w:p w14:paraId="4D1EDF7D" w14:textId="77777777" w:rsidR="00182C20" w:rsidRPr="00182C20" w:rsidRDefault="00182C20" w:rsidP="00182C20">
      <w:pPr>
        <w:rPr>
          <w:rFonts w:cs="Arial"/>
          <w:bCs/>
          <w:szCs w:val="22"/>
        </w:rPr>
      </w:pPr>
    </w:p>
    <w:p w14:paraId="4550278A" w14:textId="752B7165" w:rsidR="00B14ED8" w:rsidRDefault="00B14ED8" w:rsidP="006E1EF7">
      <w:pPr>
        <w:rPr>
          <w:rFonts w:cs="Arial"/>
          <w:szCs w:val="22"/>
        </w:rPr>
      </w:pPr>
      <w:r>
        <w:rPr>
          <w:rFonts w:cs="Arial"/>
          <w:szCs w:val="22"/>
        </w:rPr>
        <w:t xml:space="preserve">Datoteki s številčnimi vrednostmi sta prilogi poročila </w:t>
      </w:r>
      <w:r w:rsidRPr="00974F00">
        <w:rPr>
          <w:rFonts w:cs="Arial"/>
          <w:i/>
          <w:iCs/>
          <w:szCs w:val="22"/>
        </w:rPr>
        <w:t>(»1_Porocilo_Kadrovska_202</w:t>
      </w:r>
      <w:r w:rsidR="0023211B">
        <w:rPr>
          <w:rFonts w:cs="Arial"/>
          <w:i/>
          <w:iCs/>
          <w:szCs w:val="22"/>
        </w:rPr>
        <w:t>5</w:t>
      </w:r>
      <w:r w:rsidRPr="00974F00">
        <w:rPr>
          <w:rFonts w:cs="Arial"/>
          <w:i/>
          <w:iCs/>
          <w:szCs w:val="22"/>
        </w:rPr>
        <w:t>.xlsx«; »2_JU_UE_2020_202</w:t>
      </w:r>
      <w:r w:rsidR="0023211B">
        <w:rPr>
          <w:rFonts w:cs="Arial"/>
          <w:i/>
          <w:iCs/>
          <w:szCs w:val="22"/>
        </w:rPr>
        <w:t>5</w:t>
      </w:r>
      <w:r w:rsidRPr="00974F00">
        <w:rPr>
          <w:rFonts w:cs="Arial"/>
          <w:i/>
          <w:iCs/>
          <w:szCs w:val="22"/>
        </w:rPr>
        <w:t>.xlsx«</w:t>
      </w:r>
      <w:r>
        <w:rPr>
          <w:rFonts w:cs="Arial"/>
          <w:szCs w:val="22"/>
        </w:rPr>
        <w:t>).</w:t>
      </w:r>
    </w:p>
    <w:p w14:paraId="63AD55BE" w14:textId="2E1ECD04" w:rsidR="00135A6B" w:rsidRPr="00C77EDD" w:rsidRDefault="0035331D" w:rsidP="00C77EDD">
      <w:pPr>
        <w:pStyle w:val="Naslov2"/>
      </w:pPr>
      <w:r w:rsidRPr="00C77EDD">
        <w:t>2.3</w:t>
      </w:r>
      <w:r w:rsidRPr="00C77EDD">
        <w:tab/>
        <w:t>Analiza plač</w:t>
      </w:r>
    </w:p>
    <w:p w14:paraId="0E784243" w14:textId="77777777" w:rsidR="00641A5A" w:rsidRPr="00641A5A" w:rsidRDefault="00641A5A" w:rsidP="0035331D">
      <w:pPr>
        <w:suppressAutoHyphens w:val="0"/>
        <w:spacing w:after="160" w:line="259" w:lineRule="auto"/>
        <w:ind w:firstLine="426"/>
        <w:rPr>
          <w:rFonts w:eastAsia="Aptos" w:cs="Arial"/>
          <w:kern w:val="2"/>
          <w:szCs w:val="22"/>
          <w:lang w:eastAsia="en-US"/>
          <w14:ligatures w14:val="standardContextual"/>
        </w:rPr>
      </w:pPr>
      <w:r w:rsidRPr="00641A5A">
        <w:rPr>
          <w:rFonts w:eastAsia="Aptos" w:cs="Arial"/>
          <w:kern w:val="2"/>
          <w:szCs w:val="22"/>
          <w:lang w:eastAsia="en-US"/>
          <w14:ligatures w14:val="standardContextual"/>
        </w:rPr>
        <w:t>Izplačila iz integralnih proračunskih postavk Plače upravnih enot so v letu 2025 znašala 90.755.977 EUR, kar pomeni za 13,0 % oz. za 10.461.292 EUR več kot v letu 2024 (80.294.685 EUR) in za 20,7 % oz. za 15.594.071 EUR več kot v letu 2023 (75.161.906 EUR).</w:t>
      </w:r>
    </w:p>
    <w:p w14:paraId="3820C1E3" w14:textId="77777777" w:rsidR="00641A5A" w:rsidRPr="00641A5A" w:rsidRDefault="00641A5A" w:rsidP="00641A5A">
      <w:pPr>
        <w:suppressAutoHyphens w:val="0"/>
        <w:spacing w:after="160" w:line="259" w:lineRule="auto"/>
        <w:ind w:firstLine="0"/>
        <w:jc w:val="left"/>
        <w:rPr>
          <w:rFonts w:ascii="Aptos" w:eastAsia="Aptos" w:hAnsi="Aptos"/>
          <w:kern w:val="2"/>
          <w:szCs w:val="22"/>
          <w:lang w:eastAsia="en-US"/>
          <w14:ligatures w14:val="standardContextual"/>
        </w:rPr>
      </w:pPr>
      <w:r w:rsidRPr="00641A5A">
        <w:rPr>
          <w:rFonts w:ascii="Aptos" w:eastAsia="Aptos" w:hAnsi="Aptos"/>
          <w:noProof/>
          <w:kern w:val="2"/>
          <w:szCs w:val="22"/>
          <w:lang w:eastAsia="en-US"/>
          <w14:ligatures w14:val="standardContextual"/>
        </w:rPr>
        <w:drawing>
          <wp:inline distT="0" distB="0" distL="0" distR="0" wp14:anchorId="7F0BE9A3" wp14:editId="00C56140">
            <wp:extent cx="5337313" cy="3152638"/>
            <wp:effectExtent l="0" t="0" r="0" b="0"/>
            <wp:docPr id="1711871126" name="Slika 2" descr="Slika, ki vsebuje besede besedilo, posnetek zaslona, vrstica, pis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871126" name="Slika 2" descr="Slika, ki vsebuje besede besedilo, posnetek zaslona, vrstica, pisava"/>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369915" cy="3171895"/>
                    </a:xfrm>
                    <a:prstGeom prst="rect">
                      <a:avLst/>
                    </a:prstGeom>
                    <a:noFill/>
                    <a:ln>
                      <a:noFill/>
                    </a:ln>
                  </pic:spPr>
                </pic:pic>
              </a:graphicData>
            </a:graphic>
          </wp:inline>
        </w:drawing>
      </w:r>
    </w:p>
    <w:p w14:paraId="5BBB00B3" w14:textId="4F877872" w:rsidR="00641A5A" w:rsidRPr="00641A5A" w:rsidRDefault="00641A5A" w:rsidP="00641A5A">
      <w:pPr>
        <w:suppressAutoHyphens w:val="0"/>
        <w:spacing w:after="160" w:line="259" w:lineRule="auto"/>
        <w:ind w:left="720" w:firstLine="0"/>
        <w:jc w:val="left"/>
        <w:rPr>
          <w:rFonts w:eastAsia="Aptos" w:cs="Arial"/>
          <w:i/>
          <w:iCs/>
          <w:color w:val="1F3864" w:themeColor="accent1" w:themeShade="80"/>
          <w:kern w:val="2"/>
          <w:sz w:val="18"/>
          <w:szCs w:val="18"/>
          <w:lang w:eastAsia="en-US"/>
          <w14:ligatures w14:val="standardContextual"/>
        </w:rPr>
      </w:pPr>
      <w:r w:rsidRPr="00641A5A">
        <w:rPr>
          <w:rFonts w:eastAsia="Aptos" w:cs="Arial"/>
          <w:i/>
          <w:iCs/>
          <w:color w:val="1F3864" w:themeColor="accent1" w:themeShade="80"/>
          <w:kern w:val="2"/>
          <w:sz w:val="18"/>
          <w:szCs w:val="18"/>
          <w:lang w:eastAsia="en-US"/>
          <w14:ligatures w14:val="standardContextual"/>
        </w:rPr>
        <w:t>Slika 3: Realizacija na proračunskih postavkah Plače UE (vsi stroški dela) v letih 2023, 2024 in 2025 (v EUR)</w:t>
      </w:r>
    </w:p>
    <w:p w14:paraId="702C3B3E" w14:textId="77777777" w:rsidR="00641A5A" w:rsidRPr="00641A5A" w:rsidRDefault="00641A5A" w:rsidP="0043776F">
      <w:pPr>
        <w:suppressAutoHyphens w:val="0"/>
        <w:spacing w:after="160" w:line="259" w:lineRule="auto"/>
        <w:ind w:firstLine="0"/>
        <w:rPr>
          <w:rFonts w:eastAsia="Aptos" w:cs="Arial"/>
          <w:kern w:val="2"/>
          <w:szCs w:val="22"/>
          <w:lang w:eastAsia="en-US"/>
          <w14:ligatures w14:val="standardContextual"/>
        </w:rPr>
      </w:pPr>
      <w:r w:rsidRPr="00641A5A">
        <w:rPr>
          <w:rFonts w:eastAsia="Aptos" w:cs="Arial"/>
          <w:kern w:val="2"/>
          <w:szCs w:val="22"/>
          <w:lang w:eastAsia="en-US"/>
          <w14:ligatures w14:val="standardContextual"/>
        </w:rPr>
        <w:t>Razlogi za povišanje stroškov dela v letu 2025 glede na predhodno leto so predvsem naslednji:</w:t>
      </w:r>
    </w:p>
    <w:p w14:paraId="6BE9A2B8" w14:textId="77777777" w:rsidR="00641A5A" w:rsidRPr="00641A5A" w:rsidRDefault="00641A5A" w:rsidP="0043776F">
      <w:pPr>
        <w:numPr>
          <w:ilvl w:val="0"/>
          <w:numId w:val="10"/>
        </w:numPr>
        <w:suppressAutoHyphens w:val="0"/>
        <w:spacing w:after="160" w:line="259" w:lineRule="auto"/>
        <w:rPr>
          <w:rFonts w:eastAsia="Aptos" w:cs="Arial"/>
          <w:kern w:val="2"/>
          <w:szCs w:val="22"/>
          <w:lang w:eastAsia="en-US"/>
          <w14:ligatures w14:val="standardContextual"/>
        </w:rPr>
      </w:pPr>
      <w:r w:rsidRPr="00641A5A">
        <w:rPr>
          <w:rFonts w:eastAsia="Aptos" w:cs="Arial"/>
          <w:kern w:val="2"/>
          <w:szCs w:val="22"/>
          <w:lang w:eastAsia="en-US"/>
          <w14:ligatures w14:val="standardContextual"/>
        </w:rPr>
        <w:t>napredovanja javnih uslužbencev v letu 2024, ki so pridobili pravico do višjih plač s 1. 12. 2024 na podlagi  Zakona o sistemu plač v javnem sektorju (ZSPJS);</w:t>
      </w:r>
    </w:p>
    <w:p w14:paraId="7D146DF1" w14:textId="77777777" w:rsidR="00641A5A" w:rsidRPr="00641A5A" w:rsidRDefault="00641A5A" w:rsidP="0043776F">
      <w:pPr>
        <w:numPr>
          <w:ilvl w:val="0"/>
          <w:numId w:val="10"/>
        </w:numPr>
        <w:suppressAutoHyphens w:val="0"/>
        <w:spacing w:after="160" w:line="259" w:lineRule="auto"/>
        <w:rPr>
          <w:rFonts w:eastAsia="Aptos" w:cs="Arial"/>
          <w:kern w:val="2"/>
          <w:szCs w:val="22"/>
          <w:lang w:eastAsia="en-US"/>
          <w14:ligatures w14:val="standardContextual"/>
        </w:rPr>
      </w:pPr>
      <w:r w:rsidRPr="00641A5A">
        <w:rPr>
          <w:rFonts w:eastAsia="Aptos" w:cs="Arial"/>
          <w:kern w:val="2"/>
          <w:szCs w:val="22"/>
          <w:lang w:eastAsia="en-US"/>
          <w14:ligatures w14:val="standardContextual"/>
        </w:rPr>
        <w:t xml:space="preserve">finančne posledice zaradi prevedbe plačnih razredov po novi plačni lestvici v skladu z Zakonom o skupnih temeljih sistema plač v javnem sektorju  (ZSTSPJS), ki je začel veljati 1. 1. 2025. V skladu z ZSTSPJS javni uslužbenci pridobijo pravico do osnovne plače glede na uvrstitev v plačni razred  1. 1. 2025 postopno, najkasneje v treh letih (do 1. 1. 2028). V letu 2025 </w:t>
      </w:r>
      <w:r w:rsidRPr="00641A5A">
        <w:rPr>
          <w:rFonts w:eastAsia="Aptos" w:cs="Arial"/>
          <w:kern w:val="2"/>
          <w:szCs w:val="22"/>
          <w:lang w:eastAsia="en-US"/>
          <w14:ligatures w14:val="standardContextual"/>
        </w:rPr>
        <w:lastRenderedPageBreak/>
        <w:t>sta bili realizirana prva dva obroka razlike do višje osnovne plače. Prvi obrok je bil uveljavljen 1. 1. 2025  (12 % razlike ali 100 EUR; kar je za javnega uslužbenca bolj ugodno),  drugi obrok pa 1. 10. 2025 (12 % razlike ali 100 EUR; kar je za javnega uslužbenca bolj ugodno);</w:t>
      </w:r>
    </w:p>
    <w:p w14:paraId="13CAB58F" w14:textId="77777777" w:rsidR="00641A5A" w:rsidRPr="00641A5A" w:rsidRDefault="00641A5A" w:rsidP="0043776F">
      <w:pPr>
        <w:numPr>
          <w:ilvl w:val="0"/>
          <w:numId w:val="10"/>
        </w:numPr>
        <w:suppressAutoHyphens w:val="0"/>
        <w:spacing w:after="160" w:line="259" w:lineRule="auto"/>
        <w:rPr>
          <w:rFonts w:eastAsia="Aptos" w:cs="Arial"/>
          <w:kern w:val="2"/>
          <w:szCs w:val="22"/>
          <w:lang w:eastAsia="en-US"/>
          <w14:ligatures w14:val="standardContextual"/>
        </w:rPr>
      </w:pPr>
      <w:r w:rsidRPr="00641A5A">
        <w:rPr>
          <w:rFonts w:eastAsia="Aptos" w:cs="Arial"/>
          <w:kern w:val="2"/>
          <w:szCs w:val="22"/>
          <w:lang w:eastAsia="en-US"/>
          <w14:ligatures w14:val="standardContextual"/>
        </w:rPr>
        <w:t>finančne posledice iz naslova izvajanja določbe 105. člena ZSTSPJS: spregled izobrazbe;</w:t>
      </w:r>
    </w:p>
    <w:p w14:paraId="62A3DDED" w14:textId="77777777" w:rsidR="00641A5A" w:rsidRPr="00641A5A" w:rsidRDefault="00641A5A" w:rsidP="0043776F">
      <w:pPr>
        <w:numPr>
          <w:ilvl w:val="0"/>
          <w:numId w:val="10"/>
        </w:numPr>
        <w:suppressAutoHyphens w:val="0"/>
        <w:spacing w:after="160" w:line="259" w:lineRule="auto"/>
        <w:rPr>
          <w:rFonts w:eastAsia="Aptos" w:cs="Arial"/>
          <w:kern w:val="2"/>
          <w:szCs w:val="22"/>
          <w:lang w:eastAsia="en-US"/>
          <w14:ligatures w14:val="standardContextual"/>
        </w:rPr>
      </w:pPr>
      <w:r w:rsidRPr="00641A5A">
        <w:rPr>
          <w:rFonts w:eastAsia="Aptos" w:cs="Arial"/>
          <w:kern w:val="2"/>
          <w:szCs w:val="22"/>
          <w:lang w:eastAsia="en-US"/>
          <w14:ligatures w14:val="standardContextual"/>
        </w:rPr>
        <w:t>finančne posledice iz naslova izvajanja določbe 22. člena ZSTSPJS: določitev višjega plačnega razreda;</w:t>
      </w:r>
    </w:p>
    <w:p w14:paraId="4385C907" w14:textId="77777777" w:rsidR="00641A5A" w:rsidRPr="00641A5A" w:rsidRDefault="00641A5A" w:rsidP="0043776F">
      <w:pPr>
        <w:numPr>
          <w:ilvl w:val="0"/>
          <w:numId w:val="10"/>
        </w:numPr>
        <w:suppressAutoHyphens w:val="0"/>
        <w:spacing w:after="160" w:line="259" w:lineRule="auto"/>
        <w:rPr>
          <w:rFonts w:eastAsia="Aptos" w:cs="Arial"/>
          <w:kern w:val="2"/>
          <w:szCs w:val="22"/>
          <w:lang w:eastAsia="en-US"/>
          <w14:ligatures w14:val="standardContextual"/>
        </w:rPr>
      </w:pPr>
      <w:r w:rsidRPr="00641A5A">
        <w:rPr>
          <w:rFonts w:eastAsia="Aptos" w:cs="Arial"/>
          <w:kern w:val="2"/>
          <w:szCs w:val="22"/>
          <w:lang w:eastAsia="en-US"/>
          <w14:ligatures w14:val="standardContextual"/>
        </w:rPr>
        <w:t>višji znesek izplačanih sredstev za delovno uspešnost iz naslova povečanega obsega dela: za 1.228.925 EUR oz. 42,8 % več kot v letu 2024;</w:t>
      </w:r>
    </w:p>
    <w:p w14:paraId="7E7DFC03" w14:textId="77777777" w:rsidR="00641A5A" w:rsidRPr="00641A5A" w:rsidRDefault="00641A5A" w:rsidP="0043776F">
      <w:pPr>
        <w:numPr>
          <w:ilvl w:val="0"/>
          <w:numId w:val="10"/>
        </w:numPr>
        <w:suppressAutoHyphens w:val="0"/>
        <w:spacing w:after="160" w:line="259" w:lineRule="auto"/>
        <w:rPr>
          <w:rFonts w:eastAsia="Aptos" w:cs="Arial"/>
          <w:kern w:val="2"/>
          <w:szCs w:val="22"/>
          <w:lang w:eastAsia="en-US"/>
          <w14:ligatures w14:val="standardContextual"/>
        </w:rPr>
      </w:pPr>
      <w:r w:rsidRPr="00641A5A">
        <w:rPr>
          <w:rFonts w:eastAsia="Aptos" w:cs="Arial"/>
          <w:kern w:val="2"/>
          <w:szCs w:val="22"/>
          <w:lang w:eastAsia="en-US"/>
          <w14:ligatures w14:val="standardContextual"/>
        </w:rPr>
        <w:t>višji znesek izplačanih sredstev za nadurno delo: za 111.272 oz. za 30,2 % več kot v letu 2024;</w:t>
      </w:r>
    </w:p>
    <w:p w14:paraId="423A0390" w14:textId="77777777" w:rsidR="00641A5A" w:rsidRPr="00641A5A" w:rsidRDefault="00641A5A" w:rsidP="0043776F">
      <w:pPr>
        <w:numPr>
          <w:ilvl w:val="0"/>
          <w:numId w:val="10"/>
        </w:numPr>
        <w:suppressAutoHyphens w:val="0"/>
        <w:spacing w:after="160" w:line="259" w:lineRule="auto"/>
        <w:rPr>
          <w:rFonts w:eastAsia="Aptos" w:cs="Arial"/>
          <w:kern w:val="2"/>
          <w:szCs w:val="22"/>
          <w:lang w:eastAsia="en-US"/>
          <w14:ligatures w14:val="standardContextual"/>
        </w:rPr>
      </w:pPr>
      <w:r w:rsidRPr="00641A5A">
        <w:rPr>
          <w:rFonts w:eastAsia="Aptos" w:cs="Arial"/>
          <w:kern w:val="2"/>
          <w:szCs w:val="22"/>
          <w:lang w:eastAsia="en-US"/>
          <w14:ligatures w14:val="standardContextual"/>
        </w:rPr>
        <w:t>višji znesek izplačanega regresa za letni dopust zaradi dviga minimalne plače v 2025 glede na 2024; za leto 2024 je regres znašal 1.253,90 EUR</w:t>
      </w:r>
      <w:r w:rsidRPr="00641A5A">
        <w:rPr>
          <w:rFonts w:eastAsia="Aptos" w:cs="Arial"/>
          <w:b/>
          <w:bCs/>
          <w:kern w:val="2"/>
          <w:szCs w:val="22"/>
          <w:lang w:eastAsia="en-US"/>
          <w14:ligatures w14:val="standardContextual"/>
        </w:rPr>
        <w:t xml:space="preserve">, </w:t>
      </w:r>
      <w:r w:rsidRPr="00641A5A">
        <w:rPr>
          <w:rFonts w:eastAsia="Aptos" w:cs="Arial"/>
          <w:kern w:val="2"/>
          <w:szCs w:val="22"/>
          <w:lang w:eastAsia="en-US"/>
          <w14:ligatures w14:val="standardContextual"/>
        </w:rPr>
        <w:t>za leto 2025 pa 1.341,61 EUR: finančne posledice so bile v višini 212.794 EUR (7,1 % več kot v letu 2024);</w:t>
      </w:r>
    </w:p>
    <w:p w14:paraId="46A78A8C" w14:textId="77777777" w:rsidR="00641A5A" w:rsidRPr="00641A5A" w:rsidRDefault="00641A5A" w:rsidP="0043776F">
      <w:pPr>
        <w:numPr>
          <w:ilvl w:val="0"/>
          <w:numId w:val="10"/>
        </w:numPr>
        <w:suppressAutoHyphens w:val="0"/>
        <w:spacing w:after="160" w:line="259" w:lineRule="auto"/>
        <w:rPr>
          <w:rFonts w:eastAsia="Aptos" w:cs="Arial"/>
          <w:kern w:val="2"/>
          <w:szCs w:val="22"/>
          <w:lang w:eastAsia="en-US"/>
          <w14:ligatures w14:val="standardContextual"/>
        </w:rPr>
      </w:pPr>
      <w:r w:rsidRPr="00641A5A">
        <w:rPr>
          <w:rFonts w:eastAsia="Aptos" w:cs="Arial"/>
          <w:kern w:val="2"/>
          <w:szCs w:val="22"/>
          <w:lang w:eastAsia="en-US"/>
          <w14:ligatures w14:val="standardContextual"/>
        </w:rPr>
        <w:t>uvedba zimskega regresa v letu 2025, (Zakon o pravici do zimskega regresa ter prenovi ugotavljanja davčne osnove z upoštevanjem normiranih odhodkov  izplačilo v višini 1.521.456 EUR;</w:t>
      </w:r>
    </w:p>
    <w:p w14:paraId="247AF188" w14:textId="77777777" w:rsidR="00641A5A" w:rsidRPr="00641A5A" w:rsidRDefault="00641A5A" w:rsidP="0043776F">
      <w:pPr>
        <w:numPr>
          <w:ilvl w:val="0"/>
          <w:numId w:val="10"/>
        </w:numPr>
        <w:suppressAutoHyphens w:val="0"/>
        <w:spacing w:after="160" w:line="259" w:lineRule="auto"/>
        <w:rPr>
          <w:rFonts w:eastAsia="Aptos" w:cs="Arial"/>
          <w:kern w:val="2"/>
          <w:szCs w:val="22"/>
          <w:lang w:eastAsia="en-US"/>
          <w14:ligatures w14:val="standardContextual"/>
        </w:rPr>
      </w:pPr>
      <w:r w:rsidRPr="00641A5A">
        <w:rPr>
          <w:rFonts w:eastAsia="Aptos" w:cs="Arial"/>
          <w:kern w:val="2"/>
          <w:szCs w:val="22"/>
          <w:lang w:eastAsia="en-US"/>
          <w14:ligatures w14:val="standardContextual"/>
        </w:rPr>
        <w:t>višji znesek izplačanih povračil stroškov prehrane med delom zaradi usklajevanja z rastjo cen prehrambnih izdelkov: za 141.552 EUR oz. 4,5 % več.</w:t>
      </w:r>
    </w:p>
    <w:p w14:paraId="1B90ABA0" w14:textId="77777777" w:rsidR="00641A5A" w:rsidRPr="00641A5A" w:rsidRDefault="00641A5A" w:rsidP="0043776F">
      <w:pPr>
        <w:numPr>
          <w:ilvl w:val="0"/>
          <w:numId w:val="10"/>
        </w:numPr>
        <w:suppressAutoHyphens w:val="0"/>
        <w:spacing w:after="160" w:line="259" w:lineRule="auto"/>
        <w:rPr>
          <w:rFonts w:eastAsia="Aptos" w:cs="Arial"/>
          <w:kern w:val="2"/>
          <w:szCs w:val="22"/>
          <w:lang w:eastAsia="en-US"/>
          <w14:ligatures w14:val="standardContextual"/>
        </w:rPr>
      </w:pPr>
      <w:r w:rsidRPr="00641A5A">
        <w:rPr>
          <w:rFonts w:eastAsia="Aptos" w:cs="Arial"/>
          <w:kern w:val="2"/>
          <w:szCs w:val="22"/>
          <w:lang w:eastAsia="en-US"/>
          <w14:ligatures w14:val="standardContextual"/>
        </w:rPr>
        <w:t xml:space="preserve">finančne posledice Zakona o </w:t>
      </w:r>
      <w:hyperlink r:id="rId12" w:history="1">
        <w:r w:rsidRPr="00641A5A">
          <w:rPr>
            <w:rFonts w:eastAsia="Aptos" w:cs="Arial"/>
            <w:kern w:val="2"/>
            <w:szCs w:val="22"/>
            <w:lang w:eastAsia="en-US"/>
            <w14:ligatures w14:val="standardContextual"/>
          </w:rPr>
          <w:t>dolgotrajni oskrbi</w:t>
        </w:r>
      </w:hyperlink>
      <w:r w:rsidRPr="00641A5A">
        <w:rPr>
          <w:rFonts w:eastAsia="Aptos" w:cs="Arial"/>
          <w:kern w:val="2"/>
          <w:szCs w:val="22"/>
          <w:lang w:eastAsia="en-US"/>
          <w14:ligatures w14:val="standardContextual"/>
        </w:rPr>
        <w:t>, s katerim je bilo uvedeno obvezno zavarovanje za dolgotrajno oskrbo in s tem nov prispevek za dolgotrajno oskrbo. Slednji se je  začel obračunavati od 1. 7.2025 dalje, in sicer v višini 1 % za delojemalca in 1 % za delodajalca na bruto plačo. Upravne enote so iz tega naslova izplačale skupaj 295.496 EUR;</w:t>
      </w:r>
    </w:p>
    <w:p w14:paraId="1814DBF7" w14:textId="77777777" w:rsidR="00641A5A" w:rsidRPr="00641A5A" w:rsidRDefault="00641A5A" w:rsidP="0043776F">
      <w:pPr>
        <w:numPr>
          <w:ilvl w:val="0"/>
          <w:numId w:val="10"/>
        </w:numPr>
        <w:suppressAutoHyphens w:val="0"/>
        <w:spacing w:after="160" w:line="259" w:lineRule="auto"/>
        <w:rPr>
          <w:rFonts w:eastAsia="Aptos" w:cs="Arial"/>
          <w:kern w:val="2"/>
          <w:szCs w:val="22"/>
          <w:lang w:eastAsia="en-US"/>
          <w14:ligatures w14:val="standardContextual"/>
        </w:rPr>
      </w:pPr>
      <w:r w:rsidRPr="00641A5A">
        <w:rPr>
          <w:rFonts w:eastAsia="Aptos" w:cs="Arial"/>
          <w:kern w:val="2"/>
          <w:szCs w:val="22"/>
          <w:lang w:eastAsia="en-US"/>
          <w14:ligatures w14:val="standardContextual"/>
        </w:rPr>
        <w:t xml:space="preserve">finančne posledice uveljavitve </w:t>
      </w:r>
      <w:hyperlink r:id="rId13" w:history="1">
        <w:r w:rsidRPr="00641A5A">
          <w:rPr>
            <w:rFonts w:eastAsia="Aptos" w:cs="Arial"/>
            <w:kern w:val="2"/>
            <w:szCs w:val="22"/>
            <w:lang w:eastAsia="en-US"/>
            <w14:ligatures w14:val="standardContextual"/>
          </w:rPr>
          <w:t>Pravilnika o spremembah Pravilnika o sklepanju zakonske zveze in ponovitvi slovesnosti ob jubileju sklenitve zakonske zveze</w:t>
        </w:r>
      </w:hyperlink>
      <w:r w:rsidRPr="00641A5A">
        <w:rPr>
          <w:rFonts w:eastAsia="Aptos" w:cs="Arial"/>
          <w:kern w:val="2"/>
          <w:szCs w:val="22"/>
          <w:lang w:eastAsia="en-US"/>
          <w14:ligatures w14:val="standardContextual"/>
        </w:rPr>
        <w:t>, ki je pričel veljati 8. 2. 2025. V skladu s Pravilnikom so se sredstva za plačila za sklepanje zakonskih zvez, sredstva za nakup svečanih oblek in sredstva za plačilo stroškov za urejenost na dan sklepanja zakonske zveze v letu 2025 začela zagotavljati iz skupine plačnih kontov 400;</w:t>
      </w:r>
    </w:p>
    <w:p w14:paraId="107FAF61" w14:textId="1F9545DF" w:rsidR="00641A5A" w:rsidRPr="00C77EDD" w:rsidRDefault="0035331D" w:rsidP="00C77EDD">
      <w:pPr>
        <w:pStyle w:val="Naslov2"/>
      </w:pPr>
      <w:r w:rsidRPr="00C77EDD">
        <w:t>2.4</w:t>
      </w:r>
      <w:r w:rsidRPr="00C77EDD">
        <w:tab/>
      </w:r>
      <w:r w:rsidR="00641A5A" w:rsidRPr="00C77EDD">
        <w:t>Povišanje sredstev za izplačilo povečanega obsega dela</w:t>
      </w:r>
    </w:p>
    <w:p w14:paraId="0D77C454" w14:textId="77777777" w:rsidR="00641A5A" w:rsidRPr="00641A5A" w:rsidRDefault="00641A5A" w:rsidP="0035331D">
      <w:pPr>
        <w:suppressAutoHyphens w:val="0"/>
        <w:spacing w:after="160" w:line="259" w:lineRule="auto"/>
        <w:ind w:firstLine="426"/>
        <w:rPr>
          <w:rFonts w:eastAsia="Aptos" w:cs="Arial"/>
          <w:kern w:val="2"/>
          <w:szCs w:val="22"/>
          <w:lang w:eastAsia="en-US"/>
          <w14:ligatures w14:val="standardContextual"/>
        </w:rPr>
      </w:pPr>
      <w:r w:rsidRPr="00641A5A">
        <w:rPr>
          <w:rFonts w:eastAsia="Aptos" w:cs="Arial"/>
          <w:kern w:val="2"/>
          <w:szCs w:val="22"/>
          <w:lang w:eastAsia="en-US"/>
          <w14:ligatures w14:val="standardContextual"/>
        </w:rPr>
        <w:t xml:space="preserve">Dogovor o opravljanju povečanega obsega dela in izplačevanju delovne uspešnosti iz naslova povečanega obsega dela na upravnih enotah št. 1002-869/2024-22 z dne 30. 08. 2024 za leto 2024 in Dogovor o opravljanju o opravljanju povečanega obsega dela in izplačevanju delovne uspešnosti iz naslova povečanega obsega dela na upravnih enotah št. 1002-66/2025-7 z dne 3. 3. 2025 za leto 2025 sta neposredno povezana s  Stavkovnim sporazumom o načinu reševanja stavkovnih zadev (Uradni list RS, št. 55/2024), ki je bil podpisan med Vlado RS in SDOD. Navedeni akti so bili sprejeti z namenom obvladovanja nadpovprečnih obremenitev javnih uslužbencev na upravnih enotah, zmanjševanja zaostankov pri reševanju upravnih zadev ter zagotavljanja dodatnega nagrajevanja zaposlenih, ki nadomeščajo začasno odsotne javne uslužbence </w:t>
      </w:r>
      <w:r w:rsidRPr="00641A5A">
        <w:rPr>
          <w:rFonts w:eastAsia="Aptos" w:cs="Arial"/>
          <w:kern w:val="2"/>
          <w:szCs w:val="22"/>
          <w:lang w:eastAsia="en-US"/>
          <w14:ligatures w14:val="standardContextual"/>
        </w:rPr>
        <w:lastRenderedPageBreak/>
        <w:t>ali sodelujejo pri odpravljanju zaostankov drugih organizacijskih enot iste oziroma drugih upravnih enot. Služba za upravne enote Ministrstva za javno upravo je pri reševanju predmetne problematike nastopala iz pozicije pristojnega resornega ministrstva in predlagatelja finančnega načrta skupine proračunskih uporabnikov SPU 62 Upravne enote.</w:t>
      </w:r>
    </w:p>
    <w:p w14:paraId="46B384CF" w14:textId="15769E3E" w:rsidR="00641A5A" w:rsidRPr="00641A5A" w:rsidRDefault="00641A5A" w:rsidP="0035331D">
      <w:pPr>
        <w:suppressAutoHyphens w:val="0"/>
        <w:spacing w:after="160" w:line="259" w:lineRule="auto"/>
        <w:ind w:firstLine="426"/>
        <w:rPr>
          <w:rFonts w:eastAsia="Aptos" w:cs="Arial"/>
          <w:kern w:val="2"/>
          <w:szCs w:val="22"/>
          <w:lang w:eastAsia="en-US"/>
          <w14:ligatures w14:val="standardContextual"/>
        </w:rPr>
      </w:pPr>
      <w:r w:rsidRPr="00641A5A">
        <w:rPr>
          <w:rFonts w:eastAsia="Aptos" w:cs="Arial"/>
          <w:kern w:val="2"/>
          <w:szCs w:val="22"/>
          <w:lang w:eastAsia="en-US"/>
          <w14:ligatures w14:val="standardContextual"/>
        </w:rPr>
        <w:t xml:space="preserve">Ocenjujemo, da je navedeni namen sprejetih aktov dosežen: zaostanki pri reševanju upravnih zadev so se zmanjšali (glej 7. stran poročila) za kar so bili zaposleni tudi nagrajeni (slika </w:t>
      </w:r>
      <w:r>
        <w:rPr>
          <w:rFonts w:eastAsia="Aptos" w:cs="Arial"/>
          <w:kern w:val="2"/>
          <w:szCs w:val="22"/>
          <w:lang w:eastAsia="en-US"/>
          <w14:ligatures w14:val="standardContextual"/>
        </w:rPr>
        <w:t>4</w:t>
      </w:r>
      <w:r w:rsidRPr="00641A5A">
        <w:rPr>
          <w:rFonts w:eastAsia="Aptos" w:cs="Arial"/>
          <w:kern w:val="2"/>
          <w:szCs w:val="22"/>
          <w:lang w:eastAsia="en-US"/>
          <w14:ligatures w14:val="standardContextual"/>
        </w:rPr>
        <w:t>).</w:t>
      </w:r>
    </w:p>
    <w:p w14:paraId="0650A35C" w14:textId="77777777" w:rsidR="00641A5A" w:rsidRPr="00641A5A" w:rsidRDefault="00641A5A" w:rsidP="00641A5A">
      <w:pPr>
        <w:suppressAutoHyphens w:val="0"/>
        <w:spacing w:after="160" w:line="259" w:lineRule="auto"/>
        <w:ind w:firstLine="0"/>
        <w:jc w:val="left"/>
        <w:rPr>
          <w:rFonts w:ascii="Aptos" w:eastAsia="Aptos" w:hAnsi="Aptos"/>
          <w:kern w:val="2"/>
          <w:szCs w:val="22"/>
          <w:lang w:eastAsia="en-US"/>
          <w14:ligatures w14:val="standardContextual"/>
        </w:rPr>
      </w:pPr>
      <w:r w:rsidRPr="00641A5A">
        <w:rPr>
          <w:rFonts w:ascii="Aptos" w:eastAsia="Aptos" w:hAnsi="Aptos"/>
          <w:noProof/>
          <w:kern w:val="2"/>
          <w:szCs w:val="22"/>
          <w:lang w:eastAsia="en-US"/>
          <w14:ligatures w14:val="standardContextual"/>
        </w:rPr>
        <w:drawing>
          <wp:inline distT="0" distB="0" distL="0" distR="0" wp14:anchorId="66203D30" wp14:editId="43C0C40F">
            <wp:extent cx="5337313" cy="3486150"/>
            <wp:effectExtent l="0" t="0" r="0" b="0"/>
            <wp:docPr id="270939597" name="Slika 1" descr="Slika, ki vsebuje besede besedilo, posnetek zaslona, vrstica, števi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939597" name="Slika 1" descr="Slika, ki vsebuje besede besedilo, posnetek zaslona, vrstica, številka"/>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362235" cy="3502428"/>
                    </a:xfrm>
                    <a:prstGeom prst="rect">
                      <a:avLst/>
                    </a:prstGeom>
                    <a:noFill/>
                    <a:ln>
                      <a:noFill/>
                    </a:ln>
                  </pic:spPr>
                </pic:pic>
              </a:graphicData>
            </a:graphic>
          </wp:inline>
        </w:drawing>
      </w:r>
    </w:p>
    <w:p w14:paraId="5E97A403" w14:textId="16B98E40" w:rsidR="00641A5A" w:rsidRPr="00641A5A" w:rsidRDefault="00641A5A" w:rsidP="00641A5A">
      <w:pPr>
        <w:suppressAutoHyphens w:val="0"/>
        <w:spacing w:after="160" w:line="259" w:lineRule="auto"/>
        <w:ind w:left="432" w:firstLine="0"/>
        <w:rPr>
          <w:rFonts w:eastAsia="Aptos" w:cs="Arial"/>
          <w:i/>
          <w:iCs/>
          <w:color w:val="1F3864" w:themeColor="accent1" w:themeShade="80"/>
          <w:kern w:val="2"/>
          <w:sz w:val="18"/>
          <w:szCs w:val="18"/>
          <w:lang w:eastAsia="en-US"/>
          <w14:ligatures w14:val="standardContextual"/>
        </w:rPr>
      </w:pPr>
      <w:r w:rsidRPr="00641A5A">
        <w:rPr>
          <w:rFonts w:eastAsia="Aptos" w:cs="Arial"/>
          <w:i/>
          <w:iCs/>
          <w:color w:val="1F3864" w:themeColor="accent1" w:themeShade="80"/>
          <w:kern w:val="2"/>
          <w:sz w:val="18"/>
          <w:szCs w:val="18"/>
          <w:lang w:eastAsia="en-US"/>
          <w14:ligatures w14:val="standardContextual"/>
        </w:rPr>
        <w:t>Slika 4: Realizacija izplačil sredstev v UE iz naslova povečanega obsega dela pri opravljanju rednih delovnih nalog (podkonto 400302) v letih 2023, 2024 in 2025 (v EUR)</w:t>
      </w:r>
    </w:p>
    <w:p w14:paraId="0F0F01A4" w14:textId="77777777" w:rsidR="000A7B1C" w:rsidRDefault="000A7B1C" w:rsidP="00135A6B">
      <w:pPr>
        <w:ind w:firstLine="0"/>
        <w:rPr>
          <w:rFonts w:cs="Arial"/>
          <w:b/>
          <w:bCs/>
          <w:sz w:val="28"/>
          <w:szCs w:val="28"/>
        </w:rPr>
      </w:pPr>
    </w:p>
    <w:p w14:paraId="07A079E5" w14:textId="77777777" w:rsidR="00CA5DA7" w:rsidRDefault="00CA5DA7" w:rsidP="00CA5DA7">
      <w:pPr>
        <w:rPr>
          <w:rFonts w:cs="Arial"/>
          <w:szCs w:val="22"/>
        </w:rPr>
      </w:pPr>
      <w:r w:rsidRPr="00746FD5">
        <w:rPr>
          <w:rFonts w:cs="Arial"/>
          <w:szCs w:val="22"/>
        </w:rPr>
        <w:t xml:space="preserve">Poraba finančnih sredstev za kritje materialnih stroškov upravnih enot je v letu 2025 znašala </w:t>
      </w:r>
      <w:bookmarkStart w:id="3" w:name="_Hlk4059104"/>
      <w:r w:rsidRPr="00746FD5">
        <w:rPr>
          <w:rFonts w:cs="Arial"/>
          <w:szCs w:val="22"/>
        </w:rPr>
        <w:t>14.998.471 EUR in je bila v primerjavi z letom 20</w:t>
      </w:r>
      <w:bookmarkEnd w:id="3"/>
      <w:r w:rsidRPr="00746FD5">
        <w:rPr>
          <w:rFonts w:cs="Arial"/>
          <w:szCs w:val="22"/>
        </w:rPr>
        <w:t>24 (13.922.201 EUR) višja za 1.076.270 EUR oz. za 7,7 %, v primerjavi z letom 2023 (12.929.975 EUR) pa je bila višja za 2.068.496 EUR oz. za 16,0 %.</w:t>
      </w:r>
    </w:p>
    <w:p w14:paraId="18BB237C" w14:textId="77777777" w:rsidR="00CA5DA7" w:rsidRPr="00746FD5" w:rsidRDefault="00CA5DA7" w:rsidP="00CA5DA7">
      <w:pPr>
        <w:rPr>
          <w:rFonts w:cs="Arial"/>
          <w:szCs w:val="22"/>
        </w:rPr>
      </w:pPr>
    </w:p>
    <w:p w14:paraId="3270F3AD" w14:textId="77777777" w:rsidR="00CA5DA7" w:rsidRPr="00746FD5" w:rsidRDefault="00CA5DA7" w:rsidP="00CA5DA7">
      <w:pPr>
        <w:rPr>
          <w:rFonts w:cs="Arial"/>
          <w:szCs w:val="22"/>
        </w:rPr>
      </w:pPr>
      <w:bookmarkStart w:id="4" w:name="_Hlk192600046"/>
      <w:r w:rsidRPr="00746FD5">
        <w:rPr>
          <w:rFonts w:cs="Arial"/>
          <w:szCs w:val="22"/>
        </w:rPr>
        <w:t>V letu 2025 glede na leto 2024 so se najbolj povišali izdatki za tekoče vzdrževanje (KT 4025) (za 395.616 EUR oz. 45,4 %), izdatki za pisarniški in splošni material in storitve (KT 4020) (za 288.746 EUR oz. 7,3 %) ter izdatki za energijo, vodo, komunalne storitve in komunikacije (KT 4022) (za 171.049 EUR oz. 2,6 %).</w:t>
      </w:r>
    </w:p>
    <w:p w14:paraId="3240F124" w14:textId="77777777" w:rsidR="00CA5DA7" w:rsidRPr="00746FD5" w:rsidRDefault="00CA5DA7" w:rsidP="00CA5DA7">
      <w:pPr>
        <w:rPr>
          <w:rFonts w:cs="Arial"/>
          <w:szCs w:val="22"/>
        </w:rPr>
      </w:pPr>
      <w:r w:rsidRPr="00746FD5">
        <w:rPr>
          <w:rFonts w:cs="Arial"/>
          <w:noProof/>
          <w:szCs w:val="22"/>
        </w:rPr>
        <w:lastRenderedPageBreak/>
        <w:drawing>
          <wp:anchor distT="0" distB="0" distL="114300" distR="114300" simplePos="0" relativeHeight="251659264" behindDoc="0" locked="0" layoutInCell="1" allowOverlap="1" wp14:anchorId="75C29346" wp14:editId="4D481BA6">
            <wp:simplePos x="0" y="0"/>
            <wp:positionH relativeFrom="column">
              <wp:posOffset>43180</wp:posOffset>
            </wp:positionH>
            <wp:positionV relativeFrom="paragraph">
              <wp:posOffset>325755</wp:posOffset>
            </wp:positionV>
            <wp:extent cx="5300345" cy="2749550"/>
            <wp:effectExtent l="0" t="0" r="0" b="0"/>
            <wp:wrapTopAndBottom/>
            <wp:docPr id="5" name="Slika 2" descr="Slika, ki vsebuje besede besedilo, posnetek zaslona, vrstica, števi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2" descr="Slika, ki vsebuje besede besedilo, posnetek zaslona, vrstica, številk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00345" cy="2749550"/>
                    </a:xfrm>
                    <a:prstGeom prst="rect">
                      <a:avLst/>
                    </a:prstGeom>
                    <a:noFill/>
                  </pic:spPr>
                </pic:pic>
              </a:graphicData>
            </a:graphic>
            <wp14:sizeRelH relativeFrom="page">
              <wp14:pctWidth>0</wp14:pctWidth>
            </wp14:sizeRelH>
            <wp14:sizeRelV relativeFrom="page">
              <wp14:pctHeight>0</wp14:pctHeight>
            </wp14:sizeRelV>
          </wp:anchor>
        </w:drawing>
      </w:r>
    </w:p>
    <w:bookmarkEnd w:id="4"/>
    <w:p w14:paraId="006FBBE3" w14:textId="77777777" w:rsidR="00CA5DA7" w:rsidRPr="00746FD5" w:rsidRDefault="00CA5DA7" w:rsidP="00CA5DA7">
      <w:pPr>
        <w:rPr>
          <w:rFonts w:cs="Arial"/>
          <w:szCs w:val="22"/>
        </w:rPr>
      </w:pPr>
    </w:p>
    <w:p w14:paraId="5987A3B8" w14:textId="33126490" w:rsidR="00CA5DA7" w:rsidRPr="00CA5DA7" w:rsidRDefault="00B7580A" w:rsidP="00CA5DA7">
      <w:pPr>
        <w:ind w:left="426" w:firstLine="0"/>
        <w:rPr>
          <w:rFonts w:cs="Arial"/>
          <w:i/>
          <w:iCs/>
          <w:color w:val="1F3864" w:themeColor="accent1" w:themeShade="80"/>
          <w:sz w:val="18"/>
          <w:szCs w:val="18"/>
        </w:rPr>
      </w:pPr>
      <w:r>
        <w:rPr>
          <w:rFonts w:cs="Arial"/>
          <w:i/>
          <w:iCs/>
          <w:color w:val="1F3864" w:themeColor="accent1" w:themeShade="80"/>
          <w:sz w:val="18"/>
          <w:szCs w:val="18"/>
        </w:rPr>
        <w:t>Slika 5</w:t>
      </w:r>
      <w:r w:rsidR="00CA5DA7" w:rsidRPr="00CA5DA7">
        <w:rPr>
          <w:rFonts w:cs="Arial"/>
          <w:i/>
          <w:iCs/>
          <w:color w:val="1F3864" w:themeColor="accent1" w:themeShade="80"/>
          <w:sz w:val="18"/>
          <w:szCs w:val="18"/>
        </w:rPr>
        <w:t>: Realizacija na proračunskih postavkah Materialni stroški UE v letih 2023, 2024 in 2025 (v EUR)</w:t>
      </w:r>
    </w:p>
    <w:p w14:paraId="0491CF44" w14:textId="77777777" w:rsidR="00CA5DA7" w:rsidRPr="00746FD5" w:rsidRDefault="00CA5DA7" w:rsidP="00CA5DA7">
      <w:pPr>
        <w:ind w:firstLine="0"/>
        <w:rPr>
          <w:rFonts w:cs="Arial"/>
          <w:szCs w:val="22"/>
        </w:rPr>
      </w:pPr>
    </w:p>
    <w:p w14:paraId="68C919CD" w14:textId="77777777" w:rsidR="00CA5DA7" w:rsidRPr="00746FD5" w:rsidRDefault="00CA5DA7" w:rsidP="00CA5DA7">
      <w:pPr>
        <w:rPr>
          <w:rFonts w:cs="Arial"/>
          <w:szCs w:val="22"/>
        </w:rPr>
      </w:pPr>
      <w:r w:rsidRPr="00746FD5">
        <w:rPr>
          <w:rFonts w:cs="Arial"/>
          <w:szCs w:val="22"/>
        </w:rPr>
        <w:t>Upravne enote so v letu 2025 za investicijsko obnovo poslovnih prostorov, nabavo pohištva, birotehnične in druge opreme ter prenovo voznega parka, porabile 1.206.494 EUR. V primerjavi z letom 2024 gre za povišanje za 625.628 EUR oz. 107,7 %, v primerjavi z letom 2023 pa za povišanje za 638.873 EUR oz. za 112,6 %. Posebej izpostavljamo, da so v letu 2025 upravne enote v okviru investicijskih odhodkov z namenom zagotavljanja večje dostopnosti storitev invalidom nabavile opremo v skupni vrednosti 68.000 EUR (43 kosov lup za slabovidne, 70 kosov  indukcijskih slušnih zank, taktilne oznake).</w:t>
      </w:r>
    </w:p>
    <w:p w14:paraId="05EFACDC" w14:textId="77777777" w:rsidR="00CA5DA7" w:rsidRPr="00746FD5" w:rsidRDefault="00CA5DA7" w:rsidP="00CA5DA7">
      <w:pPr>
        <w:rPr>
          <w:rFonts w:cs="Arial"/>
          <w:szCs w:val="22"/>
        </w:rPr>
      </w:pPr>
    </w:p>
    <w:p w14:paraId="56C7302A" w14:textId="77777777" w:rsidR="00CA5DA7" w:rsidRPr="00746FD5" w:rsidRDefault="00CA5DA7" w:rsidP="00CA5DA7">
      <w:pPr>
        <w:rPr>
          <w:rFonts w:cs="Arial"/>
          <w:szCs w:val="22"/>
        </w:rPr>
      </w:pPr>
    </w:p>
    <w:p w14:paraId="328F9699" w14:textId="77777777" w:rsidR="00CA5DA7" w:rsidRPr="00746FD5" w:rsidRDefault="00CA5DA7" w:rsidP="00CA5DA7">
      <w:pPr>
        <w:ind w:firstLine="0"/>
        <w:rPr>
          <w:rFonts w:cs="Arial"/>
          <w:szCs w:val="22"/>
        </w:rPr>
      </w:pPr>
      <w:r w:rsidRPr="00746FD5">
        <w:rPr>
          <w:rFonts w:cs="Arial"/>
          <w:noProof/>
          <w:szCs w:val="22"/>
        </w:rPr>
        <w:drawing>
          <wp:inline distT="0" distB="0" distL="0" distR="0" wp14:anchorId="3973A1FF" wp14:editId="657AA33B">
            <wp:extent cx="5346915" cy="2068622"/>
            <wp:effectExtent l="0" t="0" r="6350" b="8255"/>
            <wp:docPr id="1361015154" name="Grafikon 1" descr="Slika, ki vsebuje besede besedilo, posnetek zaslona, vrstica, števi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015154" name="Grafikon 1" descr="Slika, ki vsebuje besede besedilo, posnetek zaslona, vrstica, številka"/>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5391705" cy="2085951"/>
                    </a:xfrm>
                    <a:prstGeom prst="rect">
                      <a:avLst/>
                    </a:prstGeom>
                    <a:noFill/>
                    <a:ln>
                      <a:noFill/>
                    </a:ln>
                  </pic:spPr>
                </pic:pic>
              </a:graphicData>
            </a:graphic>
          </wp:inline>
        </w:drawing>
      </w:r>
    </w:p>
    <w:p w14:paraId="49912F2B" w14:textId="58996815" w:rsidR="00CA5DA7" w:rsidRPr="00CA5DA7" w:rsidRDefault="00B7580A" w:rsidP="00B7580A">
      <w:pPr>
        <w:rPr>
          <w:rFonts w:cs="Arial"/>
          <w:color w:val="1F3864" w:themeColor="accent1" w:themeShade="80"/>
          <w:sz w:val="18"/>
          <w:szCs w:val="18"/>
        </w:rPr>
      </w:pPr>
      <w:r>
        <w:rPr>
          <w:rFonts w:cs="Arial"/>
          <w:color w:val="1F3864" w:themeColor="accent1" w:themeShade="80"/>
          <w:sz w:val="18"/>
          <w:szCs w:val="18"/>
        </w:rPr>
        <w:t>Slika 6:</w:t>
      </w:r>
      <w:r w:rsidR="00CA5DA7" w:rsidRPr="00CA5DA7">
        <w:rPr>
          <w:rFonts w:cs="Arial"/>
          <w:color w:val="1F3864" w:themeColor="accent1" w:themeShade="80"/>
          <w:sz w:val="18"/>
          <w:szCs w:val="18"/>
        </w:rPr>
        <w:t xml:space="preserve"> Realizacija na proračunskih postavkah Investicije UE  v letih 2023, 2024 in 2025 (v EUR)</w:t>
      </w:r>
    </w:p>
    <w:p w14:paraId="61CB5850" w14:textId="77777777" w:rsidR="00CA5DA7" w:rsidRPr="00746FD5" w:rsidRDefault="00CA5DA7" w:rsidP="00CA5DA7">
      <w:pPr>
        <w:rPr>
          <w:rFonts w:cs="Arial"/>
          <w:szCs w:val="22"/>
        </w:rPr>
      </w:pPr>
    </w:p>
    <w:p w14:paraId="5107F125" w14:textId="2BB661A4" w:rsidR="00CA5DA7" w:rsidRPr="00746FD5" w:rsidRDefault="00CA5DA7" w:rsidP="00CA5DA7">
      <w:pPr>
        <w:ind w:firstLine="426"/>
        <w:rPr>
          <w:rFonts w:cs="Arial"/>
          <w:szCs w:val="22"/>
        </w:rPr>
      </w:pPr>
      <w:r w:rsidRPr="00746FD5">
        <w:rPr>
          <w:rFonts w:cs="Arial"/>
          <w:szCs w:val="22"/>
        </w:rPr>
        <w:t>Podrobnejš</w:t>
      </w:r>
      <w:r w:rsidR="007A2F2F">
        <w:rPr>
          <w:rFonts w:cs="Arial"/>
          <w:szCs w:val="22"/>
        </w:rPr>
        <w:t>a vsebina</w:t>
      </w:r>
      <w:r w:rsidRPr="00746FD5">
        <w:rPr>
          <w:rFonts w:cs="Arial"/>
          <w:szCs w:val="22"/>
        </w:rPr>
        <w:t xml:space="preserve"> o porabi proračunskih sredstev v upravnih enotah so vključene v Poslovnem poročilu upravnih enot za leto 2025</w:t>
      </w:r>
      <w:r w:rsidR="007A2F2F">
        <w:rPr>
          <w:rFonts w:cs="Arial"/>
          <w:szCs w:val="22"/>
        </w:rPr>
        <w:t xml:space="preserve">. </w:t>
      </w:r>
    </w:p>
    <w:p w14:paraId="55DFB58C" w14:textId="77777777" w:rsidR="00F645DD" w:rsidRPr="00135A6B" w:rsidRDefault="00F645DD" w:rsidP="00135A6B">
      <w:pPr>
        <w:ind w:firstLine="0"/>
        <w:rPr>
          <w:rFonts w:cs="Arial"/>
          <w:b/>
          <w:bCs/>
          <w:sz w:val="28"/>
          <w:szCs w:val="28"/>
        </w:rPr>
      </w:pPr>
    </w:p>
    <w:p w14:paraId="248DD053" w14:textId="3A65C1F0" w:rsidR="00B14ED8" w:rsidRDefault="00B14ED8" w:rsidP="006E70B5">
      <w:pPr>
        <w:pStyle w:val="Naslov1"/>
        <w:numPr>
          <w:ilvl w:val="0"/>
          <w:numId w:val="11"/>
        </w:numPr>
      </w:pPr>
      <w:r w:rsidRPr="00E56884">
        <w:lastRenderedPageBreak/>
        <w:t>OPRAVLJENO DELO V POROČEVALNEM OBDOBJU</w:t>
      </w:r>
    </w:p>
    <w:p w14:paraId="641804F7" w14:textId="67F63A39" w:rsidR="0023211B" w:rsidRDefault="0035331D" w:rsidP="00C77EDD">
      <w:pPr>
        <w:pStyle w:val="Naslov2"/>
      </w:pPr>
      <w:r>
        <w:t>3.1</w:t>
      </w:r>
      <w:r>
        <w:tab/>
      </w:r>
      <w:r w:rsidR="00B14ED8" w:rsidRPr="007531A2">
        <w:t>Realizacija programa dela</w:t>
      </w:r>
    </w:p>
    <w:p w14:paraId="32F67B65" w14:textId="6EB7F0A3" w:rsidR="00B14ED8" w:rsidRDefault="00B14ED8" w:rsidP="00135A6B">
      <w:r w:rsidRPr="007531A2">
        <w:t>Iz poročil upravnih enot je razvidno, da je bil program dela, ki se izkazuje v Poslovnem načrtu upravnih enot za leto 202</w:t>
      </w:r>
      <w:r w:rsidR="0023211B">
        <w:t>5</w:t>
      </w:r>
      <w:r w:rsidRPr="007531A2">
        <w:t>, pretežno dosežen. Realizacija opravljenih nalog v primerjavi s sprejetimi poslovnimi načrti za leto 202</w:t>
      </w:r>
      <w:r w:rsidR="0023211B">
        <w:t>5</w:t>
      </w:r>
      <w:r w:rsidRPr="007531A2">
        <w:t xml:space="preserve"> izkazuje le manjša odstopanja.    </w:t>
      </w:r>
    </w:p>
    <w:p w14:paraId="50E5BD2D" w14:textId="2AAC6A46" w:rsidR="00CC6FA0" w:rsidRDefault="0035331D" w:rsidP="00C77EDD">
      <w:pPr>
        <w:pStyle w:val="Naslov2"/>
      </w:pPr>
      <w:r>
        <w:t>3.2</w:t>
      </w:r>
      <w:r>
        <w:tab/>
      </w:r>
      <w:r w:rsidR="00B14ED8" w:rsidRPr="007531A2">
        <w:t>Statistika upravnega postopka</w:t>
      </w:r>
    </w:p>
    <w:p w14:paraId="59409DA9" w14:textId="02180E9E" w:rsidR="00B14ED8" w:rsidRDefault="00B14ED8" w:rsidP="00B14ED8">
      <w:r w:rsidRPr="007531A2">
        <w:t>V letu 202</w:t>
      </w:r>
      <w:r w:rsidR="00FF3ADC">
        <w:t>5</w:t>
      </w:r>
      <w:r w:rsidRPr="007531A2">
        <w:t xml:space="preserve"> so upravne enote v reševanje prejele 1.27</w:t>
      </w:r>
      <w:r w:rsidR="00FF3ADC">
        <w:t>4</w:t>
      </w:r>
      <w:r w:rsidRPr="007531A2">
        <w:t>.</w:t>
      </w:r>
      <w:r w:rsidR="00FF3ADC">
        <w:t>919</w:t>
      </w:r>
      <w:r w:rsidRPr="007531A2">
        <w:t xml:space="preserve"> vlog za upravne postopke. Skupaj so imele v reševanju 1.3</w:t>
      </w:r>
      <w:r w:rsidR="00FF3ADC">
        <w:t>48</w:t>
      </w:r>
      <w:r w:rsidRPr="007531A2">
        <w:t>.</w:t>
      </w:r>
      <w:r w:rsidR="00FF3ADC">
        <w:t>905</w:t>
      </w:r>
      <w:r w:rsidRPr="007531A2">
        <w:t xml:space="preserve"> zadev. Število rešenih zadev v letu 2024 znaša 1.28</w:t>
      </w:r>
      <w:r w:rsidR="00FF3ADC">
        <w:t>9</w:t>
      </w:r>
      <w:r w:rsidRPr="007531A2">
        <w:t>.</w:t>
      </w:r>
      <w:r w:rsidR="00FF3ADC">
        <w:t>974</w:t>
      </w:r>
      <w:r w:rsidRPr="007531A2">
        <w:t xml:space="preserve"> zadev. V povprečju je bilo rešenih 9</w:t>
      </w:r>
      <w:r w:rsidR="00FF3ADC">
        <w:t>5</w:t>
      </w:r>
      <w:r w:rsidRPr="007531A2">
        <w:t>,</w:t>
      </w:r>
      <w:r w:rsidR="00FF3ADC">
        <w:t>63</w:t>
      </w:r>
      <w:r w:rsidRPr="007531A2">
        <w:t>% zadev prejetih v reševanje. Delež pritožb glede na število rešenih zadev je 0,0</w:t>
      </w:r>
      <w:r w:rsidR="00FF3ADC">
        <w:t>4</w:t>
      </w:r>
      <w:r w:rsidRPr="007531A2">
        <w:t xml:space="preserve">%. Več podatkov in primerjava s preteklima dvema letoma je prikazano v Excelovi datoteki </w:t>
      </w:r>
      <w:r w:rsidRPr="007531A2">
        <w:rPr>
          <w:i/>
          <w:iCs/>
        </w:rPr>
        <w:t>»3_Porocilo_zup_202</w:t>
      </w:r>
      <w:r w:rsidR="0023211B">
        <w:rPr>
          <w:i/>
          <w:iCs/>
        </w:rPr>
        <w:t>5</w:t>
      </w:r>
      <w:r w:rsidRPr="007531A2">
        <w:rPr>
          <w:i/>
          <w:iCs/>
        </w:rPr>
        <w:t>.xlsx«</w:t>
      </w:r>
      <w:r w:rsidRPr="007531A2">
        <w:t xml:space="preserve">, ki je priloga tega poročila. </w:t>
      </w:r>
    </w:p>
    <w:p w14:paraId="179E9BF1" w14:textId="77777777" w:rsidR="00A41C75" w:rsidRDefault="00A41C75" w:rsidP="00A41C75">
      <w:pPr>
        <w:ind w:firstLine="0"/>
      </w:pPr>
    </w:p>
    <w:p w14:paraId="78C3E1B4" w14:textId="77777777" w:rsidR="006E1EF7" w:rsidRPr="007531A2" w:rsidRDefault="006E1EF7" w:rsidP="006E1EF7">
      <w:pPr>
        <w:keepNext/>
        <w:ind w:firstLine="0"/>
      </w:pPr>
      <w:r>
        <w:rPr>
          <w:noProof/>
        </w:rPr>
        <w:drawing>
          <wp:inline distT="0" distB="0" distL="0" distR="0" wp14:anchorId="35037CEA" wp14:editId="5D6F6725">
            <wp:extent cx="5539740" cy="2443522"/>
            <wp:effectExtent l="0" t="0" r="3810" b="13970"/>
            <wp:docPr id="1255821327" name="Grafikon 1" descr="Število upravnih zadev, začetih v poročevalnem obdobju&#10;">
              <a:extLst xmlns:a="http://schemas.openxmlformats.org/drawingml/2006/main">
                <a:ext uri="{FF2B5EF4-FFF2-40B4-BE49-F238E27FC236}">
                  <a16:creationId xmlns:a16="http://schemas.microsoft.com/office/drawing/2014/main" id="{B39B7600-9130-EBB5-A900-DFA5730BF9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76EA7CD" w14:textId="393FA10F" w:rsidR="00A41C75" w:rsidRPr="007531A2" w:rsidRDefault="006E1EF7" w:rsidP="006E1EF7">
      <w:pPr>
        <w:pStyle w:val="Napis"/>
        <w:spacing w:before="120"/>
        <w:jc w:val="center"/>
      </w:pPr>
      <w:r w:rsidRPr="007531A2">
        <w:t xml:space="preserve">Slika </w:t>
      </w:r>
      <w:r w:rsidR="00B7580A">
        <w:t>7</w:t>
      </w:r>
      <w:r w:rsidRPr="007531A2">
        <w:t>: število upravnih zadev začetih v poročevalnem obdobju za leta 2023</w:t>
      </w:r>
      <w:r>
        <w:t xml:space="preserve">, </w:t>
      </w:r>
      <w:r w:rsidRPr="007531A2">
        <w:t>2024</w:t>
      </w:r>
      <w:r>
        <w:t xml:space="preserve"> in 2025</w:t>
      </w:r>
    </w:p>
    <w:p w14:paraId="1EED3D81" w14:textId="77777777" w:rsidR="00B14ED8" w:rsidRPr="007531A2" w:rsidRDefault="00B14ED8" w:rsidP="00B14ED8"/>
    <w:p w14:paraId="28FB1286" w14:textId="15CBC701" w:rsidR="00A41C75" w:rsidRPr="00A41C75" w:rsidRDefault="00A41C75" w:rsidP="00A41C75">
      <w:r w:rsidRPr="00A41C75">
        <w:t>Pri interpretaciji podatkov za leto 2025 je ključno poudariti izrazit trend zmanjševanja števila zaostankov (nerešenih zadev s pretečenim rokom za rešitev). Po rekordnem skoku v letu 2024, ko je bilo zabeleženih 18.336 zaostankov, se je to število v letu 2025 več kot razpolovilo in znaša 8.532 zadev.</w:t>
      </w:r>
      <w:r>
        <w:t xml:space="preserve"> </w:t>
      </w:r>
      <w:r w:rsidRPr="00A41C75">
        <w:t>To zmanjšanje se odraža tudi v deležu zaostankov, ki je z 1,35 % v letu 2024 upadel na 0,63 % v letu 2025.</w:t>
      </w:r>
      <w:r>
        <w:t xml:space="preserve"> </w:t>
      </w:r>
      <w:r w:rsidRPr="00A41C75">
        <w:t>Čeprav je število zaostankov še vedno nekoliko višje kot v izhodiščnem letu 2023 (5.154 zadev), statistika za leto 2025 potrjuje, da so bili ukrepi za optimizacijo procesov učinkoviti, saj se sistem stabilizira in približuje pričakovanim operativnim okvirom.</w:t>
      </w:r>
    </w:p>
    <w:p w14:paraId="02ED9381" w14:textId="43027778" w:rsidR="001A4216" w:rsidRPr="00A41C75" w:rsidRDefault="001A4216" w:rsidP="00B14ED8"/>
    <w:p w14:paraId="2A908D61" w14:textId="43DA20D5" w:rsidR="00B14ED8" w:rsidRPr="007531A2" w:rsidRDefault="006E1EF7" w:rsidP="00A41C75">
      <w:pPr>
        <w:keepNext/>
        <w:ind w:firstLine="0"/>
      </w:pPr>
      <w:r>
        <w:rPr>
          <w:noProof/>
        </w:rPr>
        <w:lastRenderedPageBreak/>
        <w:drawing>
          <wp:inline distT="0" distB="0" distL="0" distR="0" wp14:anchorId="222A582F" wp14:editId="399F53D0">
            <wp:extent cx="5363455" cy="2743200"/>
            <wp:effectExtent l="0" t="0" r="8890" b="0"/>
            <wp:docPr id="1884351679" name="Grafikon 1" descr="Število zaostankov&#10;(nerešene zadeve s pretečenim rokom za rešitev)&#10;">
              <a:extLst xmlns:a="http://schemas.openxmlformats.org/drawingml/2006/main">
                <a:ext uri="{FF2B5EF4-FFF2-40B4-BE49-F238E27FC236}">
                  <a16:creationId xmlns:a16="http://schemas.microsoft.com/office/drawing/2014/main" id="{FE72C8A5-0CEC-2EBA-DB4D-39F283EA03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A52947A" w14:textId="3ACB9328" w:rsidR="00B14ED8" w:rsidRDefault="00B14ED8" w:rsidP="00EA5DDA">
      <w:pPr>
        <w:pStyle w:val="Napis"/>
        <w:spacing w:before="120"/>
      </w:pPr>
      <w:r w:rsidRPr="007531A2">
        <w:t xml:space="preserve">Slika </w:t>
      </w:r>
      <w:r w:rsidR="00B7580A">
        <w:t>8</w:t>
      </w:r>
      <w:r w:rsidRPr="007531A2">
        <w:t xml:space="preserve">: število </w:t>
      </w:r>
      <w:r w:rsidR="006E1EF7">
        <w:t>zaostankov za leto</w:t>
      </w:r>
      <w:r w:rsidRPr="007531A2">
        <w:t xml:space="preserve"> 2023</w:t>
      </w:r>
      <w:r w:rsidR="00A41C75">
        <w:t xml:space="preserve">, </w:t>
      </w:r>
      <w:r w:rsidRPr="007531A2">
        <w:t>2024</w:t>
      </w:r>
      <w:r w:rsidR="00A41C75">
        <w:t xml:space="preserve"> in 2025</w:t>
      </w:r>
    </w:p>
    <w:p w14:paraId="728FC4E5" w14:textId="77777777" w:rsidR="00641A5A" w:rsidRPr="00641A5A" w:rsidRDefault="00641A5A" w:rsidP="00641A5A"/>
    <w:p w14:paraId="0D16E317" w14:textId="202B5AD3" w:rsidR="00B14ED8" w:rsidRPr="007531A2" w:rsidRDefault="00A41C75" w:rsidP="00A41C75">
      <w:pPr>
        <w:ind w:firstLine="0"/>
      </w:pPr>
      <w:r>
        <w:rPr>
          <w:noProof/>
        </w:rPr>
        <w:drawing>
          <wp:inline distT="0" distB="0" distL="0" distR="0" wp14:anchorId="3A481643" wp14:editId="20CB2A08">
            <wp:extent cx="5486400" cy="2743200"/>
            <wp:effectExtent l="0" t="0" r="0" b="0"/>
            <wp:docPr id="2070819248" name="Grafikon 1" descr="delež rešenih zadev v zakonitem roku&#10;">
              <a:extLst xmlns:a="http://schemas.openxmlformats.org/drawingml/2006/main">
                <a:ext uri="{FF2B5EF4-FFF2-40B4-BE49-F238E27FC236}">
                  <a16:creationId xmlns:a16="http://schemas.microsoft.com/office/drawing/2014/main" id="{FC7860D4-894B-8887-3769-FEDB229FC1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87E370B" w14:textId="5EA8F975" w:rsidR="00B14ED8" w:rsidRPr="007531A2" w:rsidRDefault="00B14ED8" w:rsidP="00EA5DDA">
      <w:pPr>
        <w:pStyle w:val="Napis"/>
        <w:spacing w:before="120"/>
        <w:ind w:firstLine="576"/>
      </w:pPr>
      <w:r w:rsidRPr="007531A2">
        <w:t xml:space="preserve">Slika </w:t>
      </w:r>
      <w:r w:rsidR="00B7580A">
        <w:t>9</w:t>
      </w:r>
      <w:r w:rsidRPr="007531A2">
        <w:t xml:space="preserve">: </w:t>
      </w:r>
      <w:r w:rsidR="006E1EF7">
        <w:t>deleže rešenih zadev v zakonitem roku za leto 2023, 2024 in 2025</w:t>
      </w:r>
    </w:p>
    <w:p w14:paraId="0D126DCD" w14:textId="567C6D31" w:rsidR="00B14ED8" w:rsidRDefault="0035331D" w:rsidP="00C77EDD">
      <w:pPr>
        <w:pStyle w:val="Naslov2"/>
      </w:pPr>
      <w:r>
        <w:t>3.3</w:t>
      </w:r>
      <w:r>
        <w:tab/>
      </w:r>
      <w:r w:rsidR="00B14ED8" w:rsidRPr="007531A2">
        <w:t>Druge naloge</w:t>
      </w:r>
    </w:p>
    <w:p w14:paraId="170B0BEB" w14:textId="617D84A5" w:rsidR="00B14ED8" w:rsidRDefault="0035331D" w:rsidP="00B14ED8">
      <w:pPr>
        <w:pStyle w:val="Naslov3"/>
        <w:numPr>
          <w:ilvl w:val="2"/>
          <w:numId w:val="0"/>
        </w:numPr>
        <w:ind w:left="720" w:hanging="720"/>
      </w:pPr>
      <w:r>
        <w:t>3.3.1</w:t>
      </w:r>
      <w:r>
        <w:tab/>
      </w:r>
      <w:r w:rsidR="00B14ED8" w:rsidRPr="007531A2">
        <w:t>Druge upravne naloge</w:t>
      </w:r>
    </w:p>
    <w:p w14:paraId="1DD503ED" w14:textId="48DDAFC7" w:rsidR="00B14ED8" w:rsidRPr="007531A2" w:rsidRDefault="00B14ED8" w:rsidP="00B14ED8">
      <w:r w:rsidRPr="007531A2">
        <w:t>V letu 202</w:t>
      </w:r>
      <w:r w:rsidR="006E1EF7">
        <w:t>5</w:t>
      </w:r>
      <w:r w:rsidRPr="007531A2">
        <w:t xml:space="preserve"> je bilo na upravnih enotah rešenih </w:t>
      </w:r>
      <w:r w:rsidR="00135A6B">
        <w:t>2.248.523</w:t>
      </w:r>
      <w:r w:rsidRPr="007531A2">
        <w:t xml:space="preserve"> drugih upravnih nalog in 6.</w:t>
      </w:r>
      <w:r w:rsidR="00135A6B">
        <w:t>609</w:t>
      </w:r>
      <w:r w:rsidRPr="007531A2">
        <w:t xml:space="preserve"> prekrškovnih zadev. Podatki po upravnih enotah in po področjih so prikazani v Excelovi datoteki </w:t>
      </w:r>
      <w:r w:rsidRPr="007531A2">
        <w:rPr>
          <w:i/>
          <w:iCs/>
        </w:rPr>
        <w:t>»4_Druge-upravne-naloge_202</w:t>
      </w:r>
      <w:r w:rsidR="00135A6B">
        <w:rPr>
          <w:i/>
          <w:iCs/>
        </w:rPr>
        <w:t>5</w:t>
      </w:r>
      <w:r w:rsidRPr="007531A2">
        <w:rPr>
          <w:i/>
          <w:iCs/>
        </w:rPr>
        <w:t>.xlsx«</w:t>
      </w:r>
      <w:r w:rsidRPr="007531A2">
        <w:t>, ki je priloga vsebinskega poročila.</w:t>
      </w:r>
    </w:p>
    <w:p w14:paraId="130E0708" w14:textId="1FA42BB1" w:rsidR="001A4216" w:rsidRDefault="0035331D" w:rsidP="00135A6B">
      <w:pPr>
        <w:pStyle w:val="Naslov3"/>
        <w:numPr>
          <w:ilvl w:val="2"/>
          <w:numId w:val="0"/>
        </w:numPr>
        <w:ind w:left="720" w:hanging="720"/>
      </w:pPr>
      <w:r>
        <w:t>3.3.2</w:t>
      </w:r>
      <w:r>
        <w:tab/>
      </w:r>
      <w:r w:rsidR="00B14ED8" w:rsidRPr="00EA5DDA">
        <w:t>Druge naloge</w:t>
      </w:r>
    </w:p>
    <w:p w14:paraId="7965CC19" w14:textId="77777777" w:rsidR="00EA5DDA" w:rsidRPr="00EA5DDA" w:rsidRDefault="00EA5DDA" w:rsidP="00EA5DDA">
      <w:r w:rsidRPr="00EA5DDA">
        <w:t xml:space="preserve">V letu 2025 so upravne enote poleg rednih upravnih postopkov in drugih upravnih nalog izvajale širok nabor podpornih, organizacijskih in razvojnih aktivnosti, ki so pomembno prispevale k stabilnemu delovanju sistema upravnih enot. Leto je bilo tudi </w:t>
      </w:r>
      <w:r w:rsidRPr="00EA5DDA">
        <w:lastRenderedPageBreak/>
        <w:t>jubilejno, saj je minilo 30 let od ustanovitve upravnih enot, kar je spodbudilo razmislek o njihovi vlogi, profesionalizaciji in nadaljnjem razvoju v sodobni državni upravi.</w:t>
      </w:r>
    </w:p>
    <w:p w14:paraId="5153C867" w14:textId="77777777" w:rsidR="00EA5DDA" w:rsidRPr="00EA5DDA" w:rsidRDefault="00EA5DDA" w:rsidP="00EA5DDA"/>
    <w:p w14:paraId="163BF1DC" w14:textId="77777777" w:rsidR="00EA5DDA" w:rsidRPr="00EA5DDA" w:rsidRDefault="00EA5DDA" w:rsidP="00EA5DDA">
      <w:r w:rsidRPr="00EA5DDA">
        <w:t>Pomemben del drugih nalog je bil povezan z urejanjem dokumentarnega gradiva, arhiviranjem, izločanjem gradiva s poteklim rokom hrambe ter izboljševanjem sledljivosti dokumentov. Zaradi velikih količin gradiva, zlasti na področju tujcev, so upravne enote veliko pozornosti namenile optimizaciji arhivskih prostorov, skeniranju, knjiženju in zagotavljanju skladnosti med fizičnimi in elektronskimi spisi.</w:t>
      </w:r>
    </w:p>
    <w:p w14:paraId="14BA419E" w14:textId="77777777" w:rsidR="00EA5DDA" w:rsidRPr="00EA5DDA" w:rsidRDefault="00EA5DDA" w:rsidP="00EA5DDA"/>
    <w:p w14:paraId="487402D2" w14:textId="77777777" w:rsidR="00EA5DDA" w:rsidRPr="00EA5DDA" w:rsidRDefault="00EA5DDA" w:rsidP="00EA5DDA">
      <w:r w:rsidRPr="00EA5DDA">
        <w:t>V letu 2025 so potekale številne aktivnosti za izboljšanje organizacijskih procesov, digitalizacijo in podporo informacijskim sistemom. Upravne enote so sodelovale pri testiranju in uvajanju novih rešitev (npr. e</w:t>
      </w:r>
      <w:r w:rsidRPr="00EA5DDA">
        <w:noBreakHyphen/>
        <w:t>panik stikalo, nadgradnje informacijskih sistemov), hkrati pa so se soočale s tehničnimi izzivi, kot je počasno delovanje omrežja, o čemer so redno obveščale pristojna ministrstva. Nadaljevale so se tudi aktivnosti za optimizacijo poslovanja glavnih pisarn, ki izvajajo ključne podporne naloge vložišča, odpreme pošte, blagajniškega poslovanja in posredovanja splošnih informacij strankam.</w:t>
      </w:r>
    </w:p>
    <w:p w14:paraId="259D0383" w14:textId="77777777" w:rsidR="00EA5DDA" w:rsidRPr="00EA5DDA" w:rsidRDefault="00EA5DDA" w:rsidP="00EA5DDA"/>
    <w:p w14:paraId="139C8E89" w14:textId="77777777" w:rsidR="00EA5DDA" w:rsidRPr="00EA5DDA" w:rsidRDefault="00EA5DDA" w:rsidP="00EA5DDA">
      <w:r w:rsidRPr="00EA5DDA">
        <w:t>Upravne enote so v letu 2025 sistemsko sodelovale pri pripravi predpisov, saj so bili številni načelniki vključeni v delovne skupine za posamezna področja dela. S pripravo strokovnih podlag, predlogov rešitev in odzivov v postopkih medresorskega usklajevanja so pomembno prispevali k oblikovanju zakonodaje, ki bolje odraža praktične potrebe upravnih enot.</w:t>
      </w:r>
    </w:p>
    <w:p w14:paraId="7814DE5B" w14:textId="77777777" w:rsidR="00EA5DDA" w:rsidRPr="00EA5DDA" w:rsidRDefault="00EA5DDA" w:rsidP="00EA5DDA"/>
    <w:p w14:paraId="53A338ED" w14:textId="4B458C26" w:rsidR="00EA5DDA" w:rsidRPr="00EA5DDA" w:rsidRDefault="00EA5DDA" w:rsidP="00EA5DDA">
      <w:r w:rsidRPr="00EA5DDA">
        <w:t>Pomemben del drugih nalog je bil namenjen varnosti in zdravju pri delu. Upravne enote so izvajale redna usposabljanja, tehnične prilagoditve prostorov ter ukrepe za varno delo z zahtevnimi strankami. Izvajale so tudi aktivnosti promocije zdravja na delovnem mestu, med drugim tradicionalni slovenski zajtrk in nakup pripomočkov za razbremenitev pri delu, skladno s smernicami MZ in MDDSZ</w:t>
      </w:r>
      <w:r w:rsidR="00B366E6">
        <w:t>EM</w:t>
      </w:r>
      <w:r w:rsidRPr="00EA5DDA">
        <w:t>.</w:t>
      </w:r>
    </w:p>
    <w:p w14:paraId="37CBBD48" w14:textId="77777777" w:rsidR="00EA5DDA" w:rsidRPr="00EA5DDA" w:rsidRDefault="00EA5DDA" w:rsidP="00EA5DDA"/>
    <w:p w14:paraId="1E293D30" w14:textId="77777777" w:rsidR="00EA5DDA" w:rsidRPr="00EA5DDA" w:rsidRDefault="00EA5DDA" w:rsidP="00EA5DDA">
      <w:r w:rsidRPr="00EA5DDA">
        <w:t>Poleg navedenega so upravne enote izvajale naloge, povezane z izvedbo volilnih in referendumskih opravil, sodelovale v različnih komisijah ter zagotavljale podporo drugim državnim organom. Zaradi povečanega obsega dela v glavnih pisarnah, nadomeščanja odsotnosti in zagotavljanja nemotenega delovanja vložišč je bilo potrebno veliko prilagodljivosti in medsebojnega sodelovanja zaposlenih.</w:t>
      </w:r>
    </w:p>
    <w:p w14:paraId="2F1D1F99" w14:textId="77777777" w:rsidR="00EA5DDA" w:rsidRPr="00EA5DDA" w:rsidRDefault="00EA5DDA" w:rsidP="00EA5DDA"/>
    <w:p w14:paraId="7E86EB13" w14:textId="4846F5DD" w:rsidR="00EA5DDA" w:rsidRDefault="00EA5DDA" w:rsidP="00EA5DDA">
      <w:r w:rsidRPr="00EA5DDA">
        <w:t>S celotnim naborom teh nalog so upravne enote v letu 2025 ponovno dokazale svojo ključno vlogo v sistemu državne uprave – kot zanesljiv, strokoven in prilagodljiv steber, ki zagotavlja stabilno delovanje države in kakovostne storitve.</w:t>
      </w:r>
    </w:p>
    <w:p w14:paraId="5FF882EC" w14:textId="16D8D51E" w:rsidR="00B14ED8" w:rsidRDefault="00B14ED8" w:rsidP="006E70B5">
      <w:pPr>
        <w:pStyle w:val="Naslov1"/>
        <w:numPr>
          <w:ilvl w:val="0"/>
          <w:numId w:val="11"/>
        </w:numPr>
      </w:pPr>
      <w:r w:rsidRPr="001A07E7">
        <w:t>VSEBINSKA PROBLEMATIKA PO PODROČJIH DELA</w:t>
      </w:r>
    </w:p>
    <w:p w14:paraId="5BC38820" w14:textId="77777777" w:rsidR="00B14ED8" w:rsidRDefault="00B14ED8" w:rsidP="00B14ED8">
      <w:r w:rsidRPr="005157CA">
        <w:t xml:space="preserve">V nadaljevanju so predstavljena poročila po področjih dela in sicer splošno, vsebinska problematika in sodelovanje z resorjem. Predlogi za boljše delo, ki so jih v poročilih za posamezno področje podale upravne enote, </w:t>
      </w:r>
      <w:r w:rsidRPr="0032760D">
        <w:t xml:space="preserve">bodo </w:t>
      </w:r>
      <w:r>
        <w:t xml:space="preserve">posredovani v seznanitev in obravnavo </w:t>
      </w:r>
      <w:r w:rsidRPr="0032760D">
        <w:t>pristojnemu ministrstvu</w:t>
      </w:r>
      <w:r>
        <w:t>.</w:t>
      </w:r>
    </w:p>
    <w:p w14:paraId="27341645" w14:textId="77777777" w:rsidR="00B366E6" w:rsidRDefault="00B366E6" w:rsidP="00374AED">
      <w:pPr>
        <w:ind w:firstLine="0"/>
      </w:pPr>
    </w:p>
    <w:p w14:paraId="1B3B2D56" w14:textId="77777777" w:rsidR="00374AED" w:rsidRPr="00B366E6" w:rsidRDefault="00374AED" w:rsidP="00374AED">
      <w:pPr>
        <w:ind w:firstLine="0"/>
      </w:pPr>
    </w:p>
    <w:p w14:paraId="6BB72818" w14:textId="768BF2D5" w:rsidR="004421E4" w:rsidRPr="00C77EDD" w:rsidRDefault="0035331D" w:rsidP="00C77EDD">
      <w:pPr>
        <w:pStyle w:val="Naslov2"/>
      </w:pPr>
      <w:r>
        <w:lastRenderedPageBreak/>
        <w:t>4.1</w:t>
      </w:r>
      <w:r>
        <w:tab/>
      </w:r>
      <w:r w:rsidR="004421E4" w:rsidRPr="004421E4">
        <w:t>Upravne notranje zadeve</w:t>
      </w:r>
    </w:p>
    <w:p w14:paraId="64B11FC6" w14:textId="77777777" w:rsidR="004421E4" w:rsidRDefault="004421E4" w:rsidP="004421E4">
      <w:pPr>
        <w:rPr>
          <w:rFonts w:eastAsia="Aptos" w:cs="Arial"/>
          <w:kern w:val="2"/>
          <w:szCs w:val="22"/>
          <w:lang w:eastAsia="en-US"/>
          <w14:ligatures w14:val="standardContextual"/>
        </w:rPr>
      </w:pPr>
      <w:r w:rsidRPr="004421E4">
        <w:rPr>
          <w:rFonts w:eastAsia="Aptos" w:cs="Arial"/>
          <w:kern w:val="2"/>
          <w:szCs w:val="22"/>
          <w:lang w:eastAsia="en-US"/>
          <w14:ligatures w14:val="standardContextual"/>
        </w:rPr>
        <w:t>V letu 2025 so upravne enote obravnavale 888.338 upravnih zadev, od tega so jih rešile 843.983. Poleg tega so opravile še 1.407.923 drugih upravnih nalog. V primerjavi z letom 2024 se je število upravnih zadev zmanjšalo za približno 4,71 % (iz 932.218 na 888.338), število drugih upravnih nalog pa je naraslo za 9,81 % (iz 1.282.089 na 1.407.923).</w:t>
      </w:r>
    </w:p>
    <w:p w14:paraId="7A1CE550" w14:textId="353059B3" w:rsidR="004421E4" w:rsidRPr="00D864AE" w:rsidRDefault="0035331D" w:rsidP="00D864AE">
      <w:pPr>
        <w:pStyle w:val="Naslov3"/>
        <w:numPr>
          <w:ilvl w:val="2"/>
          <w:numId w:val="0"/>
        </w:numPr>
        <w:ind w:left="720" w:hanging="720"/>
      </w:pPr>
      <w:r w:rsidRPr="00D864AE">
        <w:t>4.1.1</w:t>
      </w:r>
      <w:r w:rsidRPr="00D864AE">
        <w:tab/>
      </w:r>
      <w:r w:rsidR="004421E4" w:rsidRPr="00D864AE">
        <w:t>Vsebinska problematika</w:t>
      </w:r>
    </w:p>
    <w:p w14:paraId="41962DF7" w14:textId="77777777" w:rsidR="004421E4" w:rsidRDefault="004421E4" w:rsidP="004421E4">
      <w:pPr>
        <w:rPr>
          <w:rFonts w:eastAsia="Aptos" w:cs="Arial"/>
          <w:kern w:val="2"/>
          <w:szCs w:val="22"/>
          <w:lang w:eastAsia="en-US"/>
          <w14:ligatures w14:val="standardContextual"/>
        </w:rPr>
      </w:pPr>
      <w:r w:rsidRPr="004421E4">
        <w:rPr>
          <w:rFonts w:eastAsia="Aptos" w:cs="Arial"/>
          <w:kern w:val="2"/>
          <w:szCs w:val="22"/>
          <w:lang w:eastAsia="en-US"/>
          <w14:ligatures w14:val="standardContextual"/>
        </w:rPr>
        <w:t>Leto 2025 je na področju upravno notranjih zadev zaznamovala kombinacija zahtevnosti in povečanja obremenitev v postopkih tujcev, orožja, prijav prebivališč in volilnih opravil, ter zakonodajnih sprememb, ki od upravnih enot zahtevajo nenehna prilagajanja, ter v zvezi s tem potrebe po usmeritvah, usposabljanjih in iskanju novih informacijskih rešitev za učinkovitejše upravljanje s podatki.</w:t>
      </w:r>
    </w:p>
    <w:p w14:paraId="01AA9ADB" w14:textId="77777777" w:rsidR="00B21E24" w:rsidRDefault="00B21E24" w:rsidP="004421E4">
      <w:pPr>
        <w:rPr>
          <w:rFonts w:eastAsia="Aptos" w:cs="Arial"/>
          <w:kern w:val="2"/>
          <w:szCs w:val="22"/>
          <w:lang w:eastAsia="en-US"/>
          <w14:ligatures w14:val="standardContextual"/>
        </w:rPr>
      </w:pPr>
    </w:p>
    <w:p w14:paraId="396E38F8" w14:textId="0409A925" w:rsidR="004421E4" w:rsidRDefault="004421E4" w:rsidP="004421E4">
      <w:pPr>
        <w:rPr>
          <w:rFonts w:eastAsia="Aptos" w:cs="Arial"/>
          <w:kern w:val="2"/>
          <w:szCs w:val="22"/>
          <w:lang w:eastAsia="en-US"/>
          <w14:ligatures w14:val="standardContextual"/>
        </w:rPr>
      </w:pPr>
      <w:r w:rsidRPr="004421E4">
        <w:rPr>
          <w:rFonts w:eastAsia="Aptos" w:cs="Arial"/>
          <w:kern w:val="2"/>
          <w:szCs w:val="22"/>
          <w:lang w:eastAsia="en-US"/>
          <w14:ligatures w14:val="standardContextual"/>
        </w:rPr>
        <w:t>Ključni izzivi po področjih so bili naslednji:</w:t>
      </w:r>
    </w:p>
    <w:p w14:paraId="378E937B" w14:textId="77777777" w:rsidR="00B21E24" w:rsidRDefault="00B21E24" w:rsidP="004421E4">
      <w:pPr>
        <w:rPr>
          <w:rFonts w:eastAsia="Aptos" w:cs="Arial"/>
          <w:kern w:val="2"/>
          <w:szCs w:val="22"/>
          <w:lang w:eastAsia="en-US"/>
          <w14:ligatures w14:val="standardContextual"/>
        </w:rPr>
      </w:pPr>
    </w:p>
    <w:p w14:paraId="25626C03" w14:textId="2007F0B1" w:rsidR="004421E4" w:rsidRDefault="004421E4" w:rsidP="00B21E24">
      <w:pPr>
        <w:suppressAutoHyphens w:val="0"/>
        <w:spacing w:line="278" w:lineRule="auto"/>
        <w:ind w:firstLine="0"/>
        <w:rPr>
          <w:rFonts w:eastAsia="Aptos" w:cs="Arial"/>
          <w:kern w:val="2"/>
          <w:szCs w:val="22"/>
          <w:lang w:eastAsia="en-US"/>
          <w14:ligatures w14:val="standardContextual"/>
        </w:rPr>
      </w:pPr>
      <w:r w:rsidRPr="004421E4">
        <w:rPr>
          <w:rFonts w:eastAsia="Aptos" w:cs="Arial"/>
          <w:kern w:val="2"/>
          <w:szCs w:val="22"/>
          <w:lang w:eastAsia="en-US"/>
          <w14:ligatures w14:val="standardContextual"/>
        </w:rPr>
        <w:t>Tujci:</w:t>
      </w:r>
      <w:r w:rsidR="0043561F">
        <w:rPr>
          <w:rFonts w:eastAsia="Aptos" w:cs="Arial"/>
          <w:kern w:val="2"/>
          <w:szCs w:val="22"/>
          <w:lang w:eastAsia="en-US"/>
          <w14:ligatures w14:val="standardContextual"/>
        </w:rPr>
        <w:t xml:space="preserve"> T</w:t>
      </w:r>
      <w:r w:rsidRPr="004421E4">
        <w:rPr>
          <w:rFonts w:eastAsia="Aptos" w:cs="Arial"/>
          <w:kern w:val="2"/>
          <w:szCs w:val="22"/>
          <w:lang w:eastAsia="en-US"/>
          <w14:ligatures w14:val="standardContextual"/>
        </w:rPr>
        <w:t>ako kot pretekla leta, je bilo tudi v letu 2025 najbolj obremenjeno delovno področje tujcev. Reševanje podaljšujejo številne nepopolne vloge pooblaščencev, preverjanja verodostojnosti tujih listin, izobraževalnih dokazil in potrdil o nekaznovanju,  zamude pri vročanjih dovoljenj v tujini in zaslišanjih na diplomatsko-konzularnih predstavništvih (zlasti Indija – čakanje tudi več kot 6 mesecev), ter dolgi postopki izdaje soglasij Zavoda Republike Slovenije za zaposlovanje. Zaznana je porast vlog državljanov Indije, Nepala, Bangladeša, Filipinov in Rusije, ter povečanje zlorab v primerih izdaj dovoljenj za prebivanje iz razloga študija (posledično izvedeni številni postopki ustavitev zaradi sumov zlorab), združevanja družin, kratkotrajnega dela digitalnih nomadov (nova vrsta dovoljenj tujcev, ki delajo na daljavo za tujega delodajalca ali kot samozaposleni, pri čemer obstaja postopkovna in dokazna negotovost) in porast fiktivnih prijav prebivališč tujcev z namenom dostopa do zdravstvenega varstva. Izkaznice za začasno zaščito se v letu 2025 z novo sprejetima Zakonom o začasni zaščiti razseljenih oseb in Pravilnikom o obrazcih vlog, potrdil, izkaznice in prepustnice za premestitev, ki se izdajo v postopkih začasne zaščite razseljenih oseb, izdaja brez roka veljavnosti in brez naslova. Enotne usmeritve resornega ministrstva, iskanje dodatnih možnosti za digitalizacijo postopkov in hitrejših odzivov diplomatsko-konzularnih predstavništev, so stalnica za iskanje boljših prihodnjih rešitev.</w:t>
      </w:r>
    </w:p>
    <w:p w14:paraId="2FE61A41" w14:textId="77777777" w:rsidR="00B21E24" w:rsidRPr="004421E4" w:rsidRDefault="00B21E24" w:rsidP="00B21E24">
      <w:pPr>
        <w:suppressAutoHyphens w:val="0"/>
        <w:spacing w:line="278" w:lineRule="auto"/>
        <w:ind w:firstLine="0"/>
        <w:rPr>
          <w:rFonts w:eastAsia="Aptos" w:cs="Arial"/>
          <w:kern w:val="2"/>
          <w:szCs w:val="22"/>
          <w:lang w:eastAsia="en-US"/>
          <w14:ligatures w14:val="standardContextual"/>
        </w:rPr>
      </w:pPr>
    </w:p>
    <w:p w14:paraId="7A9E85B3" w14:textId="60E67F73" w:rsidR="004421E4" w:rsidRDefault="004421E4" w:rsidP="00B21E24">
      <w:pPr>
        <w:suppressAutoHyphens w:val="0"/>
        <w:spacing w:line="278" w:lineRule="auto"/>
        <w:ind w:firstLine="0"/>
        <w:rPr>
          <w:rFonts w:eastAsia="Aptos" w:cs="Arial"/>
          <w:kern w:val="2"/>
          <w:szCs w:val="22"/>
          <w:lang w:eastAsia="en-US"/>
          <w14:ligatures w14:val="standardContextual"/>
        </w:rPr>
      </w:pPr>
      <w:r w:rsidRPr="004421E4">
        <w:rPr>
          <w:rFonts w:eastAsia="Aptos" w:cs="Arial"/>
          <w:kern w:val="2"/>
          <w:szCs w:val="22"/>
          <w:lang w:eastAsia="en-US"/>
          <w14:ligatures w14:val="standardContextual"/>
        </w:rPr>
        <w:t>Državljanstvo:</w:t>
      </w:r>
      <w:r w:rsidR="0043561F">
        <w:rPr>
          <w:rFonts w:eastAsia="Aptos" w:cs="Arial"/>
          <w:kern w:val="2"/>
          <w:szCs w:val="22"/>
          <w:lang w:eastAsia="en-US"/>
          <w14:ligatures w14:val="standardContextual"/>
        </w:rPr>
        <w:t xml:space="preserve"> </w:t>
      </w:r>
      <w:r w:rsidRPr="004421E4">
        <w:rPr>
          <w:rFonts w:eastAsia="Aptos" w:cs="Arial"/>
          <w:kern w:val="2"/>
          <w:szCs w:val="22"/>
          <w:lang w:eastAsia="en-US"/>
          <w14:ligatures w14:val="standardContextual"/>
        </w:rPr>
        <w:t xml:space="preserve">Število vlog s področja državljanstva je stabilno, pri čemer so zaznane težave pri dokazovanju sredstev za preživljanje, preverjanju tujih listin in izpolnjevanju pogoja znanja slovenskega jezika. Digitalna arhivska orodja, enotne evidence glede prisotnosti tujcev v Republiki Sloveniji, več možnih terminov za opravljanje izpita iz slovenskega jezika, so v prihodnje verjetno lahko možna iskanja izhodišč za pospešitev tako prvostopnih postopkov pred upravno enoto kot revizijskih postopkov resornega ministrstva.  </w:t>
      </w:r>
    </w:p>
    <w:p w14:paraId="4AEB3CC3" w14:textId="77777777" w:rsidR="00B21E24" w:rsidRPr="004421E4" w:rsidRDefault="00B21E24" w:rsidP="00B21E24">
      <w:pPr>
        <w:suppressAutoHyphens w:val="0"/>
        <w:spacing w:line="278" w:lineRule="auto"/>
        <w:ind w:firstLine="0"/>
        <w:rPr>
          <w:rFonts w:eastAsia="Aptos" w:cs="Arial"/>
          <w:kern w:val="2"/>
          <w:szCs w:val="22"/>
          <w:lang w:eastAsia="en-US"/>
          <w14:ligatures w14:val="standardContextual"/>
        </w:rPr>
      </w:pPr>
    </w:p>
    <w:p w14:paraId="685F0198" w14:textId="70D83571" w:rsidR="004421E4" w:rsidRDefault="004421E4" w:rsidP="00B21E24">
      <w:pPr>
        <w:suppressAutoHyphens w:val="0"/>
        <w:spacing w:line="278" w:lineRule="auto"/>
        <w:ind w:firstLine="0"/>
        <w:rPr>
          <w:rFonts w:eastAsia="Aptos" w:cs="Arial"/>
          <w:kern w:val="2"/>
          <w:szCs w:val="22"/>
          <w:lang w:eastAsia="en-US"/>
          <w14:ligatures w14:val="standardContextual"/>
        </w:rPr>
      </w:pPr>
      <w:r w:rsidRPr="004421E4">
        <w:rPr>
          <w:rFonts w:eastAsia="Aptos" w:cs="Arial"/>
          <w:kern w:val="2"/>
          <w:szCs w:val="22"/>
          <w:lang w:eastAsia="en-US"/>
          <w14:ligatures w14:val="standardContextual"/>
        </w:rPr>
        <w:t>Prijava prebivališč:</w:t>
      </w:r>
      <w:r w:rsidR="0043561F">
        <w:rPr>
          <w:rFonts w:eastAsia="Aptos" w:cs="Arial"/>
          <w:kern w:val="2"/>
          <w:szCs w:val="22"/>
          <w:lang w:eastAsia="en-US"/>
          <w14:ligatures w14:val="standardContextual"/>
        </w:rPr>
        <w:t xml:space="preserve"> </w:t>
      </w:r>
      <w:r w:rsidRPr="004421E4">
        <w:rPr>
          <w:rFonts w:eastAsia="Aptos" w:cs="Arial"/>
          <w:kern w:val="2"/>
          <w:szCs w:val="22"/>
          <w:lang w:eastAsia="en-US"/>
          <w14:ligatures w14:val="standardContextual"/>
        </w:rPr>
        <w:t xml:space="preserve">Upravne enote poročajo o porastu fiktivnih prijav, potrebi po hitrejšem postopku ugotavljanja dejanskega prebivališča in porastu pošiljanja tipskih obvestil lastnikom ob prijavi tretjih oseb. Ustrezna zagotovitev vseh potrebnih pogojev širše rabe </w:t>
      </w:r>
      <w:r w:rsidRPr="004421E4">
        <w:rPr>
          <w:rFonts w:eastAsia="Aptos" w:cs="Arial"/>
          <w:kern w:val="2"/>
          <w:szCs w:val="22"/>
          <w:lang w:eastAsia="en-US"/>
          <w14:ligatures w14:val="standardContextual"/>
        </w:rPr>
        <w:lastRenderedPageBreak/>
        <w:t>elektronske prijave, tehnična dopolnitev registra prebivalstva z dodatnimi opomniki in opozorili, možnost ustavitev ugotovitvenih postopkov na podlagi domnev, boljša povezava z GURS-om, ter jasnejša navodila o možnostih dokazovanja v postopkih, bi lahko pripomogli k večji učinkovitosti.</w:t>
      </w:r>
    </w:p>
    <w:p w14:paraId="1CCBFEB6" w14:textId="77777777" w:rsidR="00B21E24" w:rsidRPr="004421E4" w:rsidRDefault="00B21E24" w:rsidP="00B21E24">
      <w:pPr>
        <w:suppressAutoHyphens w:val="0"/>
        <w:spacing w:line="278" w:lineRule="auto"/>
        <w:ind w:firstLine="0"/>
        <w:rPr>
          <w:rFonts w:eastAsia="Aptos" w:cs="Arial"/>
          <w:kern w:val="2"/>
          <w:szCs w:val="22"/>
          <w:lang w:eastAsia="en-US"/>
          <w14:ligatures w14:val="standardContextual"/>
        </w:rPr>
      </w:pPr>
    </w:p>
    <w:p w14:paraId="1951D38F" w14:textId="2AA93B7B" w:rsidR="004421E4" w:rsidRDefault="004421E4" w:rsidP="00B21E24">
      <w:pPr>
        <w:suppressAutoHyphens w:val="0"/>
        <w:spacing w:line="278" w:lineRule="auto"/>
        <w:ind w:firstLine="0"/>
        <w:rPr>
          <w:rFonts w:eastAsia="Aptos" w:cs="Arial"/>
          <w:kern w:val="2"/>
          <w:szCs w:val="22"/>
          <w:lang w:eastAsia="en-US"/>
          <w14:ligatures w14:val="standardContextual"/>
        </w:rPr>
      </w:pPr>
      <w:r w:rsidRPr="004421E4">
        <w:rPr>
          <w:rFonts w:eastAsia="Aptos" w:cs="Arial"/>
          <w:kern w:val="2"/>
          <w:szCs w:val="22"/>
          <w:lang w:eastAsia="en-US"/>
          <w14:ligatures w14:val="standardContextual"/>
        </w:rPr>
        <w:t>Izdaja osebnih dokumentov:</w:t>
      </w:r>
      <w:r w:rsidR="0043561F">
        <w:rPr>
          <w:rFonts w:eastAsia="Aptos" w:cs="Arial"/>
          <w:kern w:val="2"/>
          <w:szCs w:val="22"/>
          <w:lang w:eastAsia="en-US"/>
          <w14:ligatures w14:val="standardContextual"/>
        </w:rPr>
        <w:t xml:space="preserve"> </w:t>
      </w:r>
      <w:r w:rsidRPr="004421E4">
        <w:rPr>
          <w:rFonts w:eastAsia="Aptos" w:cs="Arial"/>
          <w:kern w:val="2"/>
          <w:szCs w:val="22"/>
          <w:lang w:eastAsia="en-US"/>
          <w14:ligatures w14:val="standardContextual"/>
        </w:rPr>
        <w:t>Na področju izdaje osebnih dokumentov je bilo zaznati rahel upad zadev. Pomembno vlogo za prihodnje leto imajo v letu 2025 sprejete zakonodajne spremembe Zakona o potnih listinah in Zakona o osebni izkaznici, z obvezno uporabo sistema e-fotograf, digitalnih podpisov ob vročitvi in razširitvijo elektronskih funkcij, ter postopno digitalizacijo vročilnic. Sicer najpogosteje zaznane težave so neustrezne fotografije pri vlogah za otroke, počasno delovanje registrov in težave s podpisnimi tablicami. Posodobitev opreme v prihodnje lahko zagotovo pripomore k pohitritvi postopkov.</w:t>
      </w:r>
    </w:p>
    <w:p w14:paraId="03A6AF66" w14:textId="77777777" w:rsidR="00B21E24" w:rsidRPr="004421E4" w:rsidRDefault="00B21E24" w:rsidP="00B21E24">
      <w:pPr>
        <w:suppressAutoHyphens w:val="0"/>
        <w:spacing w:line="278" w:lineRule="auto"/>
        <w:ind w:firstLine="0"/>
        <w:rPr>
          <w:rFonts w:eastAsia="Aptos" w:cs="Arial"/>
          <w:kern w:val="2"/>
          <w:szCs w:val="22"/>
          <w:lang w:eastAsia="en-US"/>
          <w14:ligatures w14:val="standardContextual"/>
        </w:rPr>
      </w:pPr>
    </w:p>
    <w:p w14:paraId="410111A7" w14:textId="0E4EC4D9" w:rsidR="004421E4" w:rsidRDefault="004421E4" w:rsidP="00B21E24">
      <w:pPr>
        <w:suppressAutoHyphens w:val="0"/>
        <w:spacing w:line="278" w:lineRule="auto"/>
        <w:ind w:firstLine="0"/>
        <w:rPr>
          <w:rFonts w:eastAsia="Aptos" w:cs="Arial"/>
          <w:kern w:val="2"/>
          <w:szCs w:val="22"/>
          <w:lang w:eastAsia="en-US"/>
          <w14:ligatures w14:val="standardContextual"/>
        </w:rPr>
      </w:pPr>
      <w:r w:rsidRPr="004421E4">
        <w:rPr>
          <w:rFonts w:eastAsia="Aptos" w:cs="Arial"/>
          <w:kern w:val="2"/>
          <w:szCs w:val="22"/>
          <w:lang w:eastAsia="en-US"/>
          <w14:ligatures w14:val="standardContextual"/>
        </w:rPr>
        <w:t>Javne prireditve in društva:</w:t>
      </w:r>
      <w:r w:rsidR="0043561F">
        <w:rPr>
          <w:rFonts w:eastAsia="Aptos" w:cs="Arial"/>
          <w:kern w:val="2"/>
          <w:szCs w:val="22"/>
          <w:lang w:eastAsia="en-US"/>
          <w14:ligatures w14:val="standardContextual"/>
        </w:rPr>
        <w:t xml:space="preserve"> </w:t>
      </w:r>
      <w:r w:rsidRPr="004421E4">
        <w:rPr>
          <w:rFonts w:eastAsia="Aptos" w:cs="Arial"/>
          <w:kern w:val="2"/>
          <w:szCs w:val="22"/>
          <w:lang w:eastAsia="en-US"/>
          <w14:ligatures w14:val="standardContextual"/>
        </w:rPr>
        <w:t xml:space="preserve">V okviru javnih prireditev in zbiranj upravne enote tudi v letu 2025 opozarjajo na prekratek rok za oddajo vlog. Z novembrom 2025 je potrebno na podlagi novele Zakona o varstvu pred utopitvami  ob vlogah za prireditve na/v/ob vodi obvezno priložiti tudi elaborat varstva pred utopitvami. Z uveljavitvijo nove različice Standardne klasifikacije dejavnosti  (SKD) s 1. januarjem 2025 je bilo na področju društev zaznati nekoliko več dela zaradi potrebe uskladitev ob prvih spremembah statutov društev. Podaljšanje roka za oddajo vloge za javno prireditev in možnost avtomatskih opomnikov za uskladitev SKD s statuti društev sta možni opciji za učinkovitejše postopke. </w:t>
      </w:r>
    </w:p>
    <w:p w14:paraId="62E74C80" w14:textId="77777777" w:rsidR="00B21E24" w:rsidRPr="004421E4" w:rsidRDefault="00B21E24" w:rsidP="00B21E24">
      <w:pPr>
        <w:suppressAutoHyphens w:val="0"/>
        <w:spacing w:line="278" w:lineRule="auto"/>
        <w:ind w:firstLine="0"/>
        <w:rPr>
          <w:rFonts w:eastAsia="Aptos" w:cs="Arial"/>
          <w:kern w:val="2"/>
          <w:szCs w:val="22"/>
          <w:lang w:eastAsia="en-US"/>
          <w14:ligatures w14:val="standardContextual"/>
        </w:rPr>
      </w:pPr>
    </w:p>
    <w:p w14:paraId="1BC4EC09" w14:textId="4EBE0BBE" w:rsidR="004421E4" w:rsidRDefault="004421E4" w:rsidP="00B21E24">
      <w:pPr>
        <w:suppressAutoHyphens w:val="0"/>
        <w:spacing w:line="278" w:lineRule="auto"/>
        <w:ind w:firstLine="0"/>
        <w:rPr>
          <w:rFonts w:eastAsia="Aptos" w:cs="Arial"/>
          <w:kern w:val="2"/>
          <w:szCs w:val="22"/>
          <w:lang w:eastAsia="en-US"/>
          <w14:ligatures w14:val="standardContextual"/>
        </w:rPr>
      </w:pPr>
      <w:r w:rsidRPr="004421E4">
        <w:rPr>
          <w:rFonts w:eastAsia="Aptos" w:cs="Arial"/>
          <w:kern w:val="2"/>
          <w:szCs w:val="22"/>
          <w:lang w:eastAsia="en-US"/>
          <w14:ligatures w14:val="standardContextual"/>
        </w:rPr>
        <w:t>Orožje:</w:t>
      </w:r>
      <w:r w:rsidR="0043561F">
        <w:rPr>
          <w:rFonts w:eastAsia="Aptos" w:cs="Arial"/>
          <w:kern w:val="2"/>
          <w:szCs w:val="22"/>
          <w:lang w:eastAsia="en-US"/>
          <w14:ligatures w14:val="standardContextual"/>
        </w:rPr>
        <w:t xml:space="preserve"> </w:t>
      </w:r>
      <w:r w:rsidRPr="004421E4">
        <w:rPr>
          <w:rFonts w:eastAsia="Aptos" w:cs="Arial"/>
          <w:kern w:val="2"/>
          <w:szCs w:val="22"/>
          <w:lang w:eastAsia="en-US"/>
          <w14:ligatures w14:val="standardContextual"/>
        </w:rPr>
        <w:t xml:space="preserve">Na podlagi zadnje novele Zakona o orožju je bila do 31. 1. 2026 podana možnost izročitve orožja brez listine. Tudi prekategorizacija orožja, ki bo sicer potekala še do avgusta 2026,  je v letu 2025 upravnim enotam predstavljala dodatne naloge. Posodobitev registra orožja z uvedbo digitalne evidence zdravnikov bi predstavljala upravnim enotam lažje delo. </w:t>
      </w:r>
    </w:p>
    <w:p w14:paraId="505769CB" w14:textId="77777777" w:rsidR="00B21E24" w:rsidRPr="004421E4" w:rsidRDefault="00B21E24" w:rsidP="00B21E24">
      <w:pPr>
        <w:suppressAutoHyphens w:val="0"/>
        <w:spacing w:line="278" w:lineRule="auto"/>
        <w:ind w:firstLine="0"/>
        <w:rPr>
          <w:rFonts w:eastAsia="Aptos" w:cs="Arial"/>
          <w:color w:val="00B0F0"/>
          <w:kern w:val="2"/>
          <w:szCs w:val="22"/>
          <w:lang w:eastAsia="en-US"/>
          <w14:ligatures w14:val="standardContextual"/>
        </w:rPr>
      </w:pPr>
    </w:p>
    <w:p w14:paraId="4BCAB7B1" w14:textId="72591574" w:rsidR="004421E4" w:rsidRDefault="004421E4" w:rsidP="00B21E24">
      <w:pPr>
        <w:suppressAutoHyphens w:val="0"/>
        <w:spacing w:line="278" w:lineRule="auto"/>
        <w:ind w:firstLine="0"/>
        <w:rPr>
          <w:rFonts w:eastAsia="Aptos" w:cs="Arial"/>
          <w:kern w:val="2"/>
          <w:szCs w:val="22"/>
          <w:lang w:eastAsia="en-US"/>
          <w14:ligatures w14:val="standardContextual"/>
        </w:rPr>
      </w:pPr>
      <w:r w:rsidRPr="004421E4">
        <w:rPr>
          <w:rFonts w:eastAsia="Aptos" w:cs="Arial"/>
          <w:kern w:val="2"/>
          <w:szCs w:val="22"/>
          <w:lang w:eastAsia="en-US"/>
          <w14:ligatures w14:val="standardContextual"/>
        </w:rPr>
        <w:t>Volilna opravila:</w:t>
      </w:r>
      <w:r w:rsidR="0043561F">
        <w:rPr>
          <w:rFonts w:eastAsia="Aptos" w:cs="Arial"/>
          <w:kern w:val="2"/>
          <w:szCs w:val="22"/>
          <w:lang w:eastAsia="en-US"/>
          <w14:ligatures w14:val="standardContextual"/>
        </w:rPr>
        <w:t xml:space="preserve"> </w:t>
      </w:r>
      <w:r w:rsidRPr="004421E4">
        <w:rPr>
          <w:rFonts w:eastAsia="Aptos" w:cs="Arial"/>
          <w:kern w:val="2"/>
          <w:szCs w:val="22"/>
          <w:lang w:eastAsia="en-US"/>
          <w14:ligatures w14:val="standardContextual"/>
        </w:rPr>
        <w:t xml:space="preserve">Velik porast dela za upravne enote je v letu 2025 predstavljalo evidentiranje številnih podpor volivcev, pri čemer nova možnost digitalnega podpisa podpore upravne enote pomembno razbremenjuje. </w:t>
      </w:r>
    </w:p>
    <w:p w14:paraId="0CE33778" w14:textId="30D6C1FD" w:rsidR="004421E4" w:rsidRPr="004421E4" w:rsidRDefault="0035331D" w:rsidP="00D864AE">
      <w:pPr>
        <w:pStyle w:val="Naslov3"/>
        <w:numPr>
          <w:ilvl w:val="2"/>
          <w:numId w:val="0"/>
        </w:numPr>
        <w:ind w:left="720" w:hanging="720"/>
        <w:rPr>
          <w:b w:val="0"/>
          <w:bCs/>
        </w:rPr>
      </w:pPr>
      <w:r w:rsidRPr="00D864AE">
        <w:t>4.1.2</w:t>
      </w:r>
      <w:r w:rsidRPr="00D864AE">
        <w:tab/>
      </w:r>
      <w:r w:rsidR="004421E4" w:rsidRPr="00D864AE">
        <w:t>Sodelovanje z resornim ministrstvom</w:t>
      </w:r>
    </w:p>
    <w:p w14:paraId="067733A6" w14:textId="255E7343" w:rsidR="004421E4" w:rsidRPr="004421E4" w:rsidRDefault="004421E4" w:rsidP="004421E4">
      <w:pPr>
        <w:rPr>
          <w:rFonts w:eastAsia="Aptos" w:cs="Arial"/>
          <w:kern w:val="2"/>
          <w:szCs w:val="22"/>
          <w:lang w:eastAsia="en-US"/>
          <w14:ligatures w14:val="standardContextual"/>
        </w:rPr>
      </w:pPr>
      <w:r w:rsidRPr="004421E4">
        <w:rPr>
          <w:rFonts w:eastAsia="Aptos" w:cs="Arial"/>
          <w:kern w:val="2"/>
          <w:szCs w:val="22"/>
          <w:lang w:eastAsia="en-US"/>
          <w14:ligatures w14:val="standardContextual"/>
        </w:rPr>
        <w:t xml:space="preserve">Sodelovanje z Ministrstvom za notranje zadeve je ocenjeno kot dobro, saj upravne enote s strani ministrstva prejemajo navodila, pojasnila in usmeritve. V letu 2025 je Ministrstvo za notranje zadeve, na pobudo Ministrstva za javno upravo, za upravne enote izvedlo 3 usposabljanja za področje matičnih zadev (za 244 uslužbencev) in 5 za področje državljanstva (za 117 uslužbencev). K izvedbi uspešnega usposabljanja za področje vsebin matičnih zadev, ki so bile v preteklosti zajete v predpisanem programu izpita za matičarja, ki je bil z letom 2011 sicer ukinjen,  so bili zaradi materije določenih vsebin iz področja matičnih zadev, k sodelovanju zaprošeni tudi Ministrstvo za pravosodje, Ministrstvo za zunanje in evropske zadeve ter Ministrstvo za delo, družino, socialne zadeve in enake možnosti, pri čemer pa slednje ministrstvo ni zadostilo vsem potrebam izvedbe usposabljanja, kljub pravočasnim prošnjam in seznanitvam z namerami vseh organizacijskih vidikov zadevnega usposabljanja tako s strani </w:t>
      </w:r>
      <w:r w:rsidRPr="004421E4">
        <w:rPr>
          <w:rFonts w:eastAsia="Aptos" w:cs="Arial"/>
          <w:kern w:val="2"/>
          <w:szCs w:val="22"/>
          <w:lang w:eastAsia="en-US"/>
          <w14:ligatures w14:val="standardContextual"/>
        </w:rPr>
        <w:lastRenderedPageBreak/>
        <w:t xml:space="preserve">Ministrstva za javno upravo kot Ministrstva za notranje zadeve, kot nosilca navedenega usposabljanja.  Za področje orožja so upravne enote, skladno s svojimi potrebami, ter na podlagi predhodno zaprošenih napotil na Ministrstvo za notranje zadeve, same pristopile k izvedbi usposabljanj za varno rokovanje z orožjem. Zaradi težnje k čim bolj poenoteni praksi obravnav strank, si upravne enote s strani ministrstva želijo tudi v bodoče uspešnega sodelovanja, s čim več izobraževanj, tako glede sprotnih novosti, kot splošnih obnovitvenih izobraževanj. </w:t>
      </w:r>
    </w:p>
    <w:p w14:paraId="1EA6FB6C" w14:textId="5A1429CD" w:rsidR="00B14ED8" w:rsidRDefault="0035331D" w:rsidP="00C77EDD">
      <w:pPr>
        <w:pStyle w:val="Naslov2"/>
      </w:pPr>
      <w:r>
        <w:t>4.2</w:t>
      </w:r>
      <w:r>
        <w:tab/>
      </w:r>
      <w:r w:rsidR="00B14ED8" w:rsidRPr="001A07E7">
        <w:t xml:space="preserve">Infrastruktura </w:t>
      </w:r>
    </w:p>
    <w:p w14:paraId="4E0F977F" w14:textId="77777777" w:rsidR="004421E4" w:rsidRDefault="004421E4" w:rsidP="004421E4">
      <w:pPr>
        <w:rPr>
          <w:rFonts w:cs="Arial"/>
          <w:szCs w:val="22"/>
        </w:rPr>
      </w:pPr>
      <w:r w:rsidRPr="004421E4">
        <w:rPr>
          <w:rFonts w:cs="Arial"/>
          <w:szCs w:val="22"/>
        </w:rPr>
        <w:t>V letu 2025 so upravne enote obravnavale 363.382 upravnih zadev in rešile 361.365. Poleg tega so izvedle še 361.699 drugih upravnih nalog. V primerjavi z letom 2024 se je število upravnih zadev povečalo za 6,59 % (iz 340.902 na 363.382), število drugih upravnih nalog pa za 10,43 % (iz 327.550 na 361.699).</w:t>
      </w:r>
    </w:p>
    <w:p w14:paraId="4733BD5A" w14:textId="012B1B5D" w:rsidR="004421E4" w:rsidRPr="00D864AE" w:rsidRDefault="0035331D" w:rsidP="00D864AE">
      <w:pPr>
        <w:pStyle w:val="Naslov3"/>
        <w:numPr>
          <w:ilvl w:val="2"/>
          <w:numId w:val="0"/>
        </w:numPr>
        <w:ind w:left="720" w:hanging="720"/>
      </w:pPr>
      <w:r w:rsidRPr="00D864AE">
        <w:t>4.2.1</w:t>
      </w:r>
      <w:r w:rsidRPr="00D864AE">
        <w:tab/>
      </w:r>
      <w:r w:rsidR="004421E4" w:rsidRPr="00D864AE">
        <w:t>Vsebinska problematika</w:t>
      </w:r>
    </w:p>
    <w:p w14:paraId="26F3FF50" w14:textId="77777777" w:rsidR="004421E4" w:rsidRDefault="004421E4" w:rsidP="004421E4">
      <w:pPr>
        <w:rPr>
          <w:rFonts w:cs="Arial"/>
          <w:szCs w:val="22"/>
        </w:rPr>
      </w:pPr>
      <w:r w:rsidRPr="004421E4">
        <w:rPr>
          <w:rFonts w:cs="Arial"/>
          <w:szCs w:val="22"/>
        </w:rPr>
        <w:t>Tudi področje infrastrukture je bilo v letu 2025 zaznamovano s kombinacijo zahtevnosti in  obremenitev, predvsem v postopkih voznikov in vozil, ter v zvezi s tem zakonodajnimi spremembami, ki od upravnih enot zahtevajo nenehna prilagajanja, ter v zvezi s tem potrebe po usmeritvah, usposabljanjih in iskanju novih informacijskih rešitev za učinkovitejše upravljanje s podatki.</w:t>
      </w:r>
    </w:p>
    <w:p w14:paraId="7F9E83A0" w14:textId="77777777" w:rsidR="00B21E24" w:rsidRDefault="00B21E24" w:rsidP="004421E4">
      <w:pPr>
        <w:ind w:firstLine="0"/>
        <w:rPr>
          <w:rFonts w:cs="Arial"/>
          <w:szCs w:val="22"/>
        </w:rPr>
      </w:pPr>
    </w:p>
    <w:p w14:paraId="79965CD3" w14:textId="1FBF0E91" w:rsidR="004421E4" w:rsidRPr="004421E4" w:rsidRDefault="004421E4" w:rsidP="00116199">
      <w:pPr>
        <w:rPr>
          <w:rFonts w:cs="Arial"/>
          <w:szCs w:val="22"/>
        </w:rPr>
      </w:pPr>
      <w:r w:rsidRPr="004421E4">
        <w:rPr>
          <w:rFonts w:cs="Arial"/>
          <w:szCs w:val="22"/>
        </w:rPr>
        <w:t>Ključni izzivi po področjih so bili naslednji:</w:t>
      </w:r>
    </w:p>
    <w:p w14:paraId="69073555" w14:textId="77777777" w:rsidR="00B21E24" w:rsidRDefault="00B21E24" w:rsidP="00B21E24">
      <w:pPr>
        <w:ind w:firstLine="0"/>
        <w:rPr>
          <w:rFonts w:cs="Arial"/>
          <w:szCs w:val="22"/>
        </w:rPr>
      </w:pPr>
    </w:p>
    <w:p w14:paraId="389A50D1" w14:textId="7D7064BA" w:rsidR="004421E4" w:rsidRPr="004421E4" w:rsidRDefault="00B21E24" w:rsidP="00B21E24">
      <w:pPr>
        <w:ind w:firstLine="0"/>
        <w:rPr>
          <w:rFonts w:cs="Arial"/>
          <w:szCs w:val="22"/>
        </w:rPr>
      </w:pPr>
      <w:r>
        <w:rPr>
          <w:rFonts w:cs="Arial"/>
          <w:szCs w:val="22"/>
        </w:rPr>
        <w:t>V</w:t>
      </w:r>
      <w:r w:rsidR="004421E4" w:rsidRPr="004421E4">
        <w:rPr>
          <w:rFonts w:cs="Arial"/>
          <w:szCs w:val="22"/>
        </w:rPr>
        <w:t>ozniki:</w:t>
      </w:r>
      <w:r w:rsidR="0043561F">
        <w:rPr>
          <w:rFonts w:cs="Arial"/>
          <w:szCs w:val="22"/>
        </w:rPr>
        <w:t xml:space="preserve"> </w:t>
      </w:r>
      <w:r w:rsidR="004421E4" w:rsidRPr="004421E4">
        <w:rPr>
          <w:rFonts w:cs="Arial"/>
          <w:szCs w:val="22"/>
        </w:rPr>
        <w:t xml:space="preserve">Novela Zakona o voznikih, ki velja od 20. 12. 2025 je uvedla posebne pogoje za zamenjavo vozniških dovoljenj iz Severne Makedonije, Bosne in Hercegovine, Črne Gore, Kosova in  Srbije. Imetniki lahko vozniško dovoljenje zamenjajo brez praktičnega izpita, če imajo v Republiki Sloveniji običajno prebivališče in vložijo zahtevo najpozneje eno leto od prijave prebivališča. Največje težave na delovnem področju voznikov sicer predstavljajo ugotavljanje običajnega prebivališča, ugotavljanje pristnosti dokumentov, kategorij vozniškega dovoljenja, neustrezna odzivnost tujih organov, podaljšanje vozniških dovoljenj, ter izdaja listin mlajšim voznikom s spremljevalcem. Zaznan je izrazit porast vlog za zamenjavo vozniških dovoljenj iz držav Indija, Nepal, Kitajska in Zahodni Balkan. Uvedba elektronske evidence temeljnih kvalifikacij (eTKV) je sicer poenostavila postopke, vendar ima žal še številne tehnične napake. Blagajniške aplikacije niso povezane z registri, kar predstavlja dvojno delo. Upravne enote zaznavajo pogoste napake pooblaščenih zdravnikov (neupravičeno vpisovanje vseh kategorij, nepravilnosti pri omejitvah, več izdanih spričeval pri isti osebi). Zaradi dolgih čakalnih dob za opravo praktičnega dela vozniškega izpita (tudi 2 do 4 mesece) , prihaja do pogostih sprememb terminov in s tem do nezadovoljstva kandidatov in večjih obremenitev upravnih enot. K učinkovitejšemu delu bi zagotovo prispevale: nadgradnja evidence voznikov z digitalizacijo povezav registra voznikov z evidencami zdravnikov, sodišč, policije in Rdečega križa Slovenije, nadgradnja neenotnega delovanja sistemov MRVL, eTKV, FormNet, KRPAN, uvedba enotnega državnega sistema za prijave in razporejanje prijav na opravljanje teoretičnega in praktičnega dela vozniškega izpita, z več razpisanimi termini izpitov, ter zagotovitev centralne evidence preverjenih tujih vozniških dovoljenj. </w:t>
      </w:r>
    </w:p>
    <w:p w14:paraId="182D49B8" w14:textId="77777777" w:rsidR="00B21E24" w:rsidRDefault="00B21E24" w:rsidP="00B21E24">
      <w:pPr>
        <w:ind w:firstLine="0"/>
        <w:rPr>
          <w:rFonts w:cs="Arial"/>
          <w:szCs w:val="22"/>
        </w:rPr>
      </w:pPr>
    </w:p>
    <w:p w14:paraId="18602DE7" w14:textId="3FD5E086" w:rsidR="004421E4" w:rsidRDefault="004421E4" w:rsidP="00B21E24">
      <w:pPr>
        <w:ind w:firstLine="0"/>
        <w:rPr>
          <w:rFonts w:cs="Arial"/>
          <w:szCs w:val="22"/>
        </w:rPr>
      </w:pPr>
      <w:r w:rsidRPr="004421E4">
        <w:rPr>
          <w:rFonts w:cs="Arial"/>
          <w:szCs w:val="22"/>
        </w:rPr>
        <w:lastRenderedPageBreak/>
        <w:t>Vozila:</w:t>
      </w:r>
      <w:r w:rsidR="0043561F">
        <w:rPr>
          <w:rFonts w:cs="Arial"/>
          <w:szCs w:val="22"/>
        </w:rPr>
        <w:t xml:space="preserve"> </w:t>
      </w:r>
      <w:r w:rsidRPr="004421E4">
        <w:rPr>
          <w:rFonts w:cs="Arial"/>
          <w:szCs w:val="22"/>
        </w:rPr>
        <w:t>Od 1. januarja 2025 se letna dajatev za odjavljena vozila zaračunava tudi električnim vozilom. Vračila pod 5 evri se ne vračajo več. Izvršitelji in občinske inšpekcije velikokrat ne dokončajo odjav ali ne posredujejo potrdil o razgradnji, zaradi česar lastniki nemalokrat ostajajo zavezanci za dajatev tudi po odvzemu vozila v postopku izvršbe. Glede prekrškovnih postopkov se v praksi nemalokrat izkaže, da je izterjava glob običajno neuspešna, saj dolžniki v predpisanem roku ne poravnajo obveznosti, zato sledi prisilna izterjava preko FURS-a. Program INSPIS je tehnično zastarel (ni e</w:t>
      </w:r>
      <w:r w:rsidRPr="004421E4">
        <w:rPr>
          <w:rFonts w:ascii="Cambria Math" w:hAnsi="Cambria Math" w:cs="Cambria Math"/>
          <w:szCs w:val="22"/>
        </w:rPr>
        <w:t>‑</w:t>
      </w:r>
      <w:r w:rsidRPr="004421E4">
        <w:rPr>
          <w:rFonts w:cs="Arial"/>
          <w:szCs w:val="22"/>
        </w:rPr>
        <w:t>vročitve, ni samodejnega brisanja z e</w:t>
      </w:r>
      <w:r w:rsidRPr="004421E4">
        <w:rPr>
          <w:rFonts w:ascii="Cambria Math" w:hAnsi="Cambria Math" w:cs="Cambria Math"/>
          <w:szCs w:val="22"/>
        </w:rPr>
        <w:t>‑</w:t>
      </w:r>
      <w:r w:rsidRPr="004421E4">
        <w:rPr>
          <w:rFonts w:cs="Arial"/>
          <w:szCs w:val="22"/>
        </w:rPr>
        <w:t>deske). K večji učinkovitosti na tem področju bi prispevala vzpostavitev možnosti elektronskih povezav registra vozil z evidencami razgrajenih vozil in modernizacija INSPIS-a.</w:t>
      </w:r>
    </w:p>
    <w:p w14:paraId="3CCDAC91" w14:textId="67102466" w:rsidR="004421E4" w:rsidRPr="00D864AE" w:rsidRDefault="0035331D" w:rsidP="00D864AE">
      <w:pPr>
        <w:pStyle w:val="Naslov3"/>
        <w:numPr>
          <w:ilvl w:val="2"/>
          <w:numId w:val="0"/>
        </w:numPr>
        <w:ind w:left="720" w:hanging="720"/>
      </w:pPr>
      <w:r w:rsidRPr="00D864AE">
        <w:t>4.2.2</w:t>
      </w:r>
      <w:r w:rsidRPr="00D864AE">
        <w:tab/>
      </w:r>
      <w:r w:rsidR="004421E4" w:rsidRPr="00D864AE">
        <w:t>Sodelovanje z resornim ministrstvom</w:t>
      </w:r>
    </w:p>
    <w:p w14:paraId="3962129D" w14:textId="77777777" w:rsidR="004421E4" w:rsidRDefault="004421E4" w:rsidP="004421E4">
      <w:pPr>
        <w:rPr>
          <w:rFonts w:cs="Arial"/>
          <w:szCs w:val="22"/>
        </w:rPr>
      </w:pPr>
      <w:r w:rsidRPr="004421E4">
        <w:rPr>
          <w:rFonts w:cs="Arial"/>
          <w:szCs w:val="22"/>
        </w:rPr>
        <w:t>Večina upravnih enot ocenjuje sodelovanje z Ministrstvom za infrastrukturo  v letu 2025 kot zadovoljivo, izpostavlja pa se potreba po dodatnih usmeritvah za večjo usklajenost pri izvajanju predpisov, predvsem pri postopkih zamenjav tujih vozniških dovoljenj in dodatnem ozaveščanju strank o možnostih uporabe elektronskih storitev. V letu 2025 je Ministrstvo za infrastrukturo, na pobudo Ministrstva za javno upravo, za upravne enote izvedlo 6 regijskih usposabljanj za področje voznikov (za 210 uslužbencev). Tudi v bodoče si upravne enote želijo rednega izobraževanja, dodatnih iskanj rešitev za izboljšanje digitalizacije in avtomatizacijo postopkov, z namenom zmanjševanj administrativnih bremen, ter iskanja rešitev za hitrejše dostope do tujih evidenc pri preverjanju verodostojnosti dokumentov, ter odpravi vrzeli pri opravljanju vozniškega izpita in težav v zvezi z razgrajenimi vozili in izterjavo glob v prekrškovnih postopkih.</w:t>
      </w:r>
    </w:p>
    <w:p w14:paraId="331286BA" w14:textId="7512C539" w:rsidR="008C522A" w:rsidRPr="00C77EDD" w:rsidRDefault="0035331D" w:rsidP="00C77EDD">
      <w:pPr>
        <w:pStyle w:val="Naslov2"/>
      </w:pPr>
      <w:r w:rsidRPr="00C77EDD">
        <w:t>4.3</w:t>
      </w:r>
      <w:r w:rsidRPr="00C77EDD">
        <w:tab/>
      </w:r>
      <w:r w:rsidR="008C522A" w:rsidRPr="00C77EDD">
        <w:t>Naravni viri, prostor, podnebje ter energija</w:t>
      </w:r>
    </w:p>
    <w:p w14:paraId="68C76024" w14:textId="77777777" w:rsidR="008C522A" w:rsidRPr="005D657B" w:rsidRDefault="008C522A" w:rsidP="005D657B">
      <w:pPr>
        <w:suppressAutoHyphens w:val="0"/>
        <w:spacing w:before="100" w:beforeAutospacing="1" w:after="100" w:afterAutospacing="1"/>
        <w:ind w:firstLine="720"/>
        <w:rPr>
          <w:rFonts w:cs="Arial"/>
          <w:szCs w:val="22"/>
          <w:lang w:eastAsia="sl-SI"/>
        </w:rPr>
      </w:pPr>
      <w:r w:rsidRPr="005D657B">
        <w:rPr>
          <w:rFonts w:cs="Arial"/>
          <w:szCs w:val="22"/>
          <w:lang w:eastAsia="sl-SI"/>
        </w:rPr>
        <w:t>V letu 2025 so imele upravne enote v reševanju 40.198 upravnih zadev, od katerih je bilo do konca leta rešenih 32.336 zadev. Poleg vodenja upravnih postopkov oziroma reševanja upravnih zadev so javni uslužbenci opravili še 32.931 drugih upravnih nalog s področja naravnih virov, prostora, podnebja in energije.</w:t>
      </w:r>
    </w:p>
    <w:p w14:paraId="1BA4B353" w14:textId="188036D8" w:rsidR="000A4126" w:rsidRPr="000A4126" w:rsidRDefault="008C522A" w:rsidP="000A4126">
      <w:pPr>
        <w:suppressAutoHyphens w:val="0"/>
        <w:spacing w:before="100" w:beforeAutospacing="1" w:after="100" w:afterAutospacing="1"/>
        <w:ind w:firstLine="720"/>
        <w:rPr>
          <w:rFonts w:cs="Arial"/>
          <w:szCs w:val="22"/>
          <w:lang w:eastAsia="sl-SI"/>
        </w:rPr>
      </w:pPr>
      <w:r w:rsidRPr="005D657B">
        <w:rPr>
          <w:rFonts w:cs="Arial"/>
          <w:szCs w:val="22"/>
          <w:lang w:eastAsia="sl-SI"/>
        </w:rPr>
        <w:t>Primerjava podatkov s preteklim letom izkazuje, da se je število upravnih zadev, ki so jih upravne enote prejele v reševanje leta 2025, povečalo za približno 1,9% (skupno število vseh upravnih zadev je v poročevalnem obdobju 2025 znašalo 40.198, v letu 2024 pa 39.449). Za približno 9% se je povečalo tudi skupno število rešenih zadev v letu 2025 v primerjavi z letom 2024 (skupno število rešenih zadev je v poročevalskem obdobju 2025 znašalo 32.336, v letu 2024 pa 29.651). Število upravnih zadev s področja naravnih virov in prostora, ki niso bile rešene v tekočem letu, je nižje</w:t>
      </w:r>
      <w:r w:rsidRPr="005D657B">
        <w:rPr>
          <w:rFonts w:cs="Arial"/>
          <w:b/>
          <w:bCs/>
          <w:szCs w:val="22"/>
          <w:lang w:eastAsia="sl-SI"/>
        </w:rPr>
        <w:t xml:space="preserve"> </w:t>
      </w:r>
      <w:r w:rsidRPr="005D657B">
        <w:rPr>
          <w:rFonts w:cs="Arial"/>
          <w:szCs w:val="22"/>
          <w:lang w:eastAsia="sl-SI"/>
        </w:rPr>
        <w:t>kot v letu 2024, saj se je število nerešenih zadev v letu 2025 zmanjšalo za približno 19,8% v primerjavi z letom 2024 (razlika za leto 2025 med vsemi upravnimi zadevami in rešenimi zadevami znaša 7.862 nerešenih upravnih zadev, za leto 2024 pa je bila ta razlika 9.798 nerešenih upravnih zadev). Število opravljenih drugih upravnih nalog se je v letu 2025 v primerjavi z letom 2024 povečalo za približno 6,9% (skupno število izvedenih drugih upravnih nalog je v letu 2025 znašalo 32.931, v letu 2024 pa 30.798).</w:t>
      </w:r>
    </w:p>
    <w:p w14:paraId="3D6623EC" w14:textId="160ED5DB" w:rsidR="008C522A" w:rsidRPr="00D864AE" w:rsidRDefault="0035331D" w:rsidP="00D864AE">
      <w:pPr>
        <w:pStyle w:val="Naslov3"/>
        <w:numPr>
          <w:ilvl w:val="2"/>
          <w:numId w:val="0"/>
        </w:numPr>
        <w:ind w:left="720" w:hanging="720"/>
      </w:pPr>
      <w:r w:rsidRPr="00D864AE">
        <w:lastRenderedPageBreak/>
        <w:t>4.3.1</w:t>
      </w:r>
      <w:r w:rsidRPr="00D864AE">
        <w:tab/>
      </w:r>
      <w:r w:rsidR="008C522A" w:rsidRPr="00D864AE">
        <w:t xml:space="preserve">Vsebinska problematika </w:t>
      </w:r>
    </w:p>
    <w:p w14:paraId="127CE4FC" w14:textId="77777777" w:rsidR="008C522A" w:rsidRPr="005D657B" w:rsidRDefault="008C522A" w:rsidP="005D657B">
      <w:pPr>
        <w:suppressAutoHyphens w:val="0"/>
        <w:spacing w:before="100" w:beforeAutospacing="1" w:after="100" w:afterAutospacing="1"/>
        <w:ind w:firstLine="720"/>
        <w:rPr>
          <w:rFonts w:cs="Arial"/>
          <w:szCs w:val="22"/>
          <w:lang w:eastAsia="sl-SI"/>
        </w:rPr>
      </w:pPr>
      <w:r w:rsidRPr="005D657B">
        <w:rPr>
          <w:rFonts w:cs="Arial"/>
          <w:szCs w:val="22"/>
          <w:lang w:eastAsia="sl-SI"/>
        </w:rPr>
        <w:t>V letu 2025 je predvsem področje prostora zaznamovalo nadaljevanje izzivov iz preteklih let ter pojav novih obremenitev, povezanih predvsem z zakonodajnimi spremembami, digitalizacijo postopkov in zahtevnostjo prostorskega načrtovanja. Kljub temu, da je bilo v letu 2025 rešenih več zadev v primerjavi z letom prej, so postopki ostali dolgotrajni in zahtevni zaradi nepopolnih ali nepravilno pripravljenih vlog, nejasnih ali zastarelih prostorskih aktov, pomanjkanja strokovnih mnenj ter neenotne prakse pri izvajanju zakonodaje. Ti dejavniki so pomembno vplivali na učinkovitost postopkov in obremenjenost upravnih enot.</w:t>
      </w:r>
    </w:p>
    <w:p w14:paraId="5C695FA0" w14:textId="77777777" w:rsidR="008C522A" w:rsidRPr="005D657B" w:rsidRDefault="008C522A" w:rsidP="008C522A">
      <w:pPr>
        <w:suppressAutoHyphens w:val="0"/>
        <w:spacing w:before="100" w:beforeAutospacing="1" w:after="100" w:afterAutospacing="1"/>
        <w:ind w:firstLine="0"/>
        <w:rPr>
          <w:rFonts w:cs="Arial"/>
          <w:noProof/>
          <w:szCs w:val="22"/>
          <w:lang w:eastAsia="sl-SI"/>
        </w:rPr>
      </w:pPr>
      <w:r w:rsidRPr="005D657B">
        <w:rPr>
          <w:rFonts w:cs="Arial"/>
          <w:szCs w:val="22"/>
          <w:lang w:eastAsia="sl-SI"/>
        </w:rPr>
        <w:t xml:space="preserve">Ključni izzivi, kot stalnica tega upravnega področja, so se tudi v letu 2025 nanašali na pospešitev postopkov obravnave vlog, jasnejše zakonske določbe glede legalizacije objektov in pridobivanja uporabnih dovoljenj, večji obseg izobraževanj in usposabljanj za zaposlene v upravnih enotah ter na </w:t>
      </w:r>
      <w:r w:rsidRPr="005D657B">
        <w:rPr>
          <w:rFonts w:cs="Arial"/>
          <w:noProof/>
          <w:szCs w:val="22"/>
          <w:lang w:eastAsia="sl-SI"/>
        </w:rPr>
        <w:t>nadaljnjo nadgradnjo digitalnih rešitev, zlasti sistema eGraditev.</w:t>
      </w:r>
    </w:p>
    <w:p w14:paraId="51867349" w14:textId="77777777" w:rsidR="008C522A" w:rsidRPr="005D657B" w:rsidRDefault="008C522A" w:rsidP="00116199">
      <w:pPr>
        <w:suppressAutoHyphens w:val="0"/>
        <w:spacing w:before="100" w:beforeAutospacing="1" w:after="100" w:afterAutospacing="1"/>
        <w:ind w:firstLine="720"/>
        <w:rPr>
          <w:rFonts w:cs="Arial"/>
          <w:szCs w:val="22"/>
          <w:lang w:eastAsia="sl-SI"/>
        </w:rPr>
      </w:pPr>
      <w:r w:rsidRPr="005D657B">
        <w:rPr>
          <w:rFonts w:cs="Arial"/>
          <w:szCs w:val="22"/>
          <w:lang w:eastAsia="sl-SI"/>
        </w:rPr>
        <w:t>Ključni izzivi po področjih so naslednji:</w:t>
      </w:r>
    </w:p>
    <w:p w14:paraId="2E01A285" w14:textId="77777777" w:rsidR="008C522A" w:rsidRPr="00DE6D01" w:rsidRDefault="008C522A" w:rsidP="008C522A">
      <w:pPr>
        <w:suppressAutoHyphens w:val="0"/>
        <w:spacing w:before="100" w:beforeAutospacing="1" w:after="100" w:afterAutospacing="1"/>
        <w:ind w:firstLine="0"/>
        <w:rPr>
          <w:rFonts w:cs="Arial"/>
          <w:szCs w:val="22"/>
          <w:lang w:eastAsia="sl-SI"/>
        </w:rPr>
      </w:pPr>
      <w:r w:rsidRPr="00DE6D01">
        <w:rPr>
          <w:rFonts w:cs="Arial"/>
          <w:szCs w:val="22"/>
          <w:lang w:eastAsia="sl-SI"/>
        </w:rPr>
        <w:t>Gradbena zakonodaja in legalizacija: Postopki izdaje gradbenih dovoljenj so tudi v letu 2025 ostali zahtevni. Še vedno so se čutile posledice zadržanja izvrševanja 146. člena Gradbenega zakona (GZ</w:t>
      </w:r>
      <w:r w:rsidRPr="00DE6D01">
        <w:rPr>
          <w:rFonts w:cs="Arial"/>
          <w:szCs w:val="22"/>
          <w:lang w:eastAsia="sl-SI"/>
        </w:rPr>
        <w:noBreakHyphen/>
        <w:t>1), ki ureja dovoljenja za objekte daljšega obstoja. Zaradi tega je ostalo večje število nerešenih postopkov, saj vloge niso mogle biti zaključene do odločitve Ustavnega sodišča. Legalizacija objektov je ostala eno najzahtevnejših področij, saj je zakonodaja dopuščala več različnih postopkov, kar je povzročalo nejasnosti tako pri investitorjih kot pri upravnih enotah.</w:t>
      </w:r>
    </w:p>
    <w:p w14:paraId="0FC48A7B" w14:textId="77777777" w:rsidR="008C522A" w:rsidRPr="00DE6D01" w:rsidRDefault="008C522A" w:rsidP="008C522A">
      <w:pPr>
        <w:suppressAutoHyphens w:val="0"/>
        <w:spacing w:before="100" w:beforeAutospacing="1" w:after="100" w:afterAutospacing="1"/>
        <w:ind w:firstLine="0"/>
        <w:rPr>
          <w:rFonts w:cs="Arial"/>
          <w:szCs w:val="22"/>
          <w:lang w:eastAsia="sl-SI"/>
        </w:rPr>
      </w:pPr>
      <w:r w:rsidRPr="00DE6D01">
        <w:rPr>
          <w:rFonts w:cs="Arial"/>
          <w:szCs w:val="22"/>
          <w:lang w:eastAsia="sl-SI"/>
        </w:rPr>
        <w:t>Prostorski akti in pridobivanje mnenj: V letu 2025 so se upravne enote še naprej soočale z izzivi, povezanimi z občinskimi prostorskimi akti, ki so bili pogosto zastareli, nejasni ali nepregledni, kar je oteževalo njihovo interpretacijo in uporabo v postopkih. Zaradi neustrezno pripravljenih ali pomanjkljivo obrazloženih mnenj občin, uporabe neustreznih obrazcev ter mnenj, ki niso bila skladna z zakonodajo, je prihajalo do dodatnih dopolnitev in posledičnega podaljševanja postopkov. Zastareli prostorski izvedbeni akti občin so dodatno oteževali izdajo gradbenih dovoljenj in povzročali zaplete pri presoji skladnosti posegov v prostor. Posodobitev in uskladitev prostorskih aktov z aktualnimi razvojnimi potrebami ter izboljšanje kakovosti občinskih mnenj bi bistveno prispevala k večji učinkovitosti postopkov in zmanjšanju nejasnosti.</w:t>
      </w:r>
    </w:p>
    <w:p w14:paraId="02015313" w14:textId="77777777" w:rsidR="008C522A" w:rsidRPr="00DE6D01" w:rsidRDefault="008C522A" w:rsidP="008C522A">
      <w:pPr>
        <w:suppressAutoHyphens w:val="0"/>
        <w:spacing w:before="100" w:beforeAutospacing="1" w:after="100" w:afterAutospacing="1"/>
        <w:ind w:firstLine="0"/>
        <w:rPr>
          <w:rFonts w:cs="Arial"/>
          <w:szCs w:val="22"/>
          <w:lang w:eastAsia="sl-SI"/>
        </w:rPr>
      </w:pPr>
      <w:r w:rsidRPr="00DE6D01">
        <w:rPr>
          <w:rFonts w:cs="Arial"/>
          <w:szCs w:val="22"/>
          <w:lang w:eastAsia="sl-SI"/>
        </w:rPr>
        <w:t>Razlastitve in nadomestila: Zaradi državnih infrastrukturnih projektov se je povečalo število postopkov razlastitev in odmer odškodnin. Stranke so pogosto vlagale nepopolne ali pomanjkljive vloge, kar je povzročalo dodatne pozive, dopolnitve in posledično zamude pri odločanju.</w:t>
      </w:r>
    </w:p>
    <w:p w14:paraId="07DCB0D6" w14:textId="77777777" w:rsidR="008C522A" w:rsidRPr="00DE6D01" w:rsidRDefault="008C522A" w:rsidP="008C522A">
      <w:pPr>
        <w:suppressAutoHyphens w:val="0"/>
        <w:spacing w:before="100" w:beforeAutospacing="1" w:after="100" w:afterAutospacing="1"/>
        <w:ind w:firstLine="0"/>
        <w:rPr>
          <w:rFonts w:cs="Arial"/>
          <w:szCs w:val="22"/>
          <w:lang w:eastAsia="sl-SI"/>
        </w:rPr>
      </w:pPr>
      <w:r w:rsidRPr="00DE6D01">
        <w:rPr>
          <w:rFonts w:cs="Arial"/>
          <w:szCs w:val="22"/>
          <w:lang w:eastAsia="sl-SI"/>
        </w:rPr>
        <w:t xml:space="preserve">Splošni obrazci in projektna dokumentacija: Obrazci, predpisani s Pravilnikom o projektni in drugi dokumentaciji, so ostali nepregledni in preštevilni. Stranke jih pogosto niso izpolnile pravilno, kar je povzročalo dodatno delo upravnih enot ter podaljševanje </w:t>
      </w:r>
      <w:r w:rsidRPr="00DE6D01">
        <w:rPr>
          <w:rFonts w:cs="Arial"/>
          <w:szCs w:val="22"/>
          <w:lang w:eastAsia="sl-SI"/>
        </w:rPr>
        <w:lastRenderedPageBreak/>
        <w:t>postopkov. Poenostavitev obrazcev in boljše informiranje strank bi pomembno prispevala k hitrejši obravnavi.</w:t>
      </w:r>
    </w:p>
    <w:p w14:paraId="646B55A7" w14:textId="77777777" w:rsidR="008C522A" w:rsidRPr="00DE6D01" w:rsidRDefault="008C522A" w:rsidP="008C522A">
      <w:pPr>
        <w:suppressAutoHyphens w:val="0"/>
        <w:spacing w:before="100" w:beforeAutospacing="1" w:after="100" w:afterAutospacing="1"/>
        <w:ind w:firstLine="0"/>
        <w:rPr>
          <w:rFonts w:cs="Arial"/>
          <w:szCs w:val="22"/>
          <w:lang w:eastAsia="sl-SI"/>
        </w:rPr>
      </w:pPr>
      <w:r w:rsidRPr="00DE6D01">
        <w:rPr>
          <w:rFonts w:cs="Arial"/>
          <w:szCs w:val="22"/>
          <w:lang w:eastAsia="sl-SI"/>
        </w:rPr>
        <w:t xml:space="preserve">Pomanjkanje pravilnika o izračunu površin in prostornin stavb: Ker pravilnik tudi v letu 2025 še ni bil sprejet, so projektanti in upravne enote delovali brez enotnih smernic, kar je povzročalo razlike v interpretaciji, neenotno prakso in dodatne zaplete pri obravnavi vlog. </w:t>
      </w:r>
    </w:p>
    <w:p w14:paraId="14526665" w14:textId="201518F6" w:rsidR="008C522A" w:rsidRPr="00DE6D01" w:rsidRDefault="008C522A" w:rsidP="008C522A">
      <w:pPr>
        <w:suppressAutoHyphens w:val="0"/>
        <w:spacing w:before="100" w:beforeAutospacing="1" w:after="100" w:afterAutospacing="1"/>
        <w:ind w:firstLine="0"/>
        <w:rPr>
          <w:rFonts w:cs="Arial"/>
          <w:szCs w:val="22"/>
          <w:lang w:eastAsia="sl-SI"/>
        </w:rPr>
      </w:pPr>
      <w:r w:rsidRPr="00DE6D01">
        <w:rPr>
          <w:rFonts w:cs="Arial"/>
          <w:szCs w:val="22"/>
          <w:lang w:eastAsia="sl-SI"/>
        </w:rPr>
        <w:t>Nadaljnji razvoj tega upravnega področja dela bo zahteval usklajene sistemske izboljšave, ki bodo prispevale k večji učinkovitosti upravnih enot ter večji pravni varnosti strank. Ključna naloga bo spremljanje izvajanja nove ureditve razlastitvenih postopkov, ter ustrezna posodobitev podzakonskih aktov za zagotovitev enotne prakse.</w:t>
      </w:r>
    </w:p>
    <w:p w14:paraId="382EEE95" w14:textId="77777777" w:rsidR="008C522A" w:rsidRPr="00DE6D01" w:rsidRDefault="008C522A" w:rsidP="008C522A">
      <w:pPr>
        <w:suppressAutoHyphens w:val="0"/>
        <w:spacing w:before="100" w:beforeAutospacing="1" w:after="100" w:afterAutospacing="1"/>
        <w:ind w:firstLine="0"/>
        <w:rPr>
          <w:rFonts w:cs="Arial"/>
          <w:szCs w:val="22"/>
          <w:lang w:eastAsia="sl-SI"/>
        </w:rPr>
      </w:pPr>
      <w:r w:rsidRPr="00DE6D01">
        <w:rPr>
          <w:rFonts w:cs="Arial"/>
          <w:noProof/>
          <w:szCs w:val="22"/>
          <w:lang w:eastAsia="sl-SI"/>
        </w:rPr>
        <w:t>Pomembno bo nadaljnje posodabljanje prostorske in gradbene zakonodaje, zlasti jasnejša ureditev legalizacijskih postopkov, poenostavitev postopkov za enostavne objekte ter sprejem pravilnika s področja izračuna površin in prostornin stavb. Ob tem bo nujna prenova zastarelih občinskih prostorskih</w:t>
      </w:r>
      <w:r w:rsidRPr="00DE6D01">
        <w:rPr>
          <w:rFonts w:cs="Arial"/>
          <w:szCs w:val="22"/>
          <w:lang w:eastAsia="sl-SI"/>
        </w:rPr>
        <w:t xml:space="preserve"> aktov in zagotovitev strokovne podpore občinam pri pripravi novih dokumentov.</w:t>
      </w:r>
    </w:p>
    <w:p w14:paraId="7B83A550" w14:textId="77777777" w:rsidR="008C522A" w:rsidRPr="00DE6D01" w:rsidRDefault="008C522A" w:rsidP="008C522A">
      <w:pPr>
        <w:suppressAutoHyphens w:val="0"/>
        <w:spacing w:before="100" w:beforeAutospacing="1" w:after="100" w:afterAutospacing="1"/>
        <w:ind w:firstLine="0"/>
        <w:rPr>
          <w:rFonts w:cs="Arial"/>
          <w:szCs w:val="22"/>
          <w:lang w:eastAsia="sl-SI"/>
        </w:rPr>
      </w:pPr>
      <w:r w:rsidRPr="00DE6D01">
        <w:rPr>
          <w:rFonts w:cs="Arial"/>
          <w:noProof/>
          <w:szCs w:val="22"/>
          <w:lang w:eastAsia="sl-SI"/>
        </w:rPr>
        <w:t>Digitalizacija ostaja osrednji razvojni steber. Nadgradnja sistema eGraditev, izboljšanje uporabniške</w:t>
      </w:r>
      <w:r w:rsidRPr="00DE6D01">
        <w:rPr>
          <w:rFonts w:cs="Arial"/>
          <w:szCs w:val="22"/>
          <w:lang w:eastAsia="sl-SI"/>
        </w:rPr>
        <w:t xml:space="preserve"> izkušnje, odprava tehničnih težav ter boljša integracija med organi bodo pomembno prispevali k hitrejšim in preglednejšim postopkom. Prav tako bo treba poenostaviti obrazce in projektno dokumentacijo ter zagotoviti jasna navodila za projektante in investitorje.</w:t>
      </w:r>
    </w:p>
    <w:p w14:paraId="702F8B6B" w14:textId="09C4BF15" w:rsidR="0035331D" w:rsidRPr="00DE6D01" w:rsidRDefault="008C522A" w:rsidP="000A4126">
      <w:pPr>
        <w:suppressAutoHyphens w:val="0"/>
        <w:spacing w:before="100" w:beforeAutospacing="1" w:after="100" w:afterAutospacing="1"/>
        <w:ind w:firstLine="0"/>
        <w:rPr>
          <w:rFonts w:eastAsia="Aptos" w:cs="Arial"/>
          <w:kern w:val="2"/>
          <w:szCs w:val="22"/>
          <w:lang w:eastAsia="en-US"/>
          <w14:ligatures w14:val="standardContextual"/>
        </w:rPr>
      </w:pPr>
      <w:r w:rsidRPr="00DE6D01">
        <w:rPr>
          <w:rFonts w:eastAsia="Aptos" w:cs="Arial"/>
          <w:kern w:val="2"/>
          <w:szCs w:val="22"/>
          <w:lang w:eastAsia="en-US"/>
          <w14:ligatures w14:val="standardContextual"/>
        </w:rPr>
        <w:t>Za uspešno izvajanje vseh nalog bo ključna okrepljena strokovna podpora upravnim enotam, vključno z rednimi izobraževanji, strokovnimi delovnimi skupinami ter hitrejšim odzivanjem pristojnih ministrstev, kar bo omogočilo bolj enotno prakso in učinkovitejše reševanje postopkov.</w:t>
      </w:r>
    </w:p>
    <w:p w14:paraId="079107C0" w14:textId="45C0BFA7" w:rsidR="008C522A" w:rsidRPr="00D864AE" w:rsidRDefault="0035331D" w:rsidP="00D864AE">
      <w:pPr>
        <w:pStyle w:val="Naslov3"/>
        <w:numPr>
          <w:ilvl w:val="2"/>
          <w:numId w:val="0"/>
        </w:numPr>
        <w:ind w:left="720" w:hanging="720"/>
      </w:pPr>
      <w:r w:rsidRPr="00D864AE">
        <w:t>4.3.2</w:t>
      </w:r>
      <w:r w:rsidRPr="00D864AE">
        <w:tab/>
      </w:r>
      <w:r w:rsidR="008C522A" w:rsidRPr="00D864AE">
        <w:t>Sodelovanje z resornima ministrstvoma</w:t>
      </w:r>
    </w:p>
    <w:p w14:paraId="61E2F9E2" w14:textId="77777777" w:rsidR="008C522A" w:rsidRPr="005D657B" w:rsidRDefault="008C522A" w:rsidP="008C522A">
      <w:pPr>
        <w:suppressAutoHyphens w:val="0"/>
        <w:spacing w:before="100" w:beforeAutospacing="1" w:after="100" w:afterAutospacing="1"/>
        <w:ind w:firstLine="0"/>
        <w:rPr>
          <w:rFonts w:cs="Arial"/>
          <w:szCs w:val="22"/>
          <w:lang w:eastAsia="sl-SI"/>
        </w:rPr>
      </w:pPr>
      <w:r w:rsidRPr="005D657B">
        <w:rPr>
          <w:rFonts w:cs="Arial"/>
          <w:noProof/>
          <w:szCs w:val="22"/>
          <w:lang w:eastAsia="sl-SI"/>
        </w:rPr>
        <w:t>Sodelovanje z MNVP in MOPE je bilo korektno, vendar so upravne enote izpostavile potrebo po</w:t>
      </w:r>
      <w:r w:rsidRPr="005D657B">
        <w:rPr>
          <w:rFonts w:cs="Arial"/>
          <w:szCs w:val="22"/>
          <w:lang w:eastAsia="sl-SI"/>
        </w:rPr>
        <w:t xml:space="preserve"> hitrejšem odzivanju na strokovna vprašanja, bolj jasnih in enotnih navodilih, pogostejših in praktično naravnanih izobraževanjih, regijskih usposabljanjih, zlasti glede legalizacij in prostorskih postopkov. MNVP je organiziralo nekaj izobraževanj, vendar so bila ta ocenjena kot premalo pogosta in premalo praktično naravnana.</w:t>
      </w:r>
    </w:p>
    <w:p w14:paraId="08D9323E" w14:textId="7DCEBE4C" w:rsidR="00B14ED8" w:rsidRDefault="0035331D" w:rsidP="00C77EDD">
      <w:pPr>
        <w:pStyle w:val="Naslov2"/>
      </w:pPr>
      <w:r>
        <w:t>4.4</w:t>
      </w:r>
      <w:r>
        <w:tab/>
      </w:r>
      <w:r w:rsidR="00B14ED8" w:rsidRPr="001A07E7">
        <w:t xml:space="preserve">Kmetijstvo, gozdarstvo in prehrana   </w:t>
      </w:r>
    </w:p>
    <w:p w14:paraId="7A98DDC7" w14:textId="77777777" w:rsidR="008C522A" w:rsidRPr="005D657B" w:rsidRDefault="008C522A" w:rsidP="008C522A">
      <w:pPr>
        <w:rPr>
          <w:rFonts w:cs="Arial"/>
          <w:szCs w:val="22"/>
        </w:rPr>
      </w:pPr>
      <w:r w:rsidRPr="005D657B">
        <w:rPr>
          <w:rFonts w:cs="Arial"/>
          <w:szCs w:val="22"/>
        </w:rPr>
        <w:t>V poročevalnem obdobju 2025 so imele upravne enote v reševanju 29.877 upravnih zadev. Rešenih je bilo 27.296 zadev. Poleg vodenja upravnih postopkov oziroma reševanja upravnih zadev, so uslužbenci upravnih enot opravili še 122.110 drugih upravnih nalog.</w:t>
      </w:r>
    </w:p>
    <w:p w14:paraId="5382F985" w14:textId="77777777" w:rsidR="008C522A" w:rsidRPr="005D657B" w:rsidRDefault="008C522A" w:rsidP="008C522A">
      <w:pPr>
        <w:rPr>
          <w:rFonts w:cs="Arial"/>
          <w:szCs w:val="22"/>
        </w:rPr>
      </w:pPr>
    </w:p>
    <w:p w14:paraId="55810431" w14:textId="77777777" w:rsidR="008C522A" w:rsidRPr="008C522A" w:rsidRDefault="008C522A" w:rsidP="008C522A">
      <w:pPr>
        <w:rPr>
          <w:rFonts w:cs="Arial"/>
          <w:szCs w:val="22"/>
        </w:rPr>
      </w:pPr>
      <w:r w:rsidRPr="005D657B">
        <w:rPr>
          <w:rFonts w:cs="Arial"/>
          <w:szCs w:val="22"/>
        </w:rPr>
        <w:t xml:space="preserve">Primerjava podatkov s preteklim letom kaže, da se je število upravnih zadev, ki so jih upravne enote prejele v reševanje lani v primerjavi z letom 2024, naraslo za 2 % (skupno število vseh upravnih zadev v reševanju v poročevalnem obdobju je znašalo </w:t>
      </w:r>
      <w:r w:rsidRPr="005D657B">
        <w:rPr>
          <w:rFonts w:cs="Arial"/>
          <w:szCs w:val="22"/>
        </w:rPr>
        <w:lastRenderedPageBreak/>
        <w:t xml:space="preserve">29.877, v letu 2024 pa 29.288). Število opravljenih drugih upravnih nalog se je v letu 2025, v primerjavi z letom 2024, povečalo za 6,7 % (skupno število vseh drugih </w:t>
      </w:r>
      <w:r w:rsidRPr="008C522A">
        <w:rPr>
          <w:rFonts w:cs="Arial"/>
          <w:szCs w:val="22"/>
        </w:rPr>
        <w:t xml:space="preserve">upravnih nalog je v letu 2025 znašalo 122.110, v letu 2024 pa je znašalo 114.482). </w:t>
      </w:r>
    </w:p>
    <w:p w14:paraId="3871041E" w14:textId="77777777" w:rsidR="008C522A" w:rsidRDefault="008C522A" w:rsidP="008C522A">
      <w:pPr>
        <w:rPr>
          <w:rFonts w:cs="Arial"/>
          <w:szCs w:val="22"/>
        </w:rPr>
      </w:pPr>
    </w:p>
    <w:p w14:paraId="518AB107" w14:textId="250B2AAD" w:rsidR="008C522A" w:rsidRDefault="008C522A" w:rsidP="008C522A">
      <w:pPr>
        <w:rPr>
          <w:rFonts w:cs="Arial"/>
          <w:szCs w:val="22"/>
        </w:rPr>
      </w:pPr>
      <w:r w:rsidRPr="008C522A">
        <w:rPr>
          <w:rFonts w:cs="Arial"/>
          <w:szCs w:val="22"/>
        </w:rPr>
        <w:t>Ugotovitve kažejo, da so bile tudi v letu 2025, tako kot pretekla leta, največje obremenitve upravnih enot na področjih: odobritve pravnih poslov pri prometu s kmetijskimi zemljišči, kmetijami in gozdovi ter izdaja odločb, da te odobritve niso potrebne, status kmeta in kmetijske organizacije, urejanje grafičnih enot rabe kmetijskega gospodarstva (GERK), posebej v času subvencijske kampanje (19. 3. 2025 do 6. 6. 2025), področje agrarnih skupnosti, izdaja dovoljenj za opravljanje dopolnilne dejavnosti na kmetiji, nadzor nad sporočanjem podatkov v Register pridelovalcev grozdja in vina, izdaja dovoljenj za zasaditev vinske trte ter komasacije. Upravne enote so izdajale tudi potrdila iz uradnih evidenc.</w:t>
      </w:r>
    </w:p>
    <w:p w14:paraId="5DC9368B" w14:textId="77777777" w:rsidR="008C522A" w:rsidRPr="008C522A" w:rsidRDefault="008C522A" w:rsidP="008C522A">
      <w:pPr>
        <w:rPr>
          <w:rFonts w:cs="Arial"/>
          <w:szCs w:val="22"/>
        </w:rPr>
      </w:pPr>
    </w:p>
    <w:p w14:paraId="50B64297" w14:textId="77777777" w:rsidR="008C522A" w:rsidRDefault="008C522A" w:rsidP="008C522A">
      <w:pPr>
        <w:rPr>
          <w:rFonts w:cs="Arial"/>
          <w:szCs w:val="22"/>
        </w:rPr>
      </w:pPr>
      <w:r w:rsidRPr="008C522A">
        <w:rPr>
          <w:rFonts w:cs="Arial"/>
          <w:szCs w:val="22"/>
        </w:rPr>
        <w:t xml:space="preserve">Sprejeta sta bila Zakon o kmetijstvu (ZKme-2) in novela Zakona o kmetijskih zemljiščih (ZKZ-H). </w:t>
      </w:r>
    </w:p>
    <w:p w14:paraId="6AC6369F" w14:textId="07580948" w:rsidR="008C522A" w:rsidRPr="008C522A" w:rsidRDefault="0035331D" w:rsidP="00D864AE">
      <w:pPr>
        <w:pStyle w:val="Naslov3"/>
        <w:numPr>
          <w:ilvl w:val="2"/>
          <w:numId w:val="0"/>
        </w:numPr>
        <w:ind w:left="720" w:hanging="720"/>
        <w:rPr>
          <w:rFonts w:cs="Arial"/>
          <w:b w:val="0"/>
          <w:bCs/>
          <w:szCs w:val="22"/>
        </w:rPr>
      </w:pPr>
      <w:r w:rsidRPr="00D864AE">
        <w:t>4.4.1</w:t>
      </w:r>
      <w:r w:rsidRPr="00D864AE">
        <w:tab/>
      </w:r>
      <w:r w:rsidR="008C522A" w:rsidRPr="00D864AE">
        <w:t>Vsebinska problematika vključno z GERK</w:t>
      </w:r>
    </w:p>
    <w:p w14:paraId="512A65AD" w14:textId="32B49B51" w:rsidR="008C522A" w:rsidRDefault="008C522A" w:rsidP="008C522A">
      <w:pPr>
        <w:rPr>
          <w:rFonts w:cs="Arial"/>
          <w:szCs w:val="22"/>
        </w:rPr>
      </w:pPr>
      <w:r w:rsidRPr="008C522A">
        <w:rPr>
          <w:rFonts w:cs="Arial"/>
          <w:szCs w:val="22"/>
        </w:rPr>
        <w:t>Na  upravnem področju prometa s kmetijskimi zemljišč, kmetijami in gozdovi so se tudi v letu 2025 pojavljali problemi, povezani s statusom kmeta in zlorabami navedenega statusa pri pridobivanju kmetijskih zemljišč. Pogodbeniki namreč sklepajo tudi pogodbe, ki po Zakonu o kmetijskih zemljiščih (v nadaljevanju: ZKZ) niso določno opredeljene: o priznanju lastninske pravice, o priposestvovanju, za zemljiškoknjižna dovolila, o usklajevanju dejanskega stanja z zemljiškoknjižnim, sodne poravnave. Upravne enote postopajo tako, da jih presojajo po vsebini, torej ugotavljajo ali gre dejansko za promet s kmetijskimi zemljišči. Pri tem so ravnale zelo natančn in v nekaterih primerih zavrnile odobritve, kar se je v pritožbenih postopkih večinoma potrdilo kot pravilno.</w:t>
      </w:r>
    </w:p>
    <w:p w14:paraId="416271A3" w14:textId="77777777" w:rsidR="005D657B" w:rsidRPr="008C522A" w:rsidRDefault="005D657B" w:rsidP="008C522A">
      <w:pPr>
        <w:rPr>
          <w:rFonts w:cs="Arial"/>
          <w:szCs w:val="22"/>
        </w:rPr>
      </w:pPr>
    </w:p>
    <w:p w14:paraId="628B77AF" w14:textId="77777777" w:rsidR="008C522A" w:rsidRPr="008C522A" w:rsidRDefault="008C522A" w:rsidP="008C522A">
      <w:pPr>
        <w:rPr>
          <w:rFonts w:cs="Arial"/>
          <w:szCs w:val="22"/>
        </w:rPr>
      </w:pPr>
      <w:r w:rsidRPr="008C522A">
        <w:rPr>
          <w:rFonts w:cs="Arial"/>
          <w:szCs w:val="22"/>
        </w:rPr>
        <w:t>Odobritve pravnih poslov predstavljajo zahtevne in dolgotrajne postopke, kajti treba je uporabljati, poleg zakonov s področja kmetijstva, tudi druge predpise iz civilnega prava, kakor tudi spreminjajočo se sodno prakso. Veliko je bilo vlog za odobritev pravnega posla, ki so terjale ugotavljanje predkupnih upravičencev; ti so se gibali od dveh pa tudi do petih sprejemnikov ponudbe. Postopki so zahtevnejši in daljši kot v preteklosti. Pri dokazovanju predkupnega upravičenja pri nakupu kmetijskega zemljišča bi bilo prav, da se upošteva tudi dohodek iz gozdarske dejavnosti. Predvsem na hribovskih kmetijah je gozdarstvo pomemben vir dohodka.</w:t>
      </w:r>
    </w:p>
    <w:p w14:paraId="577B5D3C" w14:textId="77777777" w:rsidR="008C522A" w:rsidRDefault="008C522A" w:rsidP="008C522A">
      <w:pPr>
        <w:rPr>
          <w:rFonts w:cs="Arial"/>
          <w:szCs w:val="22"/>
        </w:rPr>
      </w:pPr>
    </w:p>
    <w:p w14:paraId="1B7B6C9D" w14:textId="3030B423" w:rsidR="008C522A" w:rsidRPr="008C522A" w:rsidRDefault="008C522A" w:rsidP="008C522A">
      <w:pPr>
        <w:rPr>
          <w:rFonts w:cs="Arial"/>
          <w:szCs w:val="22"/>
        </w:rPr>
      </w:pPr>
      <w:r w:rsidRPr="008C522A">
        <w:rPr>
          <w:rFonts w:cs="Arial"/>
          <w:szCs w:val="22"/>
        </w:rPr>
        <w:t>Upravne enote od novele ZKZ-G iz leta 2022 preverjajo zaščitenost kmetij samo še na zahtevo sodišč (postopki dedovanja) ali davčnega organa, kar posledično zmanjšuje število teh zadev.</w:t>
      </w:r>
    </w:p>
    <w:p w14:paraId="3DEFB648" w14:textId="77777777" w:rsidR="008C522A" w:rsidRDefault="008C522A" w:rsidP="008C522A">
      <w:pPr>
        <w:rPr>
          <w:rFonts w:cs="Arial"/>
          <w:szCs w:val="22"/>
        </w:rPr>
      </w:pPr>
    </w:p>
    <w:p w14:paraId="6902760F" w14:textId="2D47FE33" w:rsidR="008C522A" w:rsidRPr="008C522A" w:rsidRDefault="008C522A" w:rsidP="008C522A">
      <w:pPr>
        <w:rPr>
          <w:rFonts w:cs="Arial"/>
          <w:szCs w:val="22"/>
        </w:rPr>
      </w:pPr>
      <w:r w:rsidRPr="008C522A">
        <w:rPr>
          <w:rFonts w:cs="Arial"/>
          <w:szCs w:val="22"/>
        </w:rPr>
        <w:t xml:space="preserve">Status kmeta je še vedno eno izmed pomembnih vprašanj v povezavi s predkupno pravico po ZKZ in subvencijami. Upravne enote ugotavljajo dohodek, ki ga stranke pridobivajo z opravljanjem kmetijske dejavnosti, za namen določitve statusa kmeta po ZKZ. UE morajo same vrednotiti kmetijske pridelke, saj se dogaja, da ni nobenih računov o prodaji, predložena mnenja Kmetijske svetovalne službe pa večkrat odstopajo od realne vrednosti pridelkov. </w:t>
      </w:r>
    </w:p>
    <w:p w14:paraId="1E78120A" w14:textId="77777777" w:rsidR="008C522A" w:rsidRPr="008C522A" w:rsidRDefault="008C522A" w:rsidP="008C522A">
      <w:pPr>
        <w:rPr>
          <w:rFonts w:cs="Arial"/>
          <w:szCs w:val="22"/>
        </w:rPr>
      </w:pPr>
    </w:p>
    <w:p w14:paraId="7F58D562" w14:textId="77777777" w:rsidR="008C522A" w:rsidRPr="008C522A" w:rsidRDefault="008C522A" w:rsidP="008C522A">
      <w:pPr>
        <w:rPr>
          <w:rFonts w:cs="Arial"/>
          <w:szCs w:val="22"/>
        </w:rPr>
      </w:pPr>
      <w:r w:rsidRPr="008C522A">
        <w:rPr>
          <w:rFonts w:cs="Arial"/>
          <w:szCs w:val="22"/>
        </w:rPr>
        <w:t>Pomemben problem je še vedno neurejenost Registra agrarnih skupnosti po Zakonu o agrarnih skupnostih, ki še ni sistemsko povezan s katastrom in zemljiško knjigo ter se vodi v obliki evidenc, brez enotnih in jasnih usmeritev resornega ministrstva.</w:t>
      </w:r>
    </w:p>
    <w:p w14:paraId="0DFF02F2" w14:textId="77777777" w:rsidR="008C522A" w:rsidRPr="008C522A" w:rsidRDefault="008C522A" w:rsidP="008C522A">
      <w:pPr>
        <w:rPr>
          <w:rFonts w:cs="Arial"/>
          <w:szCs w:val="22"/>
        </w:rPr>
      </w:pPr>
    </w:p>
    <w:p w14:paraId="0B20B896" w14:textId="77777777" w:rsidR="008C522A" w:rsidRPr="008C522A" w:rsidRDefault="008C522A" w:rsidP="008C522A">
      <w:pPr>
        <w:rPr>
          <w:rFonts w:cs="Arial"/>
          <w:szCs w:val="22"/>
        </w:rPr>
      </w:pPr>
      <w:r w:rsidRPr="008C522A">
        <w:rPr>
          <w:rFonts w:cs="Arial"/>
          <w:szCs w:val="22"/>
        </w:rPr>
        <w:t>V letu 2025 je začela veljati nova Standardna klasifikacije dejavnosti (SKD 2025), ki je nadomestila staro SKD 2008. Posledično je bila v letu 2025 sprejeta tudi Uredba o spremembah Uredbe o dopolnilnih dejavnostih na kmetiji, ki v prehodnih določbah določa, da se dejavnosti, ki so opredeljene v dovoljenjih za opravljanje dopolnilnih dejavnosti na kmetiji, izdanih na podlagi starejše uredbe, uskladijo ob prvi spremembi dopolnilne dejavnosti na kmetiji, zato so upravne enote lani izdajale tudi predmetne odločbe. </w:t>
      </w:r>
    </w:p>
    <w:p w14:paraId="6FE7DE4C" w14:textId="77777777" w:rsidR="008C522A" w:rsidRDefault="008C522A" w:rsidP="008C522A">
      <w:pPr>
        <w:rPr>
          <w:rFonts w:cs="Arial"/>
          <w:szCs w:val="22"/>
        </w:rPr>
      </w:pPr>
    </w:p>
    <w:p w14:paraId="01560E97" w14:textId="24A1D7FE" w:rsidR="008C522A" w:rsidRPr="008C522A" w:rsidRDefault="008C522A" w:rsidP="008C522A">
      <w:pPr>
        <w:rPr>
          <w:rFonts w:cs="Arial"/>
          <w:szCs w:val="22"/>
        </w:rPr>
      </w:pPr>
      <w:r w:rsidRPr="008C522A">
        <w:rPr>
          <w:rFonts w:cs="Arial"/>
          <w:szCs w:val="22"/>
        </w:rPr>
        <w:t>Pri urejanju GERK-ov so se pojavljale tudi tehnične težave pri usklajevanju podatkov, zaradi neskladij med stanjem na terenu, zemljiškim katastrom ter vnosom v register. Skladno z navodili ministrstva</w:t>
      </w:r>
      <w:r w:rsidRPr="008C522A">
        <w:rPr>
          <w:rFonts w:cs="Arial"/>
          <w:b/>
          <w:bCs/>
          <w:szCs w:val="22"/>
        </w:rPr>
        <w:t xml:space="preserve"> </w:t>
      </w:r>
      <w:r w:rsidRPr="008C522A">
        <w:rPr>
          <w:rFonts w:cs="Arial"/>
          <w:szCs w:val="22"/>
        </w:rPr>
        <w:t>za opravljanje vodstvenih kontrol in s priporočili iz revizijskih poročil Agencije Republike Slovenije za kmetijske trge in razvoj podeželja so nekatere upravne enote opravile vodstvene kontrole uradnih oseb, ki vodijo RKG.</w:t>
      </w:r>
    </w:p>
    <w:p w14:paraId="3A70E605" w14:textId="5F9EA775" w:rsidR="008C522A" w:rsidRPr="00D864AE" w:rsidRDefault="0035331D" w:rsidP="00D864AE">
      <w:pPr>
        <w:pStyle w:val="Naslov3"/>
        <w:numPr>
          <w:ilvl w:val="2"/>
          <w:numId w:val="0"/>
        </w:numPr>
        <w:ind w:left="720" w:hanging="720"/>
      </w:pPr>
      <w:r w:rsidRPr="00D864AE">
        <w:t>4.4.2</w:t>
      </w:r>
      <w:r w:rsidRPr="00D864AE">
        <w:tab/>
      </w:r>
      <w:r w:rsidR="008C522A" w:rsidRPr="00D864AE">
        <w:t>Komasacije</w:t>
      </w:r>
    </w:p>
    <w:p w14:paraId="23B50D13" w14:textId="77777777" w:rsidR="00B44430" w:rsidRDefault="008C522A" w:rsidP="00B44430">
      <w:pPr>
        <w:rPr>
          <w:rFonts w:cs="Arial"/>
          <w:sz w:val="20"/>
          <w:szCs w:val="20"/>
          <w:lang w:eastAsia="en-US"/>
        </w:rPr>
      </w:pPr>
      <w:r w:rsidRPr="008C522A">
        <w:rPr>
          <w:rFonts w:cs="Arial"/>
          <w:szCs w:val="22"/>
        </w:rPr>
        <w:t>Komasacijski postopki so med najzahtevnejšimi na področju kmetijstva. Postopki so se v letu 2025 izvajali samo na posameznih UE. Medtem ko so nekatere UE uspešno zaključile posamezne faze komasacije, so se druge UE soočale z ovirami: pomanjkljiva dokumentacija pri starejših komasacijah in neusklajenost podatkov v zemljiški knjigi upočasnjujeta zaključek. Kljub temu so bile izdane nekatere odločitve, ki bodo omogočile hitrejše nadaljevanje komasacijskih postopkov v prihodnjih letih.</w:t>
      </w:r>
      <w:r w:rsidR="00B44430">
        <w:rPr>
          <w:rFonts w:cs="Arial"/>
          <w:szCs w:val="22"/>
        </w:rPr>
        <w:t xml:space="preserve"> </w:t>
      </w:r>
      <w:r w:rsidR="00B44430" w:rsidRPr="00B44430">
        <w:rPr>
          <w:rFonts w:cs="Arial"/>
          <w:szCs w:val="22"/>
        </w:rPr>
        <w:t>Upravna enota Koper je v svojem poročilu poudarila, da je v letu 2025 zaključila dolgotrajni komasacijski postopek Malinska, ki se je začel leta 1983.</w:t>
      </w:r>
    </w:p>
    <w:p w14:paraId="4AEE81D0" w14:textId="2514D436" w:rsidR="008C522A" w:rsidRPr="00D864AE" w:rsidRDefault="0035331D" w:rsidP="00D864AE">
      <w:pPr>
        <w:pStyle w:val="Naslov3"/>
        <w:numPr>
          <w:ilvl w:val="2"/>
          <w:numId w:val="0"/>
        </w:numPr>
        <w:ind w:left="720" w:hanging="720"/>
      </w:pPr>
      <w:r w:rsidRPr="00D864AE">
        <w:t>4.4.3</w:t>
      </w:r>
      <w:r w:rsidRPr="00D864AE">
        <w:tab/>
      </w:r>
      <w:r w:rsidR="008C522A" w:rsidRPr="00D864AE">
        <w:t>Sodelovanje z resornim ministrstvom</w:t>
      </w:r>
    </w:p>
    <w:p w14:paraId="3AF6F31C" w14:textId="77777777" w:rsidR="008C522A" w:rsidRPr="008C522A" w:rsidRDefault="008C522A" w:rsidP="008C522A">
      <w:pPr>
        <w:rPr>
          <w:rFonts w:cs="Arial"/>
          <w:szCs w:val="22"/>
        </w:rPr>
      </w:pPr>
      <w:r w:rsidRPr="008C522A">
        <w:rPr>
          <w:rFonts w:cs="Arial"/>
          <w:szCs w:val="22"/>
        </w:rPr>
        <w:t>Upravne enote ocenjujejo sodelovanje z Ministrstvom za kmetijstvo, gozdarstvo in prehrano kot dobro, posebej na področju GERK. Upravne enote so pohvalile ažurnost in dostopnost klicnega centra RKG, kar je omogočalo hitro reševanje težav v evidencah ter službo, ki pokriva Register pridelovalcev grozdja in vina. Pravna služba ministrstva redno seznanja upravne enote s tekočo sodno prakso.</w:t>
      </w:r>
    </w:p>
    <w:p w14:paraId="07763114" w14:textId="4CE1C716" w:rsidR="008C522A" w:rsidRPr="00C77EDD" w:rsidRDefault="0035331D" w:rsidP="00C77EDD">
      <w:pPr>
        <w:pStyle w:val="Naslov2"/>
      </w:pPr>
      <w:r w:rsidRPr="00631DC8">
        <w:t>4.5</w:t>
      </w:r>
      <w:r w:rsidRPr="00631DC8">
        <w:tab/>
      </w:r>
      <w:r w:rsidR="008C522A" w:rsidRPr="00631DC8">
        <w:t>Denacionalizacija</w:t>
      </w:r>
    </w:p>
    <w:p w14:paraId="5C457A7F" w14:textId="77777777" w:rsidR="008C522A" w:rsidRPr="008C522A" w:rsidRDefault="008C522A" w:rsidP="008C522A">
      <w:pPr>
        <w:rPr>
          <w:rFonts w:cs="Arial"/>
          <w:szCs w:val="22"/>
        </w:rPr>
      </w:pPr>
      <w:r w:rsidRPr="008C522A">
        <w:rPr>
          <w:rFonts w:cs="Arial"/>
          <w:szCs w:val="22"/>
        </w:rPr>
        <w:t xml:space="preserve">Na dan 31. 12. 2025 je bilo na UE še 49 nepravnomočnih zadev, od tega po Zakonu o denacionalizaciji (v nadaljevanju: ZDEN) 46, po Zakonu o ponovni vzpostavitvi agrarnih skupnosti ter vrnitvi njihovega premoženja in pravic (v nadaljevanju: ZPVAS) pa 3 zadeve. </w:t>
      </w:r>
    </w:p>
    <w:p w14:paraId="701A4FE0" w14:textId="77777777" w:rsidR="008C522A" w:rsidRDefault="008C522A" w:rsidP="008C522A">
      <w:pPr>
        <w:rPr>
          <w:rFonts w:cs="Arial"/>
          <w:szCs w:val="22"/>
        </w:rPr>
      </w:pPr>
    </w:p>
    <w:p w14:paraId="707936BF" w14:textId="0B3E4CF0" w:rsidR="008C522A" w:rsidRPr="008C522A" w:rsidRDefault="008C522A" w:rsidP="008C522A">
      <w:pPr>
        <w:rPr>
          <w:rFonts w:cs="Arial"/>
          <w:szCs w:val="22"/>
        </w:rPr>
      </w:pPr>
      <w:r w:rsidRPr="008C522A">
        <w:rPr>
          <w:rFonts w:cs="Arial"/>
          <w:szCs w:val="22"/>
        </w:rPr>
        <w:t>Po ZDEN je bilo na UE dne 31.12. 2025 v dejanskem reševanju 29 zadev, po ZPVAS pa 3. Od 1.1.2025  do 31.12. 2025 se je število nepravnomočnih zadev po ZDEN na UE zmanjšalo od 49 na 46 zadev.</w:t>
      </w:r>
    </w:p>
    <w:p w14:paraId="474C6AFA" w14:textId="77777777" w:rsidR="008C522A" w:rsidRDefault="008C522A" w:rsidP="008C522A">
      <w:pPr>
        <w:rPr>
          <w:rFonts w:cs="Arial"/>
          <w:szCs w:val="22"/>
        </w:rPr>
      </w:pPr>
    </w:p>
    <w:p w14:paraId="75362AB4" w14:textId="3C774986" w:rsidR="008C522A" w:rsidRPr="008C522A" w:rsidRDefault="008C522A" w:rsidP="008C522A">
      <w:pPr>
        <w:rPr>
          <w:rFonts w:cs="Arial"/>
          <w:szCs w:val="22"/>
        </w:rPr>
      </w:pPr>
      <w:r w:rsidRPr="008C522A">
        <w:rPr>
          <w:rFonts w:cs="Arial"/>
          <w:szCs w:val="22"/>
        </w:rPr>
        <w:lastRenderedPageBreak/>
        <w:t>Na število nepravnomočnih zadev je tudi v letu 2025 vplivala spremenjena ustavnosodna praksa iz leta 2017 glede drugega odstavka 10. člena ZDEN, vezana na Finančno in izravnalno pogodba med Zvezno republiko Nemčijo in Republiko Avstrijo iz leta 1961. Gre za pravico do odškodnine od tuje države. Posledično se je v letu 2018 na UE reaktiviralo 32, prej že pravnomočnih zadev. Do dne 31.12. 2025 je 19 tako reaktiviranih zadev na UE znova postalo pravnomočnih.</w:t>
      </w:r>
    </w:p>
    <w:p w14:paraId="1391269D" w14:textId="77777777" w:rsidR="008C522A" w:rsidRDefault="008C522A" w:rsidP="008C522A">
      <w:pPr>
        <w:rPr>
          <w:rFonts w:cs="Arial"/>
          <w:szCs w:val="22"/>
        </w:rPr>
      </w:pPr>
    </w:p>
    <w:p w14:paraId="3A113C31" w14:textId="716A3C1D" w:rsidR="008C522A" w:rsidRPr="008C522A" w:rsidRDefault="008C522A" w:rsidP="008C522A">
      <w:pPr>
        <w:rPr>
          <w:rFonts w:cs="Arial"/>
          <w:szCs w:val="22"/>
        </w:rPr>
      </w:pPr>
      <w:r w:rsidRPr="008C522A">
        <w:rPr>
          <w:rFonts w:cs="Arial"/>
          <w:szCs w:val="22"/>
        </w:rPr>
        <w:t>V letu 2025 so Ministrstvo za kmetijstvo, gozdarstvo in prehrano, Ministrstvo za naravne vire in prostor ter Ministrstvo za gospodarstvo, turizem in šport v pritožbenih postopkih zoper odločitve UE izdala 24 konkretnih upravnih aktov; od tega MKGP 12, MNVP 8 ter MGTŠ 4. Meritorno so ministrstva odločila v 21-ih zadevah: MKGP v 11-ih, MNVP v 7-ih, MGTŠ pa v 3-eh primerih. V ponovni postopek so ministrstva vrnila na UE 3 zadeve: MKGP 1 zadevo, MNVP  1 zadevo, MGTŠ pa prav tako 1 zadevo.</w:t>
      </w:r>
    </w:p>
    <w:p w14:paraId="39CD4589" w14:textId="77777777" w:rsidR="008C522A" w:rsidRDefault="008C522A" w:rsidP="008C522A">
      <w:pPr>
        <w:rPr>
          <w:rFonts w:cs="Arial"/>
          <w:szCs w:val="22"/>
        </w:rPr>
      </w:pPr>
    </w:p>
    <w:p w14:paraId="423F06EE" w14:textId="42831519" w:rsidR="008C522A" w:rsidRPr="008C522A" w:rsidRDefault="008C522A" w:rsidP="008C522A">
      <w:pPr>
        <w:rPr>
          <w:rFonts w:cs="Arial"/>
          <w:szCs w:val="22"/>
        </w:rPr>
      </w:pPr>
      <w:r w:rsidRPr="008C522A">
        <w:rPr>
          <w:rFonts w:cs="Arial"/>
          <w:szCs w:val="22"/>
        </w:rPr>
        <w:t>Med UE je tudi v letu 2024 potekala dobra praksa medsebojne pomoči po ZDEN, in sicer za 8 zadev.</w:t>
      </w:r>
    </w:p>
    <w:p w14:paraId="53706039" w14:textId="77777777" w:rsidR="008C522A" w:rsidRDefault="008C522A" w:rsidP="008C522A">
      <w:pPr>
        <w:rPr>
          <w:rFonts w:cs="Arial"/>
          <w:szCs w:val="22"/>
        </w:rPr>
      </w:pPr>
    </w:p>
    <w:p w14:paraId="470AB2DD" w14:textId="77777777" w:rsidR="00DA19EB" w:rsidRDefault="008C522A" w:rsidP="00DA19EB">
      <w:pPr>
        <w:rPr>
          <w:rFonts w:cs="Arial"/>
          <w:szCs w:val="22"/>
        </w:rPr>
      </w:pPr>
      <w:r w:rsidRPr="008C522A">
        <w:rPr>
          <w:rFonts w:cs="Arial"/>
          <w:szCs w:val="22"/>
        </w:rPr>
        <w:t xml:space="preserve">Sklad kmetijskih zemljišč in gozdov Republike Slovenije (v nadaljevanju: SKZG RS) je lani vodil postopke sklepanja sporazumov za dodelitev nadomestnih zemljišč po ZDEN v zvezi s postopki na 5-ih UE. SKZG RS upravičencem ni posredoval nobenega predloga sporazuma. Sklenjen ni bil noben sporazum. Posledično UE v letu 2025 niso izdale nobene predmetne odločbe. </w:t>
      </w:r>
    </w:p>
    <w:p w14:paraId="483F18FA" w14:textId="77777777" w:rsidR="00DA19EB" w:rsidRDefault="00DA19EB" w:rsidP="00DA19EB">
      <w:pPr>
        <w:rPr>
          <w:rFonts w:cs="Arial"/>
          <w:szCs w:val="22"/>
        </w:rPr>
      </w:pPr>
    </w:p>
    <w:p w14:paraId="673E0318" w14:textId="1E4B3A5D" w:rsidR="00DA19EB" w:rsidRDefault="00DA19EB" w:rsidP="00DA19EB">
      <w:pPr>
        <w:rPr>
          <w:rFonts w:cs="Arial"/>
          <w:szCs w:val="22"/>
        </w:rPr>
      </w:pPr>
      <w:r w:rsidRPr="00DA19EB">
        <w:rPr>
          <w:rFonts w:cs="Arial"/>
          <w:szCs w:val="22"/>
        </w:rPr>
        <w:t>MJU je v sodelovanju z UE Celje v letu 2025 začelo aktivnosti za koncentracijo reševanja še nepravnomočnih zadev na navedeni UE. Le-ta ima dolgoletne in bogate izkušnje pri reševanju zadev po ZDEN, tudi z nudenjem vsebinske, operativne pomoči drugim UE po predhodno sklenjenih sporazumih. V Republiki Sloveniji nasploh in tako tudi na UE so v reševanju ostale še najtežje in najbolj kompleksne zadeve, zato je želja, da se na področju denacionalizacije pri enem upravnem organu na prvi stopnji osredotočita uradniško znanje in izkušnje, kar bi pripomoglo k hitrejšemu zaključku zadev. UE Celje bo v prihodnosti po predhodnem dogovoru od drugih UE prevzela v reševanje in odločitev preostale, še nepravnomočne, zadeve po ZDEN.</w:t>
      </w:r>
    </w:p>
    <w:p w14:paraId="2CC55F0E" w14:textId="77777777" w:rsidR="00DA19EB" w:rsidRPr="00DA19EB" w:rsidRDefault="00DA19EB" w:rsidP="00DA19EB">
      <w:pPr>
        <w:rPr>
          <w:rFonts w:cs="Arial"/>
          <w:szCs w:val="22"/>
        </w:rPr>
      </w:pPr>
    </w:p>
    <w:p w14:paraId="5109A3C8" w14:textId="77777777" w:rsidR="00DA19EB" w:rsidRDefault="00DA19EB" w:rsidP="00DA19EB">
      <w:pPr>
        <w:rPr>
          <w:rFonts w:cs="Arial"/>
          <w:szCs w:val="22"/>
        </w:rPr>
      </w:pPr>
      <w:r w:rsidRPr="00DA19EB">
        <w:rPr>
          <w:rFonts w:cs="Arial"/>
          <w:szCs w:val="22"/>
        </w:rPr>
        <w:t>V okviru teh aktivnosti je MJU pristopilo k zagotovitvi dodatnih kadrovskih kvot za UE Celje ter k zagotovitvi prostorskih in tehničnih pogojev za ustanovitev in delovanje posebne notranje organizacijske enote te UE, kjer bodo njeni uradniki polni delovni čas delali na področju denacionalizacije.</w:t>
      </w:r>
    </w:p>
    <w:p w14:paraId="6471701E" w14:textId="77777777" w:rsidR="00DA19EB" w:rsidRPr="00DA19EB" w:rsidRDefault="00DA19EB" w:rsidP="00DA19EB">
      <w:pPr>
        <w:rPr>
          <w:rFonts w:cs="Arial"/>
          <w:szCs w:val="22"/>
        </w:rPr>
      </w:pPr>
    </w:p>
    <w:p w14:paraId="79DD175B" w14:textId="77777777" w:rsidR="00DA19EB" w:rsidRDefault="00DA19EB" w:rsidP="00DA19EB">
      <w:pPr>
        <w:rPr>
          <w:rFonts w:cs="Arial"/>
          <w:szCs w:val="22"/>
        </w:rPr>
      </w:pPr>
      <w:r w:rsidRPr="00DA19EB">
        <w:rPr>
          <w:rFonts w:cs="Arial"/>
          <w:szCs w:val="22"/>
        </w:rPr>
        <w:t>O navedenih aktivnostih je MJU seznanilo tudi Varuha človekovih pravic Republike Slovenije, ki je v preteklosti večkrat opozoril na nujnost zaključka dolgoletnih postopkov denacionalizacije.</w:t>
      </w:r>
    </w:p>
    <w:p w14:paraId="3086497D" w14:textId="77777777" w:rsidR="00DA19EB" w:rsidRPr="00DA19EB" w:rsidRDefault="00DA19EB" w:rsidP="00DA19EB">
      <w:pPr>
        <w:rPr>
          <w:rFonts w:cs="Arial"/>
          <w:szCs w:val="22"/>
        </w:rPr>
      </w:pPr>
    </w:p>
    <w:p w14:paraId="31D5E6E2" w14:textId="77777777" w:rsidR="00DA19EB" w:rsidRDefault="00DA19EB" w:rsidP="00DA19EB">
      <w:pPr>
        <w:rPr>
          <w:rFonts w:cs="Arial"/>
          <w:szCs w:val="22"/>
        </w:rPr>
      </w:pPr>
      <w:r w:rsidRPr="00DA19EB">
        <w:rPr>
          <w:rFonts w:cs="Arial"/>
          <w:szCs w:val="22"/>
        </w:rPr>
        <w:t>Od UE, ki še rešujejo zadeve po ZDEN, smo pridobili informacije ali in kakšno pomoč (pravno svetovanje) bi potrebovali od Državnega odvetništva Republike Slovenije, skladno z pristojnostmi le - tega, in z odzivi  sedmih UE seznanili DO RS ter Varuha človekovih pravic.</w:t>
      </w:r>
    </w:p>
    <w:p w14:paraId="57D9F3C0" w14:textId="77777777" w:rsidR="00DA19EB" w:rsidRPr="00DA19EB" w:rsidRDefault="00DA19EB" w:rsidP="00DA19EB">
      <w:pPr>
        <w:rPr>
          <w:rFonts w:cs="Arial"/>
          <w:szCs w:val="22"/>
        </w:rPr>
      </w:pPr>
    </w:p>
    <w:p w14:paraId="76074A6F" w14:textId="77777777" w:rsidR="00DA19EB" w:rsidRPr="00DA19EB" w:rsidRDefault="00DA19EB" w:rsidP="00DA19EB">
      <w:pPr>
        <w:rPr>
          <w:rFonts w:cs="Arial"/>
          <w:szCs w:val="22"/>
        </w:rPr>
      </w:pPr>
      <w:r w:rsidRPr="00DA19EB">
        <w:rPr>
          <w:rFonts w:cs="Arial"/>
          <w:szCs w:val="22"/>
        </w:rPr>
        <w:lastRenderedPageBreak/>
        <w:t>Z namenom pregleda možnosti zaključka določene zalo zahtevne zadeve, katere nosilec je UE Mozirje (po sporazumu jim pomaga UE Celje), rešitev pa je v veliki meri pogojena tudi z aktivnostmi SKZG RS, je MJU v mesecu novembru organiziralo skupni sestanek z vsemi vključenimi deležniki, poleg sklada tudi z lokalno skupnostjo ter Ministrstvom za pravosodje. Vsebina sestanka ni v ničemer prejudicirala odločitve pristojnih organov.</w:t>
      </w:r>
    </w:p>
    <w:p w14:paraId="1776BF04" w14:textId="5FBA6CFA" w:rsidR="00B14ED8" w:rsidRPr="00631DC8" w:rsidRDefault="0035331D" w:rsidP="00C77EDD">
      <w:pPr>
        <w:pStyle w:val="Naslov2"/>
      </w:pPr>
      <w:r w:rsidRPr="00631DC8">
        <w:t>4. 6</w:t>
      </w:r>
      <w:r w:rsidRPr="00631DC8">
        <w:tab/>
      </w:r>
      <w:r w:rsidR="00B14ED8" w:rsidRPr="00631DC8">
        <w:t>Delo, družina, socialne zadeve in enake možnosti</w:t>
      </w:r>
    </w:p>
    <w:p w14:paraId="79826F77" w14:textId="51128CC1" w:rsidR="008C522A" w:rsidRPr="001D1F06" w:rsidRDefault="008C522A" w:rsidP="008C522A">
      <w:pPr>
        <w:rPr>
          <w:rFonts w:cs="Arial"/>
          <w:szCs w:val="22"/>
        </w:rPr>
      </w:pPr>
      <w:r w:rsidRPr="001D1F06">
        <w:rPr>
          <w:rFonts w:cs="Arial"/>
          <w:szCs w:val="22"/>
        </w:rPr>
        <w:t>Upravne enote so v letu 2025 iz področja dela MDDSZEM skupno obravnavale 19.470 zadev, od tega je bilo 1.747 upravnih zadev</w:t>
      </w:r>
      <w:r w:rsidR="005D657B" w:rsidRPr="001D1F06">
        <w:rPr>
          <w:rFonts w:cs="Arial"/>
          <w:szCs w:val="22"/>
        </w:rPr>
        <w:t xml:space="preserve"> in</w:t>
      </w:r>
      <w:r w:rsidRPr="001D1F06">
        <w:rPr>
          <w:rFonts w:cs="Arial"/>
          <w:szCs w:val="22"/>
        </w:rPr>
        <w:t xml:space="preserve"> 17.723 drugih upravnih nalog. V letu 2025 je bilo vseh rešenih upravnih zadev 1.627, kar pomeni, da je bilo v poročevalnem obdobju rešenih 93% vseh prejetih upravnih zadev. Število nerešenih zadev, prenesenih iz leta 2025, ostaja nizko, saj se nanaša predvsem na vloge, prejete ob zaključku poročevalskega obdobja. Na tem delovnem področju upravne enote tudi v letu 2025 v povprečju ne beležijo zaostankov.</w:t>
      </w:r>
    </w:p>
    <w:p w14:paraId="0B59B286" w14:textId="096A66A5" w:rsidR="008C522A" w:rsidRPr="00D864AE" w:rsidRDefault="0035331D" w:rsidP="00D864AE">
      <w:pPr>
        <w:pStyle w:val="Naslov3"/>
        <w:numPr>
          <w:ilvl w:val="2"/>
          <w:numId w:val="0"/>
        </w:numPr>
        <w:ind w:left="720" w:hanging="720"/>
      </w:pPr>
      <w:r w:rsidRPr="00D864AE">
        <w:t>4.6.1</w:t>
      </w:r>
      <w:r w:rsidRPr="00D864AE">
        <w:tab/>
      </w:r>
      <w:r w:rsidR="008C522A" w:rsidRPr="00D864AE">
        <w:t>Vsebinska problematika</w:t>
      </w:r>
    </w:p>
    <w:p w14:paraId="0B226FB0" w14:textId="77777777" w:rsidR="008C522A" w:rsidRPr="005D657B" w:rsidRDefault="008C522A" w:rsidP="008C522A">
      <w:pPr>
        <w:rPr>
          <w:rFonts w:cs="Arial"/>
          <w:szCs w:val="22"/>
        </w:rPr>
      </w:pPr>
      <w:r w:rsidRPr="005D657B">
        <w:rPr>
          <w:rFonts w:cs="Arial"/>
          <w:szCs w:val="22"/>
        </w:rPr>
        <w:t>Delo na področju dela, družine, socialnih zadev in enakih možnosti je v letu 2025 potekalo tekoče, vendar so upravne enote izpostavile več specifičnih izzivov, ki se pojavljajo pri izvajanju posameznih zakonodajnih področij. Eden izrazitejših je povečan obseg vlog za Evropsko kartico ugodnosti za invalide, ki so ga poročale številne enote, ponekod tudi z več kot 50</w:t>
      </w:r>
      <w:r w:rsidRPr="005D657B">
        <w:rPr>
          <w:rFonts w:ascii="Cambria Math" w:hAnsi="Cambria Math" w:cs="Cambria Math"/>
          <w:szCs w:val="22"/>
        </w:rPr>
        <w:t>‑</w:t>
      </w:r>
      <w:r w:rsidRPr="005D657B">
        <w:rPr>
          <w:rFonts w:cs="Arial"/>
          <w:szCs w:val="22"/>
        </w:rPr>
        <w:t>odstotnim porastom. Pri tem se pojavlja vsebinska nejasnost, saj so po navodilih ministrstva do kartice upravičene tudi osebe z najmanj 50</w:t>
      </w:r>
      <w:r w:rsidRPr="005D657B">
        <w:rPr>
          <w:rFonts w:ascii="Cambria Math" w:hAnsi="Cambria Math" w:cs="Cambria Math"/>
          <w:szCs w:val="22"/>
        </w:rPr>
        <w:t>‑</w:t>
      </w:r>
      <w:r w:rsidRPr="005D657B">
        <w:rPr>
          <w:rFonts w:cs="Arial"/>
          <w:szCs w:val="22"/>
        </w:rPr>
        <w:t>odstotno telesno okvaro, čeprav takšna širitev upravičencev še nima ustrezne zakonske podlage. Zaradi tega prihaja do neenotnega razumevanja in izvajanja postopkov, kar upravne enote uvrščajo med ključne izzive, ki zahtevajo čimprejšnjo pravno ureditev.</w:t>
      </w:r>
    </w:p>
    <w:p w14:paraId="5CF757AC" w14:textId="77777777" w:rsidR="00FB1282" w:rsidRPr="005D657B" w:rsidRDefault="00FB1282" w:rsidP="008C522A">
      <w:pPr>
        <w:rPr>
          <w:rFonts w:cs="Arial"/>
          <w:szCs w:val="22"/>
        </w:rPr>
      </w:pPr>
    </w:p>
    <w:p w14:paraId="43235E79" w14:textId="6C98EE29" w:rsidR="008C522A" w:rsidRPr="005D657B" w:rsidRDefault="008C522A" w:rsidP="008C522A">
      <w:pPr>
        <w:rPr>
          <w:rFonts w:cs="Arial"/>
          <w:szCs w:val="22"/>
        </w:rPr>
      </w:pPr>
      <w:r w:rsidRPr="005D657B">
        <w:rPr>
          <w:rFonts w:cs="Arial"/>
          <w:szCs w:val="22"/>
        </w:rPr>
        <w:t xml:space="preserve">Na področju osebnega dopolnilnega dela se kljub ustaljenemu delu ponavljajo pripombe strank, ki so nezadovoljne s trenutno zakonsko omejitvijo, da je mogoče vrednotnice kupiti le za dva meseca vnaprej. Več </w:t>
      </w:r>
      <w:r w:rsidR="005D657B">
        <w:rPr>
          <w:rFonts w:cs="Arial"/>
          <w:szCs w:val="22"/>
        </w:rPr>
        <w:t xml:space="preserve">upravnih </w:t>
      </w:r>
      <w:r w:rsidRPr="005D657B">
        <w:rPr>
          <w:rFonts w:cs="Arial"/>
          <w:szCs w:val="22"/>
        </w:rPr>
        <w:t>enot opozarja tudi na administrativno zahtevnost postopka, saj je treba ob vsakokratni izdaji vrednotnice ponovno vnesti vse podatke.</w:t>
      </w:r>
    </w:p>
    <w:p w14:paraId="35E8357B" w14:textId="77777777" w:rsidR="00FB1282" w:rsidRPr="005D657B" w:rsidRDefault="00FB1282" w:rsidP="008C522A">
      <w:pPr>
        <w:rPr>
          <w:rFonts w:cs="Arial"/>
          <w:szCs w:val="22"/>
        </w:rPr>
      </w:pPr>
    </w:p>
    <w:p w14:paraId="3EEC0FE3" w14:textId="0E63B552" w:rsidR="008C522A" w:rsidRPr="005D657B" w:rsidRDefault="008C522A" w:rsidP="008C522A">
      <w:pPr>
        <w:rPr>
          <w:rFonts w:cs="Arial"/>
          <w:szCs w:val="22"/>
        </w:rPr>
      </w:pPr>
      <w:r w:rsidRPr="005D657B">
        <w:rPr>
          <w:rFonts w:cs="Arial"/>
          <w:szCs w:val="22"/>
        </w:rPr>
        <w:t xml:space="preserve">Na področju tehničnih pripomočkov in prilagoditev vozil za invalide se ponavlja ugotovitev, da so postopki zahtevni zaradi specifične narave strank, v nekaterih primerih pa je težava tudi prenizka višina sofinanciranja v primerjavi z dejanskimi stroški na trgu. Nekatere </w:t>
      </w:r>
      <w:r w:rsidR="005D657B">
        <w:rPr>
          <w:rFonts w:cs="Arial"/>
          <w:szCs w:val="22"/>
        </w:rPr>
        <w:t xml:space="preserve">upravne </w:t>
      </w:r>
      <w:r w:rsidRPr="005D657B">
        <w:rPr>
          <w:rFonts w:cs="Arial"/>
          <w:szCs w:val="22"/>
        </w:rPr>
        <w:t>enote opozarjajo na nepopolnosti v aplikaciji ZIMI, kjer določenih podatkov ni mogoče pridobiti ali pregledati, zlasti kadar je postopek v teku na drugi upravni enoti ali ko je treba preveriti predhodno izdane pripomočke. Prav tako se kot ovira izpostavlja še vedno obvezna predložitev fizične fotografije pri vlogah za evropsko kartico, kar podaljšuje postopek in je v neskladju s siceršnjim trendom digitalizacije upravnih storitev.</w:t>
      </w:r>
    </w:p>
    <w:p w14:paraId="66CBF4EB" w14:textId="77777777" w:rsidR="00FB1282" w:rsidRPr="005D657B" w:rsidRDefault="00FB1282" w:rsidP="008C522A">
      <w:pPr>
        <w:rPr>
          <w:rFonts w:cs="Arial"/>
          <w:szCs w:val="22"/>
        </w:rPr>
      </w:pPr>
    </w:p>
    <w:p w14:paraId="012A5FB2" w14:textId="6C6E85DC" w:rsidR="008C522A" w:rsidRPr="005D657B" w:rsidRDefault="008C522A" w:rsidP="008C522A">
      <w:pPr>
        <w:rPr>
          <w:rFonts w:cs="Arial"/>
          <w:b/>
          <w:bCs/>
          <w:szCs w:val="22"/>
        </w:rPr>
      </w:pPr>
      <w:r w:rsidRPr="005D657B">
        <w:rPr>
          <w:rFonts w:cs="Arial"/>
          <w:szCs w:val="22"/>
        </w:rPr>
        <w:t xml:space="preserve">Kot posebna težava se pojavlja tudi področje sindikatov. Zakonodaja, ki ureja vodenje evidenc statutov sindikatov, je zastarela, evidence pa se ponekod še vedno vodijo ročno, pri čemer v registru ostajajo sindikati podjetij, ki že dolgo ne obstajajo. </w:t>
      </w:r>
    </w:p>
    <w:p w14:paraId="78BB6C36" w14:textId="77777777" w:rsidR="00FB1282" w:rsidRPr="005D657B" w:rsidRDefault="00FB1282" w:rsidP="008C522A">
      <w:pPr>
        <w:rPr>
          <w:rFonts w:cs="Arial"/>
          <w:b/>
          <w:bCs/>
          <w:szCs w:val="22"/>
        </w:rPr>
      </w:pPr>
    </w:p>
    <w:p w14:paraId="51A5D62D" w14:textId="77777777" w:rsidR="008C522A" w:rsidRPr="005D657B" w:rsidRDefault="008C522A" w:rsidP="008C522A">
      <w:pPr>
        <w:rPr>
          <w:rFonts w:cs="Arial"/>
          <w:szCs w:val="22"/>
        </w:rPr>
      </w:pPr>
      <w:r w:rsidRPr="005D657B">
        <w:rPr>
          <w:rFonts w:cs="Arial"/>
          <w:szCs w:val="22"/>
        </w:rPr>
        <w:lastRenderedPageBreak/>
        <w:t>V prihajajočem obdobju bo eden ključnih izzivov upravnih enot nadaljnje zmanjševanje administrativnih ovir, predvsem z digitalizacijo postopkov. Med najpomembnejšimi potrebami izstopa nadgradnja aplikacije ZIMI, ki bi morala omogočati elektronski zajem fotografij ter digitalno pošiljanje podatkov izdelovalcu kartic, saj trenutni postopki z lepljenjem fizičnih slik in pošiljanjem dokumentacije po pošti podaljšujejo reševanje zadev. Prav tako se kot pomemben izziv kaže izboljšanje preglednosti in povezljivosti podatkov, saj bi upravnim enotam močno olajšal delo dostop do podatkov o že uveljavljenih tehničnih pripomočkih na ravni celotne države ter možnost označitve in spremembe statusa neunovčenih vrednotnic.</w:t>
      </w:r>
    </w:p>
    <w:p w14:paraId="4DD6570F" w14:textId="77777777" w:rsidR="00FB1282" w:rsidRPr="005D657B" w:rsidRDefault="00FB1282" w:rsidP="008C522A">
      <w:pPr>
        <w:rPr>
          <w:rFonts w:cs="Arial"/>
          <w:szCs w:val="22"/>
        </w:rPr>
      </w:pPr>
    </w:p>
    <w:p w14:paraId="6216641F" w14:textId="77777777" w:rsidR="008C522A" w:rsidRPr="005D657B" w:rsidRDefault="008C522A" w:rsidP="008C522A">
      <w:pPr>
        <w:rPr>
          <w:rFonts w:cs="Arial"/>
          <w:szCs w:val="22"/>
        </w:rPr>
      </w:pPr>
      <w:r w:rsidRPr="005D657B">
        <w:rPr>
          <w:rFonts w:cs="Arial"/>
          <w:szCs w:val="22"/>
        </w:rPr>
        <w:t>Za učinkovitejše izvajanje nalog bodo potrebne tudi določene zakonodajne spremembe. Med njimi upravne enote izpostavljajo potrebo po omogočanju nakupa vrednotnic za osebno dopolnilno delo za daljše obdobje, ureditev pravne podlage za predhodno odobritev tehničnega pripomočka v primeru nenamerne poškodbe, jasnejšo zakonsko ureditev kroga upravičencev do evropske kartice ugodnosti ter vzpostavitev postopka za izbris nedelujočih sindikatov po uradni dolžnosti, saj ti še vedno ostajajo v evidencah brez dejanskega delovanja.</w:t>
      </w:r>
    </w:p>
    <w:p w14:paraId="70623CFA" w14:textId="77777777" w:rsidR="00FB1282" w:rsidRPr="005D657B" w:rsidRDefault="00FB1282" w:rsidP="008C522A">
      <w:pPr>
        <w:rPr>
          <w:rFonts w:cs="Arial"/>
          <w:szCs w:val="22"/>
        </w:rPr>
      </w:pPr>
    </w:p>
    <w:p w14:paraId="100BF486" w14:textId="77777777" w:rsidR="008C522A" w:rsidRPr="005D657B" w:rsidRDefault="008C522A" w:rsidP="008C522A">
      <w:pPr>
        <w:rPr>
          <w:rFonts w:cs="Arial"/>
          <w:szCs w:val="22"/>
        </w:rPr>
      </w:pPr>
      <w:r w:rsidRPr="005D657B">
        <w:rPr>
          <w:rFonts w:cs="Arial"/>
          <w:szCs w:val="22"/>
        </w:rPr>
        <w:t>Ob tem se kot izziv pojavlja tudi potreba po krepitvi strokovne podpore: upravne enote si želijo več rednih strokovnih posvetov in izobraževanj, ki bi omogočili izmenjavo dobrih praks ter poenotili izvajanje zakonodaje.</w:t>
      </w:r>
    </w:p>
    <w:p w14:paraId="4B09F986" w14:textId="2C68D5FE" w:rsidR="008C522A" w:rsidRPr="00D864AE" w:rsidRDefault="0035331D" w:rsidP="00D864AE">
      <w:pPr>
        <w:pStyle w:val="Naslov3"/>
        <w:numPr>
          <w:ilvl w:val="2"/>
          <w:numId w:val="0"/>
        </w:numPr>
        <w:ind w:left="720" w:hanging="720"/>
      </w:pPr>
      <w:r w:rsidRPr="00D864AE">
        <w:t>4.6.2</w:t>
      </w:r>
      <w:r w:rsidRPr="00D864AE">
        <w:tab/>
      </w:r>
      <w:r w:rsidR="008C522A" w:rsidRPr="00D864AE">
        <w:t>Sodelovanje z resornim ministrstvom</w:t>
      </w:r>
    </w:p>
    <w:p w14:paraId="58B6658A" w14:textId="0C72DDB3" w:rsidR="008C522A" w:rsidRPr="005D657B" w:rsidRDefault="008C522A" w:rsidP="008C522A">
      <w:pPr>
        <w:rPr>
          <w:rFonts w:cs="Arial"/>
          <w:szCs w:val="22"/>
        </w:rPr>
      </w:pPr>
      <w:r w:rsidRPr="005D657B">
        <w:rPr>
          <w:rFonts w:cs="Arial"/>
          <w:szCs w:val="22"/>
        </w:rPr>
        <w:t xml:space="preserve">Sodelovanje z Ministrstvom za delo, družino, socialne zadeve in enake možnosti upravne enote večinoma ocenjujejo kot dobro ali zelo dobro. Zlasti pohvaljena je odzivnost Direktorata za invalide, ki upravnim enotam nudi ustrezna pojasnila in strokovno pomoč tako po telefonu kot preko elektronske pošte. V številnih primerih so </w:t>
      </w:r>
      <w:r w:rsidR="001D1F06">
        <w:rPr>
          <w:rFonts w:cs="Arial"/>
          <w:szCs w:val="22"/>
        </w:rPr>
        <w:t xml:space="preserve">upravne </w:t>
      </w:r>
      <w:r w:rsidRPr="005D657B">
        <w:rPr>
          <w:rFonts w:cs="Arial"/>
          <w:szCs w:val="22"/>
        </w:rPr>
        <w:t>enote izpostavile, da za specifična vsebinska vprašanja zelo hitro prejmejo jasne, strokovne odgovore, pogosto tudi tolmačenja zakonskih določb, kar bistveno olajša vsakodnevno delo.</w:t>
      </w:r>
    </w:p>
    <w:p w14:paraId="54AAC037" w14:textId="77777777" w:rsidR="00FB1282" w:rsidRPr="005D657B" w:rsidRDefault="00FB1282" w:rsidP="008C522A">
      <w:pPr>
        <w:rPr>
          <w:rFonts w:cs="Arial"/>
          <w:szCs w:val="22"/>
        </w:rPr>
      </w:pPr>
    </w:p>
    <w:p w14:paraId="6862537F" w14:textId="5ECAA0B4" w:rsidR="008C522A" w:rsidRPr="005D657B" w:rsidRDefault="001D1F06" w:rsidP="008C522A">
      <w:pPr>
        <w:rPr>
          <w:rFonts w:cs="Arial"/>
          <w:szCs w:val="22"/>
        </w:rPr>
      </w:pPr>
      <w:r>
        <w:rPr>
          <w:rFonts w:cs="Arial"/>
          <w:szCs w:val="22"/>
        </w:rPr>
        <w:t>Večina upravnih</w:t>
      </w:r>
      <w:r w:rsidR="008C522A" w:rsidRPr="005D657B">
        <w:rPr>
          <w:rFonts w:cs="Arial"/>
          <w:szCs w:val="22"/>
        </w:rPr>
        <w:t xml:space="preserve"> enot </w:t>
      </w:r>
      <w:r>
        <w:rPr>
          <w:rFonts w:cs="Arial"/>
          <w:szCs w:val="22"/>
        </w:rPr>
        <w:t xml:space="preserve">je </w:t>
      </w:r>
      <w:r w:rsidR="008C522A" w:rsidRPr="005D657B">
        <w:rPr>
          <w:rFonts w:cs="Arial"/>
          <w:szCs w:val="22"/>
        </w:rPr>
        <w:t>pohvalil</w:t>
      </w:r>
      <w:r>
        <w:rPr>
          <w:rFonts w:cs="Arial"/>
          <w:szCs w:val="22"/>
        </w:rPr>
        <w:t>a</w:t>
      </w:r>
      <w:r w:rsidR="008C522A" w:rsidRPr="005D657B">
        <w:rPr>
          <w:rFonts w:cs="Arial"/>
          <w:szCs w:val="22"/>
        </w:rPr>
        <w:t xml:space="preserve"> izvedbo izobraževalnih delavnic, zlasti s področja zakonodaje ZIMI ter predstavitev tehničnih pripomočkov in prilagoditev vozil, ki so jih izvedli strokovnjaki URI Soča. Številne </w:t>
      </w:r>
      <w:r>
        <w:rPr>
          <w:rFonts w:cs="Arial"/>
          <w:szCs w:val="22"/>
        </w:rPr>
        <w:t xml:space="preserve">upravne </w:t>
      </w:r>
      <w:r w:rsidR="008C522A" w:rsidRPr="005D657B">
        <w:rPr>
          <w:rFonts w:cs="Arial"/>
          <w:szCs w:val="22"/>
        </w:rPr>
        <w:t xml:space="preserve">enote </w:t>
      </w:r>
      <w:r>
        <w:rPr>
          <w:rFonts w:cs="Arial"/>
          <w:szCs w:val="22"/>
        </w:rPr>
        <w:t xml:space="preserve">kljub temu </w:t>
      </w:r>
      <w:r w:rsidR="008C522A" w:rsidRPr="005D657B">
        <w:rPr>
          <w:rFonts w:cs="Arial"/>
          <w:szCs w:val="22"/>
        </w:rPr>
        <w:t xml:space="preserve">zato izražajo pričakovanje, da </w:t>
      </w:r>
      <w:r>
        <w:rPr>
          <w:rFonts w:cs="Arial"/>
          <w:szCs w:val="22"/>
        </w:rPr>
        <w:t xml:space="preserve">bo resorno </w:t>
      </w:r>
      <w:r w:rsidR="008C522A" w:rsidRPr="005D657B">
        <w:rPr>
          <w:rFonts w:cs="Arial"/>
          <w:szCs w:val="22"/>
        </w:rPr>
        <w:t>ministrstvo ponovno vzpostavi redna strokovna posvetovanja, kjer bi se lahko izmenjale dobre prakse, poenotila pravna razlaga ter zagotovila dodatna podpora pri zahtevnejših postopkih.</w:t>
      </w:r>
    </w:p>
    <w:p w14:paraId="13736949" w14:textId="18270888" w:rsidR="00B14ED8" w:rsidRPr="00631DC8" w:rsidRDefault="0035331D" w:rsidP="00C77EDD">
      <w:pPr>
        <w:pStyle w:val="Naslov2"/>
      </w:pPr>
      <w:r w:rsidRPr="00631DC8">
        <w:t>4.7</w:t>
      </w:r>
      <w:r w:rsidRPr="00631DC8">
        <w:tab/>
      </w:r>
      <w:r w:rsidR="00B14ED8" w:rsidRPr="00631DC8">
        <w:t>Obramba – postopki po vojni zakonodaji (ZZVN, ZVOJI, ZVV)</w:t>
      </w:r>
    </w:p>
    <w:p w14:paraId="2229F794" w14:textId="77777777" w:rsidR="008C522A" w:rsidRPr="005D657B" w:rsidRDefault="008C522A" w:rsidP="008C522A">
      <w:pPr>
        <w:pStyle w:val="podpisi"/>
        <w:rPr>
          <w:szCs w:val="22"/>
          <w:lang w:val="sl-SI"/>
        </w:rPr>
      </w:pPr>
      <w:r w:rsidRPr="005D657B">
        <w:rPr>
          <w:szCs w:val="22"/>
          <w:lang w:val="sl-SI"/>
        </w:rPr>
        <w:t>Upravne enote so na delovnem področju iz pristojnosti MORS v letu 2025 skupno prejele 21.366 zadev, od tega 15.237 upravnih zadev in 6.129 drugih upravnih nalog. V letu 2025 je bilo vseh rešenih upravnih zadev 13.584, kar pomeni, da je bilo v poročevalnem obdobju rešenih 89% vseh prejetih upravnih zadev.</w:t>
      </w:r>
    </w:p>
    <w:p w14:paraId="3F0BB51E" w14:textId="5C9B9EA6" w:rsidR="008C522A" w:rsidRPr="005D657B" w:rsidRDefault="0035331D" w:rsidP="00D864AE">
      <w:pPr>
        <w:pStyle w:val="Naslov3"/>
        <w:numPr>
          <w:ilvl w:val="2"/>
          <w:numId w:val="0"/>
        </w:numPr>
        <w:ind w:left="720" w:hanging="720"/>
        <w:rPr>
          <w:b w:val="0"/>
          <w:bCs/>
          <w:szCs w:val="22"/>
        </w:rPr>
      </w:pPr>
      <w:r w:rsidRPr="00D864AE">
        <w:t>4.7.1</w:t>
      </w:r>
      <w:r w:rsidRPr="00D864AE">
        <w:tab/>
      </w:r>
      <w:r w:rsidR="008C522A" w:rsidRPr="00D864AE">
        <w:t>Vsebinska problematika</w:t>
      </w:r>
    </w:p>
    <w:p w14:paraId="3F301D42" w14:textId="7302B257" w:rsidR="008C522A" w:rsidRPr="005D657B" w:rsidRDefault="008C522A" w:rsidP="008C522A">
      <w:pPr>
        <w:pStyle w:val="podpisi"/>
        <w:rPr>
          <w:szCs w:val="22"/>
          <w:lang w:val="sl-SI"/>
        </w:rPr>
      </w:pPr>
      <w:r w:rsidRPr="005D657B">
        <w:rPr>
          <w:szCs w:val="22"/>
          <w:lang w:val="sl-SI"/>
        </w:rPr>
        <w:t xml:space="preserve">V letu 2025 je na področju Ministrstva za obrambo začel veljati novi Zakon o pavšalnem nadomestilu za povzročeno premoženjsko vojno škodo iz druge svetovne </w:t>
      </w:r>
      <w:r w:rsidRPr="005D657B">
        <w:rPr>
          <w:szCs w:val="22"/>
          <w:lang w:val="sl-SI"/>
        </w:rPr>
        <w:lastRenderedPageBreak/>
        <w:t xml:space="preserve">vojne. Ta </w:t>
      </w:r>
      <w:r w:rsidR="001D1F06">
        <w:rPr>
          <w:szCs w:val="22"/>
          <w:lang w:val="sl-SI"/>
        </w:rPr>
        <w:t>določa za</w:t>
      </w:r>
      <w:r w:rsidRPr="005D657B">
        <w:rPr>
          <w:szCs w:val="22"/>
          <w:lang w:val="sl-SI"/>
        </w:rPr>
        <w:t xml:space="preserve"> osebe s priznanim statusom žrtve vojnega nasilja – izgnance, internirance, taboriščnike, ukradene otroke ter begunce oziroma pregnance – do prejem</w:t>
      </w:r>
      <w:r w:rsidR="001D1F06">
        <w:rPr>
          <w:szCs w:val="22"/>
          <w:lang w:val="sl-SI"/>
        </w:rPr>
        <w:t>a</w:t>
      </w:r>
      <w:r w:rsidRPr="005D657B">
        <w:rPr>
          <w:szCs w:val="22"/>
          <w:lang w:val="sl-SI"/>
        </w:rPr>
        <w:t xml:space="preserve"> pavšalnega nadomestila za škodo, nastalo med 6. aprilom 1941 in 15. majem 1945. Zahtevek so lahko vložili upravičenci s pravnomočno odločbo o priznanem statusu ene izmed navedenih kategorij, kar je povzročilo velik porast vlog na vseh upravnih enotah.</w:t>
      </w:r>
    </w:p>
    <w:p w14:paraId="39E1FE1A" w14:textId="77777777" w:rsidR="008C522A" w:rsidRPr="005D657B" w:rsidRDefault="008C522A" w:rsidP="008C522A">
      <w:pPr>
        <w:pStyle w:val="podpisi"/>
        <w:rPr>
          <w:szCs w:val="22"/>
          <w:lang w:val="sl-SI"/>
        </w:rPr>
      </w:pPr>
    </w:p>
    <w:p w14:paraId="1989BC22" w14:textId="26E1D305" w:rsidR="008C522A" w:rsidRPr="005D657B" w:rsidRDefault="008C522A" w:rsidP="00861DD8">
      <w:pPr>
        <w:pStyle w:val="podpisi"/>
        <w:rPr>
          <w:szCs w:val="22"/>
          <w:lang w:val="sl-SI"/>
        </w:rPr>
      </w:pPr>
      <w:r w:rsidRPr="005D657B">
        <w:rPr>
          <w:szCs w:val="22"/>
          <w:lang w:val="sl-SI"/>
        </w:rPr>
        <w:t>Najzahtevnejši del leta je izhajal iz dveh vzporednih okoliščin: občutnega povečanja pripada zadev zaradi novega zakona ter pomembnih zamikov pri izvedbi rednih letnih prevedb veteranskih, invalidskih in družinskih dodatkov. Upravne enote so že v začetku leta prejele navodila ministrstva, naj z izvedbo prevedb začasno počakajo zaradi pričakovanih zakonodajnih sprememb, ki pa se kasneje niso uresničile. Upravičenci so od januarja prejemali akontacije, ki niso odražale njihove dejanske upravičenosti, odmerna osnova pa ni sledila dvigom pokojnin, kar je pri številnih vodilo do znižanja ali izgube pravice.</w:t>
      </w:r>
      <w:r w:rsidR="00861DD8">
        <w:rPr>
          <w:szCs w:val="22"/>
          <w:lang w:val="sl-SI"/>
        </w:rPr>
        <w:t xml:space="preserve"> </w:t>
      </w:r>
      <w:r w:rsidRPr="005D657B">
        <w:rPr>
          <w:szCs w:val="22"/>
          <w:lang w:val="sl-SI"/>
        </w:rPr>
        <w:t>Na zahtevnost dela je vplivala tudi visoka starostna struktura upravičencev. To so osebe, ki pogosto potrebujejo dodatna pojasnila in pomoč, kar podaljšuje delo in zahteva več časa ter občutljivega pristopa. Kljub temu pa se zaradi starosti njihovo število postopoma zmanjšuje, kar sicer vpliva na obseg zadev, ne pa tudi na zahtevnost posameznih postopkov.</w:t>
      </w:r>
    </w:p>
    <w:p w14:paraId="1E036C59" w14:textId="77777777" w:rsidR="008C522A" w:rsidRPr="005D657B" w:rsidRDefault="008C522A" w:rsidP="008C522A">
      <w:pPr>
        <w:pStyle w:val="podpisi"/>
        <w:rPr>
          <w:szCs w:val="22"/>
          <w:lang w:val="sl-SI"/>
        </w:rPr>
      </w:pPr>
    </w:p>
    <w:p w14:paraId="54031DD2" w14:textId="40693FC2" w:rsidR="008C522A" w:rsidRPr="005D657B" w:rsidRDefault="008C522A" w:rsidP="008C522A">
      <w:pPr>
        <w:pStyle w:val="podpisi"/>
        <w:rPr>
          <w:szCs w:val="22"/>
          <w:lang w:val="sl-SI"/>
        </w:rPr>
      </w:pPr>
      <w:r w:rsidRPr="005D657B">
        <w:rPr>
          <w:szCs w:val="22"/>
          <w:lang w:val="sl-SI"/>
        </w:rPr>
        <w:t>Večina upravnih enot je izpostavila tudi težave pri pridobivanju potrebnih podatkov za izvedbo prevedb. Podatki FURS in ZPIZ so dostopni šele po izdaji dohodninskih odločb, pogosto šele konec maja ali kasneje, kar onemogoča pravočasno izvedbo letnih postopkov. Podatkov o dohodkih iz tujine upravne enote praviloma ne pridobijo po uradni dolžnosti, zato se opirajo na izjave strank, kar povečuje tveganje napačnih ali nepopolnih ugotovitev. Neenotnost podatkov, ki jih različni organi posredujejo v različnih prikazih, še dodatno otežuje pravilno interpretacijo.</w:t>
      </w:r>
    </w:p>
    <w:p w14:paraId="5C4B5ECA" w14:textId="77777777" w:rsidR="008C522A" w:rsidRPr="005D657B" w:rsidRDefault="008C522A" w:rsidP="008C522A">
      <w:pPr>
        <w:pStyle w:val="podpisi"/>
        <w:rPr>
          <w:szCs w:val="22"/>
          <w:lang w:val="sl-SI"/>
        </w:rPr>
      </w:pPr>
    </w:p>
    <w:p w14:paraId="169BE758" w14:textId="1E5920C8" w:rsidR="008C522A" w:rsidRPr="005D657B" w:rsidRDefault="008C522A" w:rsidP="008C522A">
      <w:pPr>
        <w:pStyle w:val="podpisi"/>
        <w:rPr>
          <w:szCs w:val="22"/>
          <w:lang w:val="sl-SI"/>
        </w:rPr>
      </w:pPr>
      <w:r w:rsidRPr="005D657B">
        <w:rPr>
          <w:szCs w:val="22"/>
          <w:lang w:val="sl-SI"/>
        </w:rPr>
        <w:t>Kot posebej zahtevno se je izkazalo tudi delo z informacijskimi sistemi. Aplikacija Kurir, ki jo upravne enote uporabljajo pri izvajanju vojne zakonodaje, je zastarela, pogosto nedelujoča in nepovezana s sistemom Krpan, zato je velik del vnosov treba opravljati ročno. To povečuje možnost napak ter bistveno podaljšuje trajanje postopkov. Čeprav je v letu 2025 potekala prenova aplikacije Kurir 3.0, številne funkcionalnosti še vedno niso bile dokončane.</w:t>
      </w:r>
    </w:p>
    <w:p w14:paraId="56D401E2" w14:textId="77777777" w:rsidR="008C522A" w:rsidRPr="005D657B" w:rsidRDefault="008C522A" w:rsidP="00861DD8">
      <w:pPr>
        <w:pStyle w:val="podpisi"/>
        <w:ind w:firstLine="0"/>
        <w:rPr>
          <w:szCs w:val="22"/>
          <w:lang w:val="sl-SI"/>
        </w:rPr>
      </w:pPr>
    </w:p>
    <w:p w14:paraId="006F62F7" w14:textId="6F6A29D7" w:rsidR="008C522A" w:rsidRPr="005D657B" w:rsidRDefault="008C522A" w:rsidP="008C522A">
      <w:pPr>
        <w:pStyle w:val="podpisi"/>
        <w:rPr>
          <w:szCs w:val="22"/>
          <w:lang w:val="sl-SI"/>
        </w:rPr>
      </w:pPr>
      <w:r w:rsidRPr="005D657B">
        <w:rPr>
          <w:szCs w:val="22"/>
          <w:lang w:val="sl-SI"/>
        </w:rPr>
        <w:t>V prihajajočem obdobju bodo upravne enote tako morale dati prednost nadgradnji informacijske podpore, predvsem vzpostavitvi avtomatiziranega prenosa podatkov med sistemoma Krpan in Kurir, ki bi odpravila potrebo po ročnem prepisovanju podatkov. Prav tako bo nujna zakonodajna ureditev izvedbe prevedb, zlasti glede datuma njihovega učinkovanja, saj se težave z negativnimi poračuni ne bodo odpravile brez prilagoditve zakonskih rokov pridobivanja podatkov. Velik izziv ostaja tudi izboljšanje pretočnosti podatkov med državnimi organi, saj trenutni časovni zamik pri pridobivanju podatkov povzroča zamude in dodatne obveznosti za stranke, čeprav bi bili podatki morali biti dostopni po uradni dolžnosti.</w:t>
      </w:r>
    </w:p>
    <w:p w14:paraId="4C345C4C" w14:textId="20EBE968" w:rsidR="008C522A" w:rsidRPr="00D864AE" w:rsidRDefault="008C522A" w:rsidP="00D864AE">
      <w:pPr>
        <w:pStyle w:val="Naslov3"/>
        <w:numPr>
          <w:ilvl w:val="2"/>
          <w:numId w:val="0"/>
        </w:numPr>
        <w:ind w:left="720" w:hanging="720"/>
      </w:pPr>
      <w:r w:rsidRPr="00D864AE">
        <w:lastRenderedPageBreak/>
        <w:t xml:space="preserve"> </w:t>
      </w:r>
      <w:r w:rsidR="0035331D" w:rsidRPr="00D864AE">
        <w:t>4.7.2</w:t>
      </w:r>
      <w:r w:rsidR="0035331D" w:rsidRPr="00D864AE">
        <w:tab/>
      </w:r>
      <w:r w:rsidRPr="00D864AE">
        <w:t>Sodelovanje z resornim ministrstvom</w:t>
      </w:r>
    </w:p>
    <w:p w14:paraId="0FC59CCA" w14:textId="269167C1" w:rsidR="008C522A" w:rsidRPr="005D657B" w:rsidRDefault="008C522A" w:rsidP="008C522A">
      <w:pPr>
        <w:pStyle w:val="podpisi"/>
        <w:rPr>
          <w:szCs w:val="22"/>
          <w:lang w:val="sl-SI"/>
        </w:rPr>
      </w:pPr>
      <w:r w:rsidRPr="005D657B">
        <w:rPr>
          <w:szCs w:val="22"/>
          <w:lang w:val="sl-SI"/>
        </w:rPr>
        <w:t>Sodelovanje z Ministrstvom za obrambo (MORS) je bilo skozi leto ocenjevano kot korektno, predvsem v smislu vsakodnevne komunikacije in dostopnosti pristojnih kontaktnih oseb. Kljub temu so upravne enote izpostavile več težav, ki so vplivale na učinkovitost postopkov. Najpogostejša kritika je bila povezana s samimi navodili za izvedbo prevedb, saj so bila ta pogosto nejasna, časovno neusklajena ali izdana prepozno, kar je neposredno prispevalo k nastanku negativnih poračunov in tudi k dodatnim dvomom pri izvajanju postopkov.</w:t>
      </w:r>
    </w:p>
    <w:p w14:paraId="6F33714B" w14:textId="77777777" w:rsidR="008C522A" w:rsidRPr="005D657B" w:rsidRDefault="008C522A" w:rsidP="008C522A">
      <w:pPr>
        <w:pStyle w:val="podpisi"/>
        <w:rPr>
          <w:szCs w:val="22"/>
          <w:lang w:val="sl-SI"/>
        </w:rPr>
      </w:pPr>
    </w:p>
    <w:p w14:paraId="613773C1" w14:textId="68BB976D" w:rsidR="008C522A" w:rsidRPr="005D657B" w:rsidRDefault="008C522A" w:rsidP="008C522A">
      <w:pPr>
        <w:pStyle w:val="podpisi"/>
        <w:rPr>
          <w:szCs w:val="22"/>
          <w:lang w:val="sl-SI"/>
        </w:rPr>
      </w:pPr>
      <w:r w:rsidRPr="005D657B">
        <w:rPr>
          <w:szCs w:val="22"/>
          <w:lang w:val="sl-SI"/>
        </w:rPr>
        <w:t>Poleg tega so upravne enote izrazile potrebo po intenzivnejšem strokovnem sodelovanju. Zlasti pogrešajo strokovne sestanke, posvete ali usklajevanja, saj elektronska komunikacija, čeprav pogosta, ne omogoča dovolj poglobljene razprave o zahtevnih pravnih vprašanjih in ne zagotavlja enake ravni jasnosti kot osebni stik. Prepričanje je, da bi več neposrednih strokovnih srečanj prispevalo k hitrejšemu reševanju dilem, enotnejši praksi ter boljšemu obvladovanju obremenitev, ki jih prinašajo zakonodajne spremembe.</w:t>
      </w:r>
    </w:p>
    <w:p w14:paraId="5837C9DC" w14:textId="77777777" w:rsidR="0039260E" w:rsidRPr="005D657B" w:rsidRDefault="0039260E" w:rsidP="0039260E">
      <w:pPr>
        <w:pStyle w:val="podpisi"/>
        <w:ind w:firstLine="0"/>
        <w:rPr>
          <w:szCs w:val="22"/>
          <w:lang w:val="sl-SI"/>
        </w:rPr>
      </w:pPr>
    </w:p>
    <w:p w14:paraId="36033A9A" w14:textId="55C9507D" w:rsidR="0039260E" w:rsidRPr="00151048" w:rsidRDefault="0039260E" w:rsidP="00151048">
      <w:pPr>
        <w:ind w:firstLine="0"/>
        <w:rPr>
          <w:rFonts w:cs="Arial"/>
          <w:b/>
          <w:bCs/>
          <w:sz w:val="32"/>
          <w:szCs w:val="32"/>
        </w:rPr>
      </w:pPr>
      <w:r w:rsidRPr="00151048">
        <w:rPr>
          <w:rFonts w:cs="Arial"/>
          <w:b/>
          <w:bCs/>
          <w:sz w:val="32"/>
          <w:szCs w:val="32"/>
        </w:rPr>
        <w:t>NAMESTO ZAKLJUČKA</w:t>
      </w:r>
    </w:p>
    <w:p w14:paraId="6482B0AF" w14:textId="2920BEB3" w:rsidR="009028BC" w:rsidRPr="00DD2C20" w:rsidRDefault="009028BC" w:rsidP="00DA19EB">
      <w:pPr>
        <w:pStyle w:val="podpisi"/>
        <w:tabs>
          <w:tab w:val="left" w:pos="426"/>
        </w:tabs>
        <w:rPr>
          <w:szCs w:val="22"/>
          <w:lang w:val="sl-SI"/>
        </w:rPr>
      </w:pPr>
      <w:r>
        <w:rPr>
          <w:szCs w:val="22"/>
          <w:lang w:val="sl-SI"/>
        </w:rPr>
        <w:tab/>
      </w:r>
      <w:r w:rsidRPr="009028BC">
        <w:rPr>
          <w:szCs w:val="22"/>
          <w:lang w:val="sl-SI"/>
        </w:rPr>
        <w:t>Leto 2025 je za upravne enote pomenilo pomemben premik naprej – leto, v katerem se je sistem po zahtevnem obdobju stabiliziral, zaostank</w:t>
      </w:r>
      <w:r>
        <w:rPr>
          <w:szCs w:val="22"/>
          <w:lang w:val="sl-SI"/>
        </w:rPr>
        <w:t>i so se prepolovili</w:t>
      </w:r>
      <w:r w:rsidRPr="009028BC">
        <w:rPr>
          <w:szCs w:val="22"/>
          <w:lang w:val="sl-SI"/>
        </w:rPr>
        <w:t xml:space="preserve"> in </w:t>
      </w:r>
      <w:r>
        <w:rPr>
          <w:szCs w:val="22"/>
          <w:lang w:val="sl-SI"/>
        </w:rPr>
        <w:t xml:space="preserve">leto, ki je bilo usmerjeno </w:t>
      </w:r>
      <w:r w:rsidRPr="009028BC">
        <w:rPr>
          <w:szCs w:val="22"/>
          <w:lang w:val="sl-SI"/>
        </w:rPr>
        <w:t xml:space="preserve">k razvoju. Izvedba plačne reforme, izboljšana obravnava postopkov na področju tujcev ter </w:t>
      </w:r>
      <w:r w:rsidR="00FD3ABD" w:rsidRPr="00DD2C20">
        <w:rPr>
          <w:szCs w:val="22"/>
          <w:lang w:val="sl-SI"/>
        </w:rPr>
        <w:t xml:space="preserve">poenostavitev </w:t>
      </w:r>
      <w:r w:rsidRPr="009028BC">
        <w:rPr>
          <w:szCs w:val="22"/>
          <w:lang w:val="sl-SI"/>
        </w:rPr>
        <w:t>informacijskih sistemov so pokazali, da so upravne enote, kljub obremenitvam iz preteklih let, ohranile svojo osrednjo vlogo pri zagotavljanju strokovnih, zanesljivih in dostopnih upravnih storitev.</w:t>
      </w:r>
    </w:p>
    <w:p w14:paraId="286535BD" w14:textId="77777777" w:rsidR="009028BC" w:rsidRPr="009028BC" w:rsidRDefault="009028BC" w:rsidP="009028BC">
      <w:pPr>
        <w:pStyle w:val="podpisi"/>
        <w:ind w:firstLine="0"/>
        <w:rPr>
          <w:szCs w:val="22"/>
          <w:lang w:val="sl-SI"/>
        </w:rPr>
      </w:pPr>
    </w:p>
    <w:p w14:paraId="04C106F0" w14:textId="07F082D8" w:rsidR="009028BC" w:rsidRPr="009028BC" w:rsidRDefault="009028BC" w:rsidP="00DA19EB">
      <w:pPr>
        <w:pStyle w:val="podpisi"/>
        <w:tabs>
          <w:tab w:val="clear" w:pos="3402"/>
          <w:tab w:val="left" w:pos="426"/>
        </w:tabs>
        <w:ind w:firstLine="426"/>
        <w:rPr>
          <w:szCs w:val="22"/>
          <w:lang w:val="sl-SI"/>
        </w:rPr>
      </w:pPr>
      <w:r>
        <w:rPr>
          <w:szCs w:val="22"/>
          <w:lang w:val="sl-SI"/>
        </w:rPr>
        <w:tab/>
      </w:r>
      <w:r w:rsidRPr="009028BC">
        <w:rPr>
          <w:szCs w:val="22"/>
          <w:lang w:val="sl-SI"/>
        </w:rPr>
        <w:t xml:space="preserve">Vendar to obdobje ni zaključek, temveč začetek nove razvojne faze. Nadaljnji razvoj bo temeljil na spremembi kadrovskega pristopa v smer dinamičnega upravljanja talentov, ki bo zaposlenim omogočal več samostojnosti, boljše upravljanje znanja ter pravičnejše vrednotenje njihovega dela. Hkrati je zmanjšanje zaostankov jasno pokazalo, da so </w:t>
      </w:r>
      <w:r w:rsidR="00FD3ABD">
        <w:rPr>
          <w:szCs w:val="22"/>
          <w:lang w:val="sl-SI"/>
        </w:rPr>
        <w:t>informacijski ter organizacijski</w:t>
      </w:r>
      <w:r w:rsidRPr="009028BC">
        <w:rPr>
          <w:szCs w:val="22"/>
          <w:lang w:val="sl-SI"/>
        </w:rPr>
        <w:t xml:space="preserve"> napredki ključni za učinkovito delovanje upravnih enot. V prihodnje bo integracija informacijskih sistemov še tesnejša, avtomatizacija rutinskih opravil pa bo zaposlenim omogočila, da se posvetijo kompleksnejšim vprašanjem, medtem ko bodo stranke upravne storitve prejemale hitreje in bolj predvidljivo.</w:t>
      </w:r>
    </w:p>
    <w:p w14:paraId="3A9A2EE6" w14:textId="77777777" w:rsidR="009028BC" w:rsidRPr="009028BC" w:rsidRDefault="009028BC" w:rsidP="009028BC">
      <w:pPr>
        <w:pStyle w:val="podpisi"/>
        <w:ind w:firstLine="0"/>
        <w:rPr>
          <w:szCs w:val="22"/>
          <w:lang w:val="sl-SI"/>
        </w:rPr>
      </w:pPr>
    </w:p>
    <w:p w14:paraId="7C33E519" w14:textId="2F415B91" w:rsidR="009028BC" w:rsidRPr="009028BC" w:rsidRDefault="009028BC" w:rsidP="00DA19EB">
      <w:pPr>
        <w:pStyle w:val="podpisi"/>
        <w:tabs>
          <w:tab w:val="clear" w:pos="3402"/>
          <w:tab w:val="left" w:pos="426"/>
        </w:tabs>
        <w:ind w:firstLine="0"/>
        <w:rPr>
          <w:szCs w:val="22"/>
          <w:lang w:val="sl-SI"/>
        </w:rPr>
      </w:pPr>
      <w:r>
        <w:rPr>
          <w:szCs w:val="22"/>
          <w:lang w:val="sl-SI"/>
        </w:rPr>
        <w:tab/>
      </w:r>
      <w:r w:rsidRPr="009028BC">
        <w:rPr>
          <w:szCs w:val="22"/>
          <w:lang w:val="sl-SI"/>
        </w:rPr>
        <w:t>Poseben poudarek bo namenjen krepitvi zaupanja v delo upravnih enot z večjo transparentnostjo in boljšo dostopnostjo storitev</w:t>
      </w:r>
      <w:r w:rsidR="00FD3ABD">
        <w:rPr>
          <w:szCs w:val="22"/>
          <w:lang w:val="sl-SI"/>
        </w:rPr>
        <w:t xml:space="preserve">. </w:t>
      </w:r>
      <w:r w:rsidRPr="009028BC">
        <w:rPr>
          <w:szCs w:val="22"/>
          <w:lang w:val="sl-SI"/>
        </w:rPr>
        <w:t xml:space="preserve">Prav tako ostaja </w:t>
      </w:r>
      <w:r w:rsidR="00FD3ABD">
        <w:rPr>
          <w:szCs w:val="22"/>
          <w:lang w:val="sl-SI"/>
        </w:rPr>
        <w:t>ključni cilj,</w:t>
      </w:r>
      <w:r w:rsidRPr="009028BC">
        <w:rPr>
          <w:szCs w:val="22"/>
          <w:lang w:val="sl-SI"/>
        </w:rPr>
        <w:t xml:space="preserve"> da se kakovost storitev in zakoniti roki zagotavljajo enotno po celotni državi, ne glede na velikost ali obremenjenost posamezne upravne enote.</w:t>
      </w:r>
    </w:p>
    <w:p w14:paraId="740F48A7" w14:textId="77777777" w:rsidR="009028BC" w:rsidRPr="009028BC" w:rsidRDefault="009028BC" w:rsidP="009028BC">
      <w:pPr>
        <w:pStyle w:val="podpisi"/>
        <w:ind w:firstLine="0"/>
        <w:rPr>
          <w:szCs w:val="22"/>
          <w:lang w:val="sl-SI"/>
        </w:rPr>
      </w:pPr>
    </w:p>
    <w:p w14:paraId="12D8F421" w14:textId="686C4751" w:rsidR="009028BC" w:rsidRPr="009028BC" w:rsidRDefault="009028BC" w:rsidP="00DA19EB">
      <w:pPr>
        <w:pStyle w:val="podpisi"/>
        <w:tabs>
          <w:tab w:val="clear" w:pos="3402"/>
          <w:tab w:val="left" w:pos="426"/>
        </w:tabs>
        <w:ind w:firstLine="0"/>
        <w:rPr>
          <w:szCs w:val="22"/>
          <w:lang w:val="sl-SI"/>
        </w:rPr>
      </w:pPr>
      <w:r>
        <w:rPr>
          <w:szCs w:val="22"/>
          <w:lang w:val="sl-SI"/>
        </w:rPr>
        <w:tab/>
      </w:r>
      <w:r w:rsidRPr="009028BC">
        <w:rPr>
          <w:szCs w:val="22"/>
          <w:lang w:val="sl-SI"/>
        </w:rPr>
        <w:t>Oblikuje se jasna vizija upravnih enot prihodnosti – postati agilna, digitalno napredna in na uporabnike osredotočena organizacija. Dosežki leta 2025 dokazujejo, da sistem razpolaga z znanjem, izkušnjami in zmogljivostmi, ki so potrebni za nadaljnj</w:t>
      </w:r>
      <w:r w:rsidR="00FD3ABD">
        <w:rPr>
          <w:szCs w:val="22"/>
          <w:lang w:val="sl-SI"/>
        </w:rPr>
        <w:t>i</w:t>
      </w:r>
      <w:r w:rsidRPr="009028BC">
        <w:rPr>
          <w:szCs w:val="22"/>
          <w:lang w:val="sl-SI"/>
        </w:rPr>
        <w:t xml:space="preserve"> </w:t>
      </w:r>
      <w:r w:rsidR="00FD3ABD">
        <w:rPr>
          <w:szCs w:val="22"/>
          <w:lang w:val="sl-SI"/>
        </w:rPr>
        <w:t>razvoj</w:t>
      </w:r>
      <w:r w:rsidRPr="009028BC">
        <w:rPr>
          <w:szCs w:val="22"/>
          <w:lang w:val="sl-SI"/>
        </w:rPr>
        <w:t>, ter da je pripravljen na korake, ki bodo upravne enote preoblikovali v sodoben, učinkovit in zaupanja vreden steber državne uprave.</w:t>
      </w:r>
    </w:p>
    <w:sectPr w:rsidR="009028BC" w:rsidRPr="009028BC" w:rsidSect="001A4216">
      <w:headerReference w:type="even" r:id="rId22"/>
      <w:headerReference w:type="default" r:id="rId23"/>
      <w:footerReference w:type="even" r:id="rId24"/>
      <w:footerReference w:type="default" r:id="rId25"/>
      <w:headerReference w:type="first" r:id="rId26"/>
      <w:footerReference w:type="first" r:id="rId27"/>
      <w:pgSz w:w="11900" w:h="16840" w:code="9"/>
      <w:pgMar w:top="1701" w:right="1701" w:bottom="1134" w:left="1701" w:header="1361" w:footer="79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C6239" w14:textId="77777777" w:rsidR="00F436DC" w:rsidRDefault="00F436DC">
      <w:r>
        <w:separator/>
      </w:r>
    </w:p>
  </w:endnote>
  <w:endnote w:type="continuationSeparator" w:id="0">
    <w:p w14:paraId="3A63BD95" w14:textId="77777777" w:rsidR="00F436DC" w:rsidRDefault="00F43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A43D2" w14:textId="77777777" w:rsidR="00C61D7D" w:rsidRDefault="00C61D7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4633589"/>
      <w:docPartObj>
        <w:docPartGallery w:val="Page Numbers (Bottom of Page)"/>
        <w:docPartUnique/>
      </w:docPartObj>
    </w:sdtPr>
    <w:sdtContent>
      <w:p w14:paraId="66859F3D" w14:textId="43EA2AB4" w:rsidR="00641A5A" w:rsidRDefault="00641A5A">
        <w:pPr>
          <w:pStyle w:val="Noga"/>
          <w:jc w:val="right"/>
        </w:pPr>
        <w:r>
          <w:fldChar w:fldCharType="begin"/>
        </w:r>
        <w:r>
          <w:instrText>PAGE   \* MERGEFORMAT</w:instrText>
        </w:r>
        <w:r>
          <w:fldChar w:fldCharType="separate"/>
        </w:r>
        <w:r>
          <w:t>2</w:t>
        </w:r>
        <w:r>
          <w:fldChar w:fldCharType="end"/>
        </w:r>
      </w:p>
    </w:sdtContent>
  </w:sdt>
  <w:p w14:paraId="548966FA" w14:textId="77777777" w:rsidR="00641A5A" w:rsidRDefault="00641A5A">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29162" w14:textId="77777777" w:rsidR="00C61D7D" w:rsidRDefault="00C61D7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AE22C" w14:textId="77777777" w:rsidR="00F436DC" w:rsidRDefault="00F436DC">
      <w:r>
        <w:separator/>
      </w:r>
    </w:p>
  </w:footnote>
  <w:footnote w:type="continuationSeparator" w:id="0">
    <w:p w14:paraId="1C220E7A" w14:textId="77777777" w:rsidR="00F436DC" w:rsidRDefault="00F43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4AE1B" w14:textId="77777777" w:rsidR="00C61D7D" w:rsidRDefault="00C61D7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CBB54" w14:textId="2BF0291B" w:rsidR="00ED6779" w:rsidRPr="00C61D7D" w:rsidRDefault="00ED6779" w:rsidP="00C61D7D">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087D2" w14:textId="77777777" w:rsidR="00A770A6" w:rsidRPr="008F3500" w:rsidRDefault="000A6401" w:rsidP="00CE5238">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8240" behindDoc="1" locked="0" layoutInCell="1" allowOverlap="1" wp14:anchorId="12481E9C" wp14:editId="73CB06E2">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7216" behindDoc="0" locked="0" layoutInCell="0" allowOverlap="1" wp14:anchorId="4ED3FF7E" wp14:editId="35FD5420">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80CDEB"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sidR="00ED6779">
      <w:rPr>
        <w:rFonts w:cs="Arial"/>
        <w:sz w:val="16"/>
      </w:rPr>
      <w:t>Tržaška cesta 21</w:t>
    </w:r>
    <w:r w:rsidR="00A770A6" w:rsidRPr="008F3500">
      <w:rPr>
        <w:rFonts w:cs="Arial"/>
        <w:sz w:val="16"/>
      </w:rPr>
      <w:t xml:space="preserve">, </w:t>
    </w:r>
    <w:r w:rsidR="00164064">
      <w:rPr>
        <w:rFonts w:cs="Arial"/>
        <w:sz w:val="16"/>
      </w:rPr>
      <w:t>1</w:t>
    </w:r>
    <w:r w:rsidR="00ED6779">
      <w:rPr>
        <w:rFonts w:cs="Arial"/>
        <w:sz w:val="16"/>
      </w:rPr>
      <w:t>000</w:t>
    </w:r>
    <w:r w:rsidR="00164064">
      <w:rPr>
        <w:rFonts w:cs="Arial"/>
        <w:sz w:val="16"/>
      </w:rPr>
      <w:t xml:space="preserve"> Ljubljana</w:t>
    </w:r>
    <w:r w:rsidR="00A770A6" w:rsidRPr="008F3500">
      <w:rPr>
        <w:rFonts w:cs="Arial"/>
        <w:sz w:val="16"/>
      </w:rPr>
      <w:tab/>
      <w:t xml:space="preserve">T: </w:t>
    </w:r>
    <w:r w:rsidR="00164064">
      <w:rPr>
        <w:rFonts w:cs="Arial"/>
        <w:sz w:val="16"/>
      </w:rPr>
      <w:t xml:space="preserve">01 </w:t>
    </w:r>
    <w:r w:rsidR="000B04B5">
      <w:rPr>
        <w:rFonts w:cs="Arial"/>
        <w:sz w:val="16"/>
      </w:rPr>
      <w:t xml:space="preserve">478 83 </w:t>
    </w:r>
    <w:r w:rsidR="00AD217D">
      <w:rPr>
        <w:rFonts w:cs="Arial"/>
        <w:sz w:val="16"/>
      </w:rPr>
      <w:t>30</w:t>
    </w:r>
  </w:p>
  <w:p w14:paraId="513776AE"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sidR="00164064">
      <w:rPr>
        <w:rFonts w:cs="Arial"/>
        <w:sz w:val="16"/>
      </w:rPr>
      <w:t xml:space="preserve">01 </w:t>
    </w:r>
    <w:r w:rsidR="000B04B5">
      <w:rPr>
        <w:rFonts w:cs="Arial"/>
        <w:sz w:val="16"/>
      </w:rPr>
      <w:t>478 83 31</w:t>
    </w:r>
  </w:p>
  <w:p w14:paraId="57D0C08F"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890396">
      <w:rPr>
        <w:rFonts w:cs="Arial"/>
        <w:sz w:val="16"/>
      </w:rPr>
      <w:t>gp.</w:t>
    </w:r>
    <w:r w:rsidR="00AF051B">
      <w:rPr>
        <w:rFonts w:cs="Arial"/>
        <w:sz w:val="16"/>
      </w:rPr>
      <w:t>mju</w:t>
    </w:r>
    <w:r w:rsidR="00164064">
      <w:rPr>
        <w:rFonts w:cs="Arial"/>
        <w:sz w:val="16"/>
      </w:rPr>
      <w:t>@gov.si</w:t>
    </w:r>
  </w:p>
  <w:p w14:paraId="7E78157F"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5207C5">
      <w:rPr>
        <w:rFonts w:cs="Arial"/>
        <w:sz w:val="16"/>
      </w:rPr>
      <w:t>www.mju</w:t>
    </w:r>
    <w:r w:rsidR="00164064">
      <w:rPr>
        <w:rFonts w:cs="Arial"/>
        <w:sz w:val="16"/>
      </w:rPr>
      <w:t>.gov.si</w:t>
    </w:r>
  </w:p>
  <w:p w14:paraId="5FDDAA63"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DCC569C"/>
    <w:multiLevelType w:val="hybridMultilevel"/>
    <w:tmpl w:val="DD104FD6"/>
    <w:lvl w:ilvl="0" w:tplc="F3BE7B0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2EB87A78"/>
    <w:multiLevelType w:val="hybridMultilevel"/>
    <w:tmpl w:val="9BB88A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A17244B"/>
    <w:multiLevelType w:val="hybridMultilevel"/>
    <w:tmpl w:val="64884A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15B658A"/>
    <w:multiLevelType w:val="hybridMultilevel"/>
    <w:tmpl w:val="1A2A43D4"/>
    <w:lvl w:ilvl="0" w:tplc="A7561A8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56147952"/>
    <w:multiLevelType w:val="hybridMultilevel"/>
    <w:tmpl w:val="F514805E"/>
    <w:lvl w:ilvl="0" w:tplc="A32426D4">
      <w:start w:val="1"/>
      <w:numFmt w:val="decimal"/>
      <w:lvlText w:val="%1"/>
      <w:lvlJc w:val="left"/>
      <w:pPr>
        <w:ind w:left="795" w:hanging="43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35B66A4"/>
    <w:multiLevelType w:val="hybridMultilevel"/>
    <w:tmpl w:val="DFC046B4"/>
    <w:lvl w:ilvl="0" w:tplc="F3BE7B0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161314662">
    <w:abstractNumId w:val="10"/>
  </w:num>
  <w:num w:numId="2" w16cid:durableId="1654260779">
    <w:abstractNumId w:val="3"/>
  </w:num>
  <w:num w:numId="3" w16cid:durableId="628050318">
    <w:abstractNumId w:val="5"/>
  </w:num>
  <w:num w:numId="4" w16cid:durableId="419907503">
    <w:abstractNumId w:val="0"/>
  </w:num>
  <w:num w:numId="5" w16cid:durableId="1549342772">
    <w:abstractNumId w:val="1"/>
  </w:num>
  <w:num w:numId="6" w16cid:durableId="686710904">
    <w:abstractNumId w:val="2"/>
  </w:num>
  <w:num w:numId="7" w16cid:durableId="1317143954">
    <w:abstractNumId w:val="9"/>
  </w:num>
  <w:num w:numId="8" w16cid:durableId="1302883336">
    <w:abstractNumId w:val="4"/>
  </w:num>
  <w:num w:numId="9" w16cid:durableId="1720981896">
    <w:abstractNumId w:val="6"/>
  </w:num>
  <w:num w:numId="10" w16cid:durableId="1248802668">
    <w:abstractNumId w:val="7"/>
  </w:num>
  <w:num w:numId="11" w16cid:durableId="7270723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ED8"/>
    <w:rsid w:val="000102AB"/>
    <w:rsid w:val="00023A88"/>
    <w:rsid w:val="000A4126"/>
    <w:rsid w:val="000A6401"/>
    <w:rsid w:val="000A7238"/>
    <w:rsid w:val="000A7B1C"/>
    <w:rsid w:val="000B04B5"/>
    <w:rsid w:val="000E1055"/>
    <w:rsid w:val="00116199"/>
    <w:rsid w:val="00127B86"/>
    <w:rsid w:val="00131ADC"/>
    <w:rsid w:val="001357B2"/>
    <w:rsid w:val="00135A6B"/>
    <w:rsid w:val="00151048"/>
    <w:rsid w:val="00162821"/>
    <w:rsid w:val="00164064"/>
    <w:rsid w:val="0017478F"/>
    <w:rsid w:val="00182C20"/>
    <w:rsid w:val="001A4216"/>
    <w:rsid w:val="001B3F20"/>
    <w:rsid w:val="001B6130"/>
    <w:rsid w:val="001C6E2A"/>
    <w:rsid w:val="001D1F06"/>
    <w:rsid w:val="00202A77"/>
    <w:rsid w:val="00221493"/>
    <w:rsid w:val="0023211B"/>
    <w:rsid w:val="00267E56"/>
    <w:rsid w:val="00271CE5"/>
    <w:rsid w:val="00282020"/>
    <w:rsid w:val="00285599"/>
    <w:rsid w:val="00292770"/>
    <w:rsid w:val="002A212E"/>
    <w:rsid w:val="002A2B69"/>
    <w:rsid w:val="002B1651"/>
    <w:rsid w:val="00322B1F"/>
    <w:rsid w:val="0035200B"/>
    <w:rsid w:val="0035331D"/>
    <w:rsid w:val="003636BF"/>
    <w:rsid w:val="00371442"/>
    <w:rsid w:val="00374AED"/>
    <w:rsid w:val="003845B4"/>
    <w:rsid w:val="00387B1A"/>
    <w:rsid w:val="00391111"/>
    <w:rsid w:val="0039260E"/>
    <w:rsid w:val="003C5EE5"/>
    <w:rsid w:val="003D1CC1"/>
    <w:rsid w:val="003D7529"/>
    <w:rsid w:val="003E1C74"/>
    <w:rsid w:val="00420D5D"/>
    <w:rsid w:val="0043561F"/>
    <w:rsid w:val="0043776F"/>
    <w:rsid w:val="004421E4"/>
    <w:rsid w:val="004657EE"/>
    <w:rsid w:val="00467746"/>
    <w:rsid w:val="00475D34"/>
    <w:rsid w:val="004802EC"/>
    <w:rsid w:val="00482FF5"/>
    <w:rsid w:val="004D6275"/>
    <w:rsid w:val="005207C5"/>
    <w:rsid w:val="00526246"/>
    <w:rsid w:val="00567106"/>
    <w:rsid w:val="005D657B"/>
    <w:rsid w:val="005E1D3C"/>
    <w:rsid w:val="006174CB"/>
    <w:rsid w:val="00625AE6"/>
    <w:rsid w:val="00631DC8"/>
    <w:rsid w:val="00632253"/>
    <w:rsid w:val="00641A5A"/>
    <w:rsid w:val="00642714"/>
    <w:rsid w:val="006455CE"/>
    <w:rsid w:val="00655841"/>
    <w:rsid w:val="00655E20"/>
    <w:rsid w:val="00660ACF"/>
    <w:rsid w:val="0067450B"/>
    <w:rsid w:val="00691687"/>
    <w:rsid w:val="006956C8"/>
    <w:rsid w:val="006A30D5"/>
    <w:rsid w:val="006A4530"/>
    <w:rsid w:val="006E1EF7"/>
    <w:rsid w:val="006E70B5"/>
    <w:rsid w:val="00733017"/>
    <w:rsid w:val="007531A2"/>
    <w:rsid w:val="007750C7"/>
    <w:rsid w:val="00783310"/>
    <w:rsid w:val="007A2F2F"/>
    <w:rsid w:val="007A4A6D"/>
    <w:rsid w:val="007B5B9F"/>
    <w:rsid w:val="007D1BCF"/>
    <w:rsid w:val="007D75CF"/>
    <w:rsid w:val="007E0440"/>
    <w:rsid w:val="007E6DC5"/>
    <w:rsid w:val="0080241B"/>
    <w:rsid w:val="008410D1"/>
    <w:rsid w:val="00861DD8"/>
    <w:rsid w:val="00866E80"/>
    <w:rsid w:val="00877FFC"/>
    <w:rsid w:val="0088043C"/>
    <w:rsid w:val="00884889"/>
    <w:rsid w:val="00890396"/>
    <w:rsid w:val="008906C9"/>
    <w:rsid w:val="008C522A"/>
    <w:rsid w:val="008C5738"/>
    <w:rsid w:val="008D04F0"/>
    <w:rsid w:val="008E65EB"/>
    <w:rsid w:val="008F3500"/>
    <w:rsid w:val="009028BC"/>
    <w:rsid w:val="009051C9"/>
    <w:rsid w:val="00914818"/>
    <w:rsid w:val="00915C0D"/>
    <w:rsid w:val="00916A04"/>
    <w:rsid w:val="00924E3C"/>
    <w:rsid w:val="00943D8E"/>
    <w:rsid w:val="00950B1B"/>
    <w:rsid w:val="009612BB"/>
    <w:rsid w:val="00994005"/>
    <w:rsid w:val="0099437B"/>
    <w:rsid w:val="009C740A"/>
    <w:rsid w:val="009D2A97"/>
    <w:rsid w:val="00A125C5"/>
    <w:rsid w:val="00A2451C"/>
    <w:rsid w:val="00A3126E"/>
    <w:rsid w:val="00A32795"/>
    <w:rsid w:val="00A41C75"/>
    <w:rsid w:val="00A62C7E"/>
    <w:rsid w:val="00A65EE7"/>
    <w:rsid w:val="00A70133"/>
    <w:rsid w:val="00A770A6"/>
    <w:rsid w:val="00A80729"/>
    <w:rsid w:val="00A813B1"/>
    <w:rsid w:val="00A97C04"/>
    <w:rsid w:val="00AB36C4"/>
    <w:rsid w:val="00AC32B2"/>
    <w:rsid w:val="00AD217D"/>
    <w:rsid w:val="00AF051B"/>
    <w:rsid w:val="00B14ED8"/>
    <w:rsid w:val="00B17141"/>
    <w:rsid w:val="00B21E24"/>
    <w:rsid w:val="00B31575"/>
    <w:rsid w:val="00B366E6"/>
    <w:rsid w:val="00B44430"/>
    <w:rsid w:val="00B75314"/>
    <w:rsid w:val="00B7580A"/>
    <w:rsid w:val="00B8547D"/>
    <w:rsid w:val="00BA7BBC"/>
    <w:rsid w:val="00BC47A5"/>
    <w:rsid w:val="00BD50C8"/>
    <w:rsid w:val="00BF5163"/>
    <w:rsid w:val="00C250D5"/>
    <w:rsid w:val="00C320AC"/>
    <w:rsid w:val="00C32261"/>
    <w:rsid w:val="00C35666"/>
    <w:rsid w:val="00C61D7D"/>
    <w:rsid w:val="00C71699"/>
    <w:rsid w:val="00C77EC0"/>
    <w:rsid w:val="00C77EDD"/>
    <w:rsid w:val="00C92898"/>
    <w:rsid w:val="00CA4340"/>
    <w:rsid w:val="00CA5DA7"/>
    <w:rsid w:val="00CB71FE"/>
    <w:rsid w:val="00CC6FA0"/>
    <w:rsid w:val="00CD6A9C"/>
    <w:rsid w:val="00CE5238"/>
    <w:rsid w:val="00CE7514"/>
    <w:rsid w:val="00CF03EB"/>
    <w:rsid w:val="00D1397E"/>
    <w:rsid w:val="00D248DE"/>
    <w:rsid w:val="00D563CD"/>
    <w:rsid w:val="00D8342A"/>
    <w:rsid w:val="00D8542D"/>
    <w:rsid w:val="00D864AE"/>
    <w:rsid w:val="00DA19EB"/>
    <w:rsid w:val="00DC6A71"/>
    <w:rsid w:val="00DD2C20"/>
    <w:rsid w:val="00DE6D01"/>
    <w:rsid w:val="00E0357D"/>
    <w:rsid w:val="00E124C9"/>
    <w:rsid w:val="00E16A78"/>
    <w:rsid w:val="00E21D12"/>
    <w:rsid w:val="00E3087B"/>
    <w:rsid w:val="00E426CA"/>
    <w:rsid w:val="00E74CF8"/>
    <w:rsid w:val="00E76A2E"/>
    <w:rsid w:val="00E90737"/>
    <w:rsid w:val="00EA0413"/>
    <w:rsid w:val="00EA5DDA"/>
    <w:rsid w:val="00EC1484"/>
    <w:rsid w:val="00ED1C3E"/>
    <w:rsid w:val="00ED6779"/>
    <w:rsid w:val="00EE1C43"/>
    <w:rsid w:val="00EF0C53"/>
    <w:rsid w:val="00F060AD"/>
    <w:rsid w:val="00F21CCB"/>
    <w:rsid w:val="00F240BB"/>
    <w:rsid w:val="00F347E7"/>
    <w:rsid w:val="00F414C2"/>
    <w:rsid w:val="00F436DC"/>
    <w:rsid w:val="00F57FED"/>
    <w:rsid w:val="00F613C6"/>
    <w:rsid w:val="00F64494"/>
    <w:rsid w:val="00F645DD"/>
    <w:rsid w:val="00F7657E"/>
    <w:rsid w:val="00FB1282"/>
    <w:rsid w:val="00FD3ABD"/>
    <w:rsid w:val="00FE0194"/>
    <w:rsid w:val="00FF348A"/>
    <w:rsid w:val="00FF3AD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7E314172"/>
  <w15:chartTrackingRefBased/>
  <w15:docId w15:val="{760185BA-44B1-49D9-8746-D74F766C1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B14ED8"/>
    <w:pPr>
      <w:suppressAutoHyphens/>
      <w:spacing w:line="276" w:lineRule="auto"/>
      <w:ind w:firstLine="425"/>
      <w:jc w:val="both"/>
    </w:pPr>
    <w:rPr>
      <w:rFonts w:ascii="Arial" w:hAnsi="Arial"/>
      <w:sz w:val="22"/>
      <w:szCs w:val="24"/>
      <w:lang w:eastAsia="ar-SA"/>
    </w:rPr>
  </w:style>
  <w:style w:type="paragraph" w:styleId="Naslov1">
    <w:name w:val="heading 1"/>
    <w:aliases w:val="NASLOV"/>
    <w:basedOn w:val="Navaden"/>
    <w:next w:val="Navaden"/>
    <w:link w:val="Naslov1Znak"/>
    <w:autoRedefine/>
    <w:uiPriority w:val="9"/>
    <w:qFormat/>
    <w:rsid w:val="00E16A78"/>
    <w:pPr>
      <w:keepNext/>
      <w:keepLines/>
      <w:spacing w:before="360" w:after="80"/>
      <w:ind w:left="432" w:hanging="432"/>
      <w:outlineLvl w:val="0"/>
    </w:pPr>
    <w:rPr>
      <w:b/>
      <w:bCs/>
      <w:kern w:val="32"/>
      <w:sz w:val="28"/>
      <w:szCs w:val="32"/>
      <w:lang w:eastAsia="sl-SI"/>
    </w:rPr>
  </w:style>
  <w:style w:type="paragraph" w:styleId="Naslov2">
    <w:name w:val="heading 2"/>
    <w:basedOn w:val="Navaden"/>
    <w:next w:val="Navaden"/>
    <w:link w:val="Naslov2Znak"/>
    <w:uiPriority w:val="9"/>
    <w:unhideWhenUsed/>
    <w:qFormat/>
    <w:rsid w:val="00B14ED8"/>
    <w:pPr>
      <w:keepNext/>
      <w:keepLines/>
      <w:spacing w:before="160" w:after="80"/>
      <w:ind w:left="576" w:hanging="576"/>
      <w:outlineLvl w:val="1"/>
    </w:pPr>
    <w:rPr>
      <w:rFonts w:eastAsiaTheme="majorEastAsia" w:cstheme="majorBidi"/>
      <w:b/>
      <w:sz w:val="28"/>
      <w:szCs w:val="32"/>
    </w:rPr>
  </w:style>
  <w:style w:type="paragraph" w:styleId="Naslov3">
    <w:name w:val="heading 3"/>
    <w:basedOn w:val="Navaden"/>
    <w:next w:val="Navaden"/>
    <w:link w:val="Naslov3Znak"/>
    <w:uiPriority w:val="9"/>
    <w:unhideWhenUsed/>
    <w:qFormat/>
    <w:rsid w:val="00B14ED8"/>
    <w:pPr>
      <w:keepNext/>
      <w:keepLines/>
      <w:spacing w:before="160" w:after="80"/>
      <w:ind w:left="720" w:hanging="720"/>
      <w:outlineLvl w:val="2"/>
    </w:pPr>
    <w:rPr>
      <w:rFonts w:eastAsiaTheme="majorEastAsia" w:cstheme="majorBidi"/>
      <w:b/>
      <w:szCs w:val="28"/>
    </w:rPr>
  </w:style>
  <w:style w:type="paragraph" w:styleId="Naslov4">
    <w:name w:val="heading 4"/>
    <w:basedOn w:val="Navaden"/>
    <w:next w:val="Navaden"/>
    <w:link w:val="Naslov4Znak"/>
    <w:uiPriority w:val="9"/>
    <w:semiHidden/>
    <w:unhideWhenUsed/>
    <w:qFormat/>
    <w:rsid w:val="00B14ED8"/>
    <w:pPr>
      <w:keepNext/>
      <w:keepLines/>
      <w:spacing w:before="80" w:after="40"/>
      <w:ind w:left="864" w:hanging="864"/>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B14ED8"/>
    <w:pPr>
      <w:keepNext/>
      <w:keepLines/>
      <w:spacing w:before="80" w:after="40"/>
      <w:ind w:left="1008" w:hanging="1008"/>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B14ED8"/>
    <w:pPr>
      <w:keepNext/>
      <w:keepLines/>
      <w:spacing w:before="40"/>
      <w:ind w:left="1152" w:hanging="1152"/>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B14ED8"/>
    <w:pPr>
      <w:keepNext/>
      <w:keepLines/>
      <w:spacing w:before="40"/>
      <w:ind w:left="1296" w:hanging="1296"/>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B14ED8"/>
    <w:pPr>
      <w:keepNext/>
      <w:keepLines/>
      <w:ind w:left="1440" w:hanging="144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B14ED8"/>
    <w:pPr>
      <w:keepNext/>
      <w:keepLines/>
      <w:ind w:left="1584" w:hanging="1584"/>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aslov2Znak">
    <w:name w:val="Naslov 2 Znak"/>
    <w:basedOn w:val="Privzetapisavaodstavka"/>
    <w:link w:val="Naslov2"/>
    <w:uiPriority w:val="9"/>
    <w:rsid w:val="00B14ED8"/>
    <w:rPr>
      <w:rFonts w:ascii="Arial" w:eastAsiaTheme="majorEastAsia" w:hAnsi="Arial" w:cstheme="majorBidi"/>
      <w:b/>
      <w:sz w:val="28"/>
      <w:szCs w:val="32"/>
      <w:lang w:eastAsia="ar-SA"/>
    </w:rPr>
  </w:style>
  <w:style w:type="character" w:customStyle="1" w:styleId="Naslov3Znak">
    <w:name w:val="Naslov 3 Znak"/>
    <w:basedOn w:val="Privzetapisavaodstavka"/>
    <w:link w:val="Naslov3"/>
    <w:uiPriority w:val="9"/>
    <w:rsid w:val="00B14ED8"/>
    <w:rPr>
      <w:rFonts w:ascii="Arial" w:eastAsiaTheme="majorEastAsia" w:hAnsi="Arial" w:cstheme="majorBidi"/>
      <w:b/>
      <w:sz w:val="22"/>
      <w:szCs w:val="28"/>
      <w:lang w:eastAsia="ar-SA"/>
    </w:rPr>
  </w:style>
  <w:style w:type="character" w:customStyle="1" w:styleId="Naslov4Znak">
    <w:name w:val="Naslov 4 Znak"/>
    <w:basedOn w:val="Privzetapisavaodstavka"/>
    <w:link w:val="Naslov4"/>
    <w:uiPriority w:val="9"/>
    <w:semiHidden/>
    <w:rsid w:val="00B14ED8"/>
    <w:rPr>
      <w:rFonts w:ascii="Arial" w:eastAsiaTheme="majorEastAsia" w:hAnsi="Arial" w:cstheme="majorBidi"/>
      <w:i/>
      <w:iCs/>
      <w:color w:val="2F5496" w:themeColor="accent1" w:themeShade="BF"/>
      <w:sz w:val="22"/>
      <w:szCs w:val="24"/>
      <w:lang w:eastAsia="ar-SA"/>
    </w:rPr>
  </w:style>
  <w:style w:type="character" w:customStyle="1" w:styleId="Naslov5Znak">
    <w:name w:val="Naslov 5 Znak"/>
    <w:basedOn w:val="Privzetapisavaodstavka"/>
    <w:link w:val="Naslov5"/>
    <w:uiPriority w:val="9"/>
    <w:semiHidden/>
    <w:rsid w:val="00B14ED8"/>
    <w:rPr>
      <w:rFonts w:ascii="Arial" w:eastAsiaTheme="majorEastAsia" w:hAnsi="Arial" w:cstheme="majorBidi"/>
      <w:color w:val="2F5496" w:themeColor="accent1" w:themeShade="BF"/>
      <w:sz w:val="22"/>
      <w:szCs w:val="24"/>
      <w:lang w:eastAsia="ar-SA"/>
    </w:rPr>
  </w:style>
  <w:style w:type="character" w:customStyle="1" w:styleId="Naslov6Znak">
    <w:name w:val="Naslov 6 Znak"/>
    <w:basedOn w:val="Privzetapisavaodstavka"/>
    <w:link w:val="Naslov6"/>
    <w:uiPriority w:val="9"/>
    <w:semiHidden/>
    <w:rsid w:val="00B14ED8"/>
    <w:rPr>
      <w:rFonts w:ascii="Arial" w:eastAsiaTheme="majorEastAsia" w:hAnsi="Arial" w:cstheme="majorBidi"/>
      <w:i/>
      <w:iCs/>
      <w:color w:val="595959" w:themeColor="text1" w:themeTint="A6"/>
      <w:sz w:val="22"/>
      <w:szCs w:val="24"/>
      <w:lang w:eastAsia="ar-SA"/>
    </w:rPr>
  </w:style>
  <w:style w:type="character" w:customStyle="1" w:styleId="Naslov7Znak">
    <w:name w:val="Naslov 7 Znak"/>
    <w:basedOn w:val="Privzetapisavaodstavka"/>
    <w:link w:val="Naslov7"/>
    <w:uiPriority w:val="9"/>
    <w:semiHidden/>
    <w:rsid w:val="00B14ED8"/>
    <w:rPr>
      <w:rFonts w:ascii="Arial" w:eastAsiaTheme="majorEastAsia" w:hAnsi="Arial" w:cstheme="majorBidi"/>
      <w:color w:val="595959" w:themeColor="text1" w:themeTint="A6"/>
      <w:sz w:val="22"/>
      <w:szCs w:val="24"/>
      <w:lang w:eastAsia="ar-SA"/>
    </w:rPr>
  </w:style>
  <w:style w:type="character" w:customStyle="1" w:styleId="Naslov8Znak">
    <w:name w:val="Naslov 8 Znak"/>
    <w:basedOn w:val="Privzetapisavaodstavka"/>
    <w:link w:val="Naslov8"/>
    <w:uiPriority w:val="9"/>
    <w:semiHidden/>
    <w:rsid w:val="00B14ED8"/>
    <w:rPr>
      <w:rFonts w:ascii="Arial" w:eastAsiaTheme="majorEastAsia" w:hAnsi="Arial" w:cstheme="majorBidi"/>
      <w:i/>
      <w:iCs/>
      <w:color w:val="272727" w:themeColor="text1" w:themeTint="D8"/>
      <w:sz w:val="22"/>
      <w:szCs w:val="24"/>
      <w:lang w:eastAsia="ar-SA"/>
    </w:rPr>
  </w:style>
  <w:style w:type="character" w:customStyle="1" w:styleId="Naslov9Znak">
    <w:name w:val="Naslov 9 Znak"/>
    <w:basedOn w:val="Privzetapisavaodstavka"/>
    <w:link w:val="Naslov9"/>
    <w:uiPriority w:val="9"/>
    <w:semiHidden/>
    <w:rsid w:val="00B14ED8"/>
    <w:rPr>
      <w:rFonts w:ascii="Arial" w:eastAsiaTheme="majorEastAsia" w:hAnsi="Arial" w:cstheme="majorBidi"/>
      <w:color w:val="272727" w:themeColor="text1" w:themeTint="D8"/>
      <w:sz w:val="22"/>
      <w:szCs w:val="24"/>
      <w:lang w:eastAsia="ar-SA"/>
    </w:rPr>
  </w:style>
  <w:style w:type="character" w:customStyle="1" w:styleId="Naslov1Znak">
    <w:name w:val="Naslov 1 Znak"/>
    <w:aliases w:val="NASLOV Znak"/>
    <w:basedOn w:val="Privzetapisavaodstavka"/>
    <w:link w:val="Naslov1"/>
    <w:uiPriority w:val="9"/>
    <w:rsid w:val="00E16A78"/>
    <w:rPr>
      <w:rFonts w:ascii="Arial" w:hAnsi="Arial"/>
      <w:b/>
      <w:bCs/>
      <w:kern w:val="32"/>
      <w:sz w:val="28"/>
      <w:szCs w:val="32"/>
    </w:rPr>
  </w:style>
  <w:style w:type="paragraph" w:styleId="Napis">
    <w:name w:val="caption"/>
    <w:basedOn w:val="Navaden"/>
    <w:next w:val="Navaden"/>
    <w:uiPriority w:val="35"/>
    <w:unhideWhenUsed/>
    <w:qFormat/>
    <w:rsid w:val="00B14ED8"/>
    <w:pPr>
      <w:spacing w:after="200" w:line="240" w:lineRule="auto"/>
    </w:pPr>
    <w:rPr>
      <w:i/>
      <w:iCs/>
      <w:color w:val="44546A" w:themeColor="text2"/>
      <w:sz w:val="18"/>
      <w:szCs w:val="18"/>
    </w:rPr>
  </w:style>
  <w:style w:type="paragraph" w:styleId="Navadensplet">
    <w:name w:val="Normal (Web)"/>
    <w:basedOn w:val="Navaden"/>
    <w:rsid w:val="00A41C75"/>
    <w:rPr>
      <w:rFonts w:ascii="Times New Roman" w:hAnsi="Times New Roman"/>
      <w:sz w:val="24"/>
    </w:rPr>
  </w:style>
  <w:style w:type="character" w:styleId="Pripombasklic">
    <w:name w:val="annotation reference"/>
    <w:basedOn w:val="Privzetapisavaodstavka"/>
    <w:rsid w:val="00135A6B"/>
    <w:rPr>
      <w:sz w:val="16"/>
      <w:szCs w:val="16"/>
    </w:rPr>
  </w:style>
  <w:style w:type="paragraph" w:styleId="Pripombabesedilo">
    <w:name w:val="annotation text"/>
    <w:basedOn w:val="Navaden"/>
    <w:link w:val="PripombabesediloZnak"/>
    <w:rsid w:val="00135A6B"/>
    <w:pPr>
      <w:spacing w:line="240" w:lineRule="auto"/>
    </w:pPr>
    <w:rPr>
      <w:sz w:val="20"/>
      <w:szCs w:val="20"/>
    </w:rPr>
  </w:style>
  <w:style w:type="character" w:customStyle="1" w:styleId="PripombabesediloZnak">
    <w:name w:val="Pripomba – besedilo Znak"/>
    <w:basedOn w:val="Privzetapisavaodstavka"/>
    <w:link w:val="Pripombabesedilo"/>
    <w:rsid w:val="00135A6B"/>
    <w:rPr>
      <w:rFonts w:ascii="Arial" w:hAnsi="Arial"/>
      <w:lang w:eastAsia="ar-SA"/>
    </w:rPr>
  </w:style>
  <w:style w:type="paragraph" w:styleId="Zadevapripombe">
    <w:name w:val="annotation subject"/>
    <w:basedOn w:val="Pripombabesedilo"/>
    <w:next w:val="Pripombabesedilo"/>
    <w:link w:val="ZadevapripombeZnak"/>
    <w:rsid w:val="00135A6B"/>
    <w:rPr>
      <w:b/>
      <w:bCs/>
    </w:rPr>
  </w:style>
  <w:style w:type="character" w:customStyle="1" w:styleId="ZadevapripombeZnak">
    <w:name w:val="Zadeva pripombe Znak"/>
    <w:basedOn w:val="PripombabesediloZnak"/>
    <w:link w:val="Zadevapripombe"/>
    <w:rsid w:val="00135A6B"/>
    <w:rPr>
      <w:rFonts w:ascii="Arial" w:hAnsi="Arial"/>
      <w:b/>
      <w:bCs/>
      <w:lang w:eastAsia="ar-SA"/>
    </w:rPr>
  </w:style>
  <w:style w:type="paragraph" w:styleId="Odstavekseznama">
    <w:name w:val="List Paragraph"/>
    <w:basedOn w:val="Navaden"/>
    <w:uiPriority w:val="34"/>
    <w:qFormat/>
    <w:rsid w:val="008C522A"/>
    <w:pPr>
      <w:suppressAutoHyphens w:val="0"/>
      <w:spacing w:after="160" w:line="259" w:lineRule="auto"/>
      <w:ind w:left="720" w:firstLine="0"/>
      <w:contextualSpacing/>
      <w:jc w:val="left"/>
    </w:pPr>
    <w:rPr>
      <w:rFonts w:asciiTheme="minorHAnsi" w:eastAsiaTheme="minorHAnsi" w:hAnsiTheme="minorHAnsi" w:cstheme="minorBidi"/>
      <w:kern w:val="2"/>
      <w:szCs w:val="22"/>
      <w:lang w:eastAsia="en-US"/>
      <w14:ligatures w14:val="standardContextual"/>
    </w:rPr>
  </w:style>
  <w:style w:type="character" w:customStyle="1" w:styleId="NogaZnak">
    <w:name w:val="Noga Znak"/>
    <w:basedOn w:val="Privzetapisavaodstavka"/>
    <w:link w:val="Noga"/>
    <w:uiPriority w:val="99"/>
    <w:rsid w:val="00641A5A"/>
    <w:rPr>
      <w:rFonts w:ascii="Arial" w:hAnsi="Arial"/>
      <w:sz w:val="2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62424">
      <w:bodyDiv w:val="1"/>
      <w:marLeft w:val="0"/>
      <w:marRight w:val="0"/>
      <w:marTop w:val="0"/>
      <w:marBottom w:val="0"/>
      <w:divBdr>
        <w:top w:val="none" w:sz="0" w:space="0" w:color="auto"/>
        <w:left w:val="none" w:sz="0" w:space="0" w:color="auto"/>
        <w:bottom w:val="none" w:sz="0" w:space="0" w:color="auto"/>
        <w:right w:val="none" w:sz="0" w:space="0" w:color="auto"/>
      </w:divBdr>
    </w:div>
    <w:div w:id="187448639">
      <w:bodyDiv w:val="1"/>
      <w:marLeft w:val="0"/>
      <w:marRight w:val="0"/>
      <w:marTop w:val="0"/>
      <w:marBottom w:val="0"/>
      <w:divBdr>
        <w:top w:val="none" w:sz="0" w:space="0" w:color="auto"/>
        <w:left w:val="none" w:sz="0" w:space="0" w:color="auto"/>
        <w:bottom w:val="none" w:sz="0" w:space="0" w:color="auto"/>
        <w:right w:val="none" w:sz="0" w:space="0" w:color="auto"/>
      </w:divBdr>
    </w:div>
    <w:div w:id="1132018229">
      <w:bodyDiv w:val="1"/>
      <w:marLeft w:val="0"/>
      <w:marRight w:val="0"/>
      <w:marTop w:val="0"/>
      <w:marBottom w:val="0"/>
      <w:divBdr>
        <w:top w:val="none" w:sz="0" w:space="0" w:color="auto"/>
        <w:left w:val="none" w:sz="0" w:space="0" w:color="auto"/>
        <w:bottom w:val="none" w:sz="0" w:space="0" w:color="auto"/>
        <w:right w:val="none" w:sz="0" w:space="0" w:color="auto"/>
      </w:divBdr>
    </w:div>
    <w:div w:id="1272056499">
      <w:bodyDiv w:val="1"/>
      <w:marLeft w:val="0"/>
      <w:marRight w:val="0"/>
      <w:marTop w:val="0"/>
      <w:marBottom w:val="0"/>
      <w:divBdr>
        <w:top w:val="none" w:sz="0" w:space="0" w:color="auto"/>
        <w:left w:val="none" w:sz="0" w:space="0" w:color="auto"/>
        <w:bottom w:val="none" w:sz="0" w:space="0" w:color="auto"/>
        <w:right w:val="none" w:sz="0" w:space="0" w:color="auto"/>
      </w:divBdr>
      <w:divsChild>
        <w:div w:id="27489323">
          <w:marLeft w:val="0"/>
          <w:marRight w:val="0"/>
          <w:marTop w:val="0"/>
          <w:marBottom w:val="0"/>
          <w:divBdr>
            <w:top w:val="none" w:sz="0" w:space="0" w:color="auto"/>
            <w:left w:val="none" w:sz="0" w:space="0" w:color="auto"/>
            <w:bottom w:val="none" w:sz="0" w:space="0" w:color="auto"/>
            <w:right w:val="none" w:sz="0" w:space="0" w:color="auto"/>
          </w:divBdr>
        </w:div>
      </w:divsChild>
    </w:div>
    <w:div w:id="1379548893">
      <w:bodyDiv w:val="1"/>
      <w:marLeft w:val="0"/>
      <w:marRight w:val="0"/>
      <w:marTop w:val="0"/>
      <w:marBottom w:val="0"/>
      <w:divBdr>
        <w:top w:val="none" w:sz="0" w:space="0" w:color="auto"/>
        <w:left w:val="none" w:sz="0" w:space="0" w:color="auto"/>
        <w:bottom w:val="none" w:sz="0" w:space="0" w:color="auto"/>
        <w:right w:val="none" w:sz="0" w:space="0" w:color="auto"/>
      </w:divBdr>
    </w:div>
    <w:div w:id="1664697272">
      <w:bodyDiv w:val="1"/>
      <w:marLeft w:val="0"/>
      <w:marRight w:val="0"/>
      <w:marTop w:val="0"/>
      <w:marBottom w:val="0"/>
      <w:divBdr>
        <w:top w:val="none" w:sz="0" w:space="0" w:color="auto"/>
        <w:left w:val="none" w:sz="0" w:space="0" w:color="auto"/>
        <w:bottom w:val="none" w:sz="0" w:space="0" w:color="auto"/>
        <w:right w:val="none" w:sz="0" w:space="0" w:color="auto"/>
      </w:divBdr>
    </w:div>
    <w:div w:id="1896114191">
      <w:bodyDiv w:val="1"/>
      <w:marLeft w:val="0"/>
      <w:marRight w:val="0"/>
      <w:marTop w:val="0"/>
      <w:marBottom w:val="0"/>
      <w:divBdr>
        <w:top w:val="none" w:sz="0" w:space="0" w:color="auto"/>
        <w:left w:val="none" w:sz="0" w:space="0" w:color="auto"/>
        <w:bottom w:val="none" w:sz="0" w:space="0" w:color="auto"/>
        <w:right w:val="none" w:sz="0" w:space="0" w:color="auto"/>
      </w:divBdr>
      <w:divsChild>
        <w:div w:id="109982149">
          <w:marLeft w:val="0"/>
          <w:marRight w:val="0"/>
          <w:marTop w:val="0"/>
          <w:marBottom w:val="0"/>
          <w:divBdr>
            <w:top w:val="none" w:sz="0" w:space="0" w:color="auto"/>
            <w:left w:val="none" w:sz="0" w:space="0" w:color="auto"/>
            <w:bottom w:val="none" w:sz="0" w:space="0" w:color="auto"/>
            <w:right w:val="none" w:sz="0" w:space="0" w:color="auto"/>
          </w:divBdr>
        </w:div>
      </w:divsChild>
    </w:div>
    <w:div w:id="1907104198">
      <w:bodyDiv w:val="1"/>
      <w:marLeft w:val="0"/>
      <w:marRight w:val="0"/>
      <w:marTop w:val="0"/>
      <w:marBottom w:val="0"/>
      <w:divBdr>
        <w:top w:val="none" w:sz="0" w:space="0" w:color="auto"/>
        <w:left w:val="none" w:sz="0" w:space="0" w:color="auto"/>
        <w:bottom w:val="none" w:sz="0" w:space="0" w:color="auto"/>
        <w:right w:val="none" w:sz="0" w:space="0" w:color="auto"/>
      </w:divBdr>
    </w:div>
    <w:div w:id="199957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uradni-list.si/glasilo-uradni-list-rs/vsebina/2025-01-0248" TargetMode="External"/><Relationship Id="rId18" Type="http://schemas.openxmlformats.org/officeDocument/2006/relationships/image" Target="cid:image003.png@01DCBB67.DE147320"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hyperlink" Target="https://www.google.com/search?q=Zakon+o+dolgotrajni+oskrbi+%28ZDOsk-1%29&amp;sca_esv=d6eb6bac57f34326&amp;biw=2560&amp;bih=1271&amp;ei=6jSUaeymD9-M9u8P9OW84Ac&amp;ved=2ahUKEwjp3OK5nOCSAxVh_7sIHSjGJoYQgK4QegQIARAC&amp;uact=5&amp;oq=kateri+zakon+je+osnova+za+novi+prispevek+za+dolgotrajno+oskrbo&amp;gs_lp=Egxnd3Mtd2l6LXNlcnAaAhgCIj5rYXRlcmkgemFrb24gamUgb3Nub3ZhIHphIG5vdmkgcHJpc3BldmVrIHphIGRvbGdvdHJham5vIG9za3Jib0i_xwFQkQdYt6UBcAl4AJABAJgBsgOgAb1VqgEKMy42MS41LjIuMbgBA8gBAPgBAZgCTqACq1XCAhAQABiwAxjWBBhHGPgFGIsDwgINEAAYsAMY1gQYRxiLA8ICBRAhGKABwgIFEAAY7wXCAggQABiABBiiBMICCBAAGKIEGIkFwgIKEAAYgAQYQxiKBcICDhAuGIAEGLEDGIMBGIoFwgIFEAAYgATCAgsQABiABBixAxiDAcICCBAAGIAEGLEDwgIFEC4YgATCAg0QABiABBhDGMkDGIoFwgIIEC4YgAQYsQPCAgsQABiABBiSAxiKBcICCxAuGIAEGLEDGIMBwgIUEC4YgAQYlwUY3AQY3gQY3wTYAQHCAgYQABgWGB7CAgUQIRifBcICBBAhGBXCAgcQIRigARgKmAMAiAYBkAYIugYGCAEQARgUkgcKOS41OC44LjIuMaAHlvYCsgcKMC41OC44LjIuMbgHjFXCBwkzLjYwLjE0LjHIB7EBgAgA&amp;sclient=gws-wiz-serp&amp;mstk=AUtExfB6fauHyAOY8dAJP0gtlP_gt2GPpguvBZewUkVQ49tvCWEz2_wieF2lgSmMg-EKcRxVH_WvFD3khmInmXdg2XAcp1CXsHTjEsvSInU4ZhkNuzTSbBLk5B7TbMVoxMTho04&amp;csui=3" TargetMode="External"/><Relationship Id="rId17" Type="http://schemas.openxmlformats.org/officeDocument/2006/relationships/image" Target="media/image4.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chart" Target="charts/chart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png@01DCBAB9.842007C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cid:image003.png@01DCBAB9.842007C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JU\Skupno\Predloge\MJU\MJU.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sl-SI" sz="1400" b="1" i="0" u="none" strike="noStrike" kern="1200" spc="0" baseline="0">
                <a:solidFill>
                  <a:sysClr val="windowText" lastClr="000000">
                    <a:lumMod val="65000"/>
                    <a:lumOff val="35000"/>
                  </a:sysClr>
                </a:solidFill>
              </a:rPr>
              <a:t>Grafični prikaz v obdobju 2020-2025 na UE glede na vrsto delovnega mesta </a:t>
            </a:r>
            <a:endParaRPr lang="en-US" sz="1400" b="1" i="0" u="none" strike="noStrike" kern="1200" spc="0" baseline="0">
              <a:solidFill>
                <a:sysClr val="windowText" lastClr="000000">
                  <a:lumMod val="65000"/>
                  <a:lumOff val="35000"/>
                </a:sysClr>
              </a:solidFill>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sl-SI" b="1"/>
          </a:p>
        </c:rich>
      </c:tx>
      <c:layout>
        <c:manualLayout>
          <c:xMode val="edge"/>
          <c:yMode val="edge"/>
          <c:x val="0.15873212071782569"/>
          <c:y val="2.4837779705430309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5.7617617933411171E-2"/>
          <c:y val="0.1592943217514444"/>
          <c:w val="0.92760405885418729"/>
          <c:h val="0.70524556850200326"/>
        </c:manualLayout>
      </c:layout>
      <c:barChart>
        <c:barDir val="col"/>
        <c:grouping val="stacked"/>
        <c:varyColors val="0"/>
        <c:ser>
          <c:idx val="0"/>
          <c:order val="0"/>
          <c:tx>
            <c:strRef>
              <c:f>'2020_2025_po vrsti DM'!$A$2</c:f>
              <c:strCache>
                <c:ptCount val="1"/>
                <c:pt idx="0">
                  <c:v>Strokovno tehnični delavci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lumMod val="95000"/>
                      </a:schemeClr>
                    </a:solidFill>
                    <a:latin typeface="+mn-lt"/>
                    <a:ea typeface="+mn-ea"/>
                    <a:cs typeface="+mn-cs"/>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'2020_2025_po vrsti DM'!$B$1:$G$1</c:f>
              <c:strCache>
                <c:ptCount val="6"/>
                <c:pt idx="0">
                  <c:v>2020</c:v>
                </c:pt>
                <c:pt idx="1">
                  <c:v>2021</c:v>
                </c:pt>
                <c:pt idx="2">
                  <c:v>2022</c:v>
                </c:pt>
                <c:pt idx="3">
                  <c:v>2023</c:v>
                </c:pt>
                <c:pt idx="4">
                  <c:v>2024</c:v>
                </c:pt>
                <c:pt idx="5">
                  <c:v>2025</c:v>
                </c:pt>
              </c:strCache>
            </c:strRef>
          </c:cat>
          <c:val>
            <c:numRef>
              <c:f>'2020_2025_po vrsti DM'!$B$2:$G$2</c:f>
              <c:numCache>
                <c:formatCode>General</c:formatCode>
                <c:ptCount val="6"/>
                <c:pt idx="0">
                  <c:v>430</c:v>
                </c:pt>
                <c:pt idx="1">
                  <c:v>415</c:v>
                </c:pt>
                <c:pt idx="2">
                  <c:v>421</c:v>
                </c:pt>
                <c:pt idx="3">
                  <c:v>409</c:v>
                </c:pt>
                <c:pt idx="4">
                  <c:v>405</c:v>
                </c:pt>
                <c:pt idx="5">
                  <c:v>408</c:v>
                </c:pt>
              </c:numCache>
            </c:numRef>
          </c:val>
          <c:extLst>
            <c:ext xmlns:c16="http://schemas.microsoft.com/office/drawing/2014/chart" uri="{C3380CC4-5D6E-409C-BE32-E72D297353CC}">
              <c16:uniqueId val="{00000000-3A02-4185-A142-48EA9C1F1E1F}"/>
            </c:ext>
          </c:extLst>
        </c:ser>
        <c:ser>
          <c:idx val="1"/>
          <c:order val="1"/>
          <c:tx>
            <c:strRef>
              <c:f>'2020_2025_po vrsti DM'!$A$3</c:f>
              <c:strCache>
                <c:ptCount val="1"/>
                <c:pt idx="0">
                  <c:v>Uradniki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lumMod val="95000"/>
                      </a:schemeClr>
                    </a:solidFill>
                    <a:latin typeface="+mn-lt"/>
                    <a:ea typeface="+mn-ea"/>
                    <a:cs typeface="+mn-cs"/>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'2020_2025_po vrsti DM'!$B$1:$G$1</c:f>
              <c:strCache>
                <c:ptCount val="6"/>
                <c:pt idx="0">
                  <c:v>2020</c:v>
                </c:pt>
                <c:pt idx="1">
                  <c:v>2021</c:v>
                </c:pt>
                <c:pt idx="2">
                  <c:v>2022</c:v>
                </c:pt>
                <c:pt idx="3">
                  <c:v>2023</c:v>
                </c:pt>
                <c:pt idx="4">
                  <c:v>2024</c:v>
                </c:pt>
                <c:pt idx="5">
                  <c:v>2025</c:v>
                </c:pt>
              </c:strCache>
            </c:strRef>
          </c:cat>
          <c:val>
            <c:numRef>
              <c:f>'2020_2025_po vrsti DM'!$B$3:$G$3</c:f>
              <c:numCache>
                <c:formatCode>#,##0</c:formatCode>
                <c:ptCount val="6"/>
                <c:pt idx="0">
                  <c:v>1875</c:v>
                </c:pt>
                <c:pt idx="1">
                  <c:v>1904</c:v>
                </c:pt>
                <c:pt idx="2">
                  <c:v>1958</c:v>
                </c:pt>
                <c:pt idx="3">
                  <c:v>1967</c:v>
                </c:pt>
                <c:pt idx="4">
                  <c:v>1951</c:v>
                </c:pt>
                <c:pt idx="5">
                  <c:v>2022</c:v>
                </c:pt>
              </c:numCache>
            </c:numRef>
          </c:val>
          <c:extLst>
            <c:ext xmlns:c16="http://schemas.microsoft.com/office/drawing/2014/chart" uri="{C3380CC4-5D6E-409C-BE32-E72D297353CC}">
              <c16:uniqueId val="{00000001-3A02-4185-A142-48EA9C1F1E1F}"/>
            </c:ext>
          </c:extLst>
        </c:ser>
        <c:dLbls>
          <c:showLegendKey val="0"/>
          <c:showVal val="0"/>
          <c:showCatName val="0"/>
          <c:showSerName val="0"/>
          <c:showPercent val="0"/>
          <c:showBubbleSize val="0"/>
        </c:dLbls>
        <c:gapWidth val="150"/>
        <c:overlap val="100"/>
        <c:axId val="476881536"/>
        <c:axId val="476884416"/>
        <c:extLst>
          <c:ext xmlns:c15="http://schemas.microsoft.com/office/drawing/2012/chart" uri="{02D57815-91ED-43cb-92C2-25804820EDAC}">
            <c15:filteredBarSeries>
              <c15:ser>
                <c:idx val="2"/>
                <c:order val="2"/>
                <c:tx>
                  <c:strRef>
                    <c:extLst>
                      <c:ext uri="{02D57815-91ED-43cb-92C2-25804820EDAC}">
                        <c15:formulaRef>
                          <c15:sqref>'2020_2025_po vrsti DM'!$A$4</c15:sqref>
                        </c15:formulaRef>
                      </c:ext>
                    </c:extLst>
                    <c:strCache>
                      <c:ptCount val="1"/>
                      <c:pt idx="0">
                        <c:v>Skupaj</c:v>
                      </c:pt>
                    </c:strCache>
                  </c:strRef>
                </c:tx>
                <c:spPr>
                  <a:solidFill>
                    <a:schemeClr val="accent3"/>
                  </a:solidFill>
                  <a:ln>
                    <a:noFill/>
                  </a:ln>
                  <a:effectLst/>
                </c:spPr>
                <c:invertIfNegative val="0"/>
                <c:cat>
                  <c:strRef>
                    <c:extLst>
                      <c:ext uri="{02D57815-91ED-43cb-92C2-25804820EDAC}">
                        <c15:formulaRef>
                          <c15:sqref>'2020_2025_po vrsti DM'!$B$1:$G$1</c15:sqref>
                        </c15:formulaRef>
                      </c:ext>
                    </c:extLst>
                    <c:strCache>
                      <c:ptCount val="6"/>
                      <c:pt idx="0">
                        <c:v>2020</c:v>
                      </c:pt>
                      <c:pt idx="1">
                        <c:v>2021</c:v>
                      </c:pt>
                      <c:pt idx="2">
                        <c:v>2022</c:v>
                      </c:pt>
                      <c:pt idx="3">
                        <c:v>2023</c:v>
                      </c:pt>
                      <c:pt idx="4">
                        <c:v>2024</c:v>
                      </c:pt>
                      <c:pt idx="5">
                        <c:v>2025</c:v>
                      </c:pt>
                    </c:strCache>
                  </c:strRef>
                </c:cat>
                <c:val>
                  <c:numRef>
                    <c:extLst>
                      <c:ext uri="{02D57815-91ED-43cb-92C2-25804820EDAC}">
                        <c15:formulaRef>
                          <c15:sqref>'2020_2025_po vrsti DM'!$B$4:$G$4</c15:sqref>
                        </c15:formulaRef>
                      </c:ext>
                    </c:extLst>
                    <c:numCache>
                      <c:formatCode>#,##0</c:formatCode>
                      <c:ptCount val="6"/>
                      <c:pt idx="0">
                        <c:v>2305</c:v>
                      </c:pt>
                      <c:pt idx="1">
                        <c:v>2319</c:v>
                      </c:pt>
                      <c:pt idx="2">
                        <c:v>2379</c:v>
                      </c:pt>
                      <c:pt idx="3">
                        <c:v>2376</c:v>
                      </c:pt>
                      <c:pt idx="4">
                        <c:v>2356</c:v>
                      </c:pt>
                      <c:pt idx="5">
                        <c:v>2430</c:v>
                      </c:pt>
                    </c:numCache>
                  </c:numRef>
                </c:val>
                <c:extLst>
                  <c:ext xmlns:c16="http://schemas.microsoft.com/office/drawing/2014/chart" uri="{C3380CC4-5D6E-409C-BE32-E72D297353CC}">
                    <c16:uniqueId val="{00000002-3A02-4185-A142-48EA9C1F1E1F}"/>
                  </c:ext>
                </c:extLst>
              </c15:ser>
            </c15:filteredBarSeries>
          </c:ext>
        </c:extLst>
      </c:barChart>
      <c:catAx>
        <c:axId val="476881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476884416"/>
        <c:crosses val="autoZero"/>
        <c:auto val="1"/>
        <c:lblAlgn val="ctr"/>
        <c:lblOffset val="100"/>
        <c:noMultiLvlLbl val="0"/>
      </c:catAx>
      <c:valAx>
        <c:axId val="476884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476881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sz="1600" b="1"/>
              <a:t>Javni</a:t>
            </a:r>
            <a:r>
              <a:rPr lang="sl-SI" sz="1600" b="1" baseline="0"/>
              <a:t> uslužbenci v obdobju 2020-2025 na UE po tarifnih skupinah</a:t>
            </a:r>
            <a:endParaRPr lang="sl-SI" sz="16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bar"/>
        <c:grouping val="clustered"/>
        <c:varyColors val="0"/>
        <c:ser>
          <c:idx val="0"/>
          <c:order val="0"/>
          <c:tx>
            <c:strRef>
              <c:f>'Po tarifni skupini 2020-2025'!$A$2</c:f>
              <c:strCache>
                <c:ptCount val="1"/>
                <c:pt idx="0">
                  <c:v>II.</c:v>
                </c:pt>
              </c:strCache>
            </c:strRef>
          </c:tx>
          <c:spPr>
            <a:solidFill>
              <a:schemeClr val="accent1"/>
            </a:solidFill>
            <a:ln>
              <a:noFill/>
            </a:ln>
            <a:effectLst/>
          </c:spPr>
          <c:invertIfNegative val="0"/>
          <c:cat>
            <c:strRef>
              <c:f>'Po tarifni skupini 2020-2025'!$B$1:$G$1</c:f>
              <c:strCache>
                <c:ptCount val="6"/>
                <c:pt idx="0">
                  <c:v>2020</c:v>
                </c:pt>
                <c:pt idx="1">
                  <c:v>2021</c:v>
                </c:pt>
                <c:pt idx="2">
                  <c:v>2022</c:v>
                </c:pt>
                <c:pt idx="3">
                  <c:v>2023</c:v>
                </c:pt>
                <c:pt idx="4">
                  <c:v>2024</c:v>
                </c:pt>
                <c:pt idx="5">
                  <c:v>2025</c:v>
                </c:pt>
              </c:strCache>
            </c:strRef>
          </c:cat>
          <c:val>
            <c:numRef>
              <c:f>'Po tarifni skupini 2020-2025'!$B$2:$G$2</c:f>
              <c:numCache>
                <c:formatCode>#,##0</c:formatCode>
                <c:ptCount val="6"/>
                <c:pt idx="0">
                  <c:v>3</c:v>
                </c:pt>
                <c:pt idx="1">
                  <c:v>3</c:v>
                </c:pt>
                <c:pt idx="2">
                  <c:v>3</c:v>
                </c:pt>
                <c:pt idx="3">
                  <c:v>3</c:v>
                </c:pt>
                <c:pt idx="4">
                  <c:v>3</c:v>
                </c:pt>
                <c:pt idx="5">
                  <c:v>2</c:v>
                </c:pt>
              </c:numCache>
            </c:numRef>
          </c:val>
          <c:extLst>
            <c:ext xmlns:c16="http://schemas.microsoft.com/office/drawing/2014/chart" uri="{C3380CC4-5D6E-409C-BE32-E72D297353CC}">
              <c16:uniqueId val="{00000000-757E-44D4-A5B2-F12F5AAC45EC}"/>
            </c:ext>
          </c:extLst>
        </c:ser>
        <c:ser>
          <c:idx val="1"/>
          <c:order val="1"/>
          <c:tx>
            <c:strRef>
              <c:f>'Po tarifni skupini 2020-2025'!$A$3</c:f>
              <c:strCache>
                <c:ptCount val="1"/>
                <c:pt idx="0">
                  <c:v>III.</c:v>
                </c:pt>
              </c:strCache>
            </c:strRef>
          </c:tx>
          <c:spPr>
            <a:solidFill>
              <a:schemeClr val="accent2"/>
            </a:solidFill>
            <a:ln>
              <a:noFill/>
            </a:ln>
            <a:effectLst/>
          </c:spPr>
          <c:invertIfNegative val="0"/>
          <c:cat>
            <c:strRef>
              <c:f>'Po tarifni skupini 2020-2025'!$B$1:$G$1</c:f>
              <c:strCache>
                <c:ptCount val="6"/>
                <c:pt idx="0">
                  <c:v>2020</c:v>
                </c:pt>
                <c:pt idx="1">
                  <c:v>2021</c:v>
                </c:pt>
                <c:pt idx="2">
                  <c:v>2022</c:v>
                </c:pt>
                <c:pt idx="3">
                  <c:v>2023</c:v>
                </c:pt>
                <c:pt idx="4">
                  <c:v>2024</c:v>
                </c:pt>
                <c:pt idx="5">
                  <c:v>2025</c:v>
                </c:pt>
              </c:strCache>
            </c:strRef>
          </c:cat>
          <c:val>
            <c:numRef>
              <c:f>'Po tarifni skupini 2020-2025'!$B$3:$G$3</c:f>
              <c:numCache>
                <c:formatCode>#,##0</c:formatCode>
                <c:ptCount val="6"/>
                <c:pt idx="0">
                  <c:v>4</c:v>
                </c:pt>
                <c:pt idx="1">
                  <c:v>4</c:v>
                </c:pt>
                <c:pt idx="2">
                  <c:v>4</c:v>
                </c:pt>
                <c:pt idx="3">
                  <c:v>4</c:v>
                </c:pt>
                <c:pt idx="4">
                  <c:v>4</c:v>
                </c:pt>
                <c:pt idx="5">
                  <c:v>3</c:v>
                </c:pt>
              </c:numCache>
            </c:numRef>
          </c:val>
          <c:extLst>
            <c:ext xmlns:c16="http://schemas.microsoft.com/office/drawing/2014/chart" uri="{C3380CC4-5D6E-409C-BE32-E72D297353CC}">
              <c16:uniqueId val="{00000001-757E-44D4-A5B2-F12F5AAC45EC}"/>
            </c:ext>
          </c:extLst>
        </c:ser>
        <c:ser>
          <c:idx val="2"/>
          <c:order val="2"/>
          <c:tx>
            <c:strRef>
              <c:f>'Po tarifni skupini 2020-2025'!$A$4</c:f>
              <c:strCache>
                <c:ptCount val="1"/>
                <c:pt idx="0">
                  <c:v>IV.</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 tarifni skupini 2020-2025'!$B$1:$G$1</c:f>
              <c:strCache>
                <c:ptCount val="6"/>
                <c:pt idx="0">
                  <c:v>2020</c:v>
                </c:pt>
                <c:pt idx="1">
                  <c:v>2021</c:v>
                </c:pt>
                <c:pt idx="2">
                  <c:v>2022</c:v>
                </c:pt>
                <c:pt idx="3">
                  <c:v>2023</c:v>
                </c:pt>
                <c:pt idx="4">
                  <c:v>2024</c:v>
                </c:pt>
                <c:pt idx="5">
                  <c:v>2025</c:v>
                </c:pt>
              </c:strCache>
            </c:strRef>
          </c:cat>
          <c:val>
            <c:numRef>
              <c:f>'Po tarifni skupini 2020-2025'!$B$4:$G$4</c:f>
              <c:numCache>
                <c:formatCode>#,##0</c:formatCode>
                <c:ptCount val="6"/>
                <c:pt idx="0">
                  <c:v>17</c:v>
                </c:pt>
                <c:pt idx="1">
                  <c:v>16</c:v>
                </c:pt>
                <c:pt idx="2">
                  <c:v>15</c:v>
                </c:pt>
                <c:pt idx="3">
                  <c:v>14</c:v>
                </c:pt>
                <c:pt idx="4">
                  <c:v>12</c:v>
                </c:pt>
                <c:pt idx="5">
                  <c:v>9</c:v>
                </c:pt>
              </c:numCache>
            </c:numRef>
          </c:val>
          <c:extLst>
            <c:ext xmlns:c16="http://schemas.microsoft.com/office/drawing/2014/chart" uri="{C3380CC4-5D6E-409C-BE32-E72D297353CC}">
              <c16:uniqueId val="{00000002-757E-44D4-A5B2-F12F5AAC45EC}"/>
            </c:ext>
          </c:extLst>
        </c:ser>
        <c:ser>
          <c:idx val="3"/>
          <c:order val="3"/>
          <c:tx>
            <c:strRef>
              <c:f>'Po tarifni skupini 2020-2025'!$A$5</c:f>
              <c:strCache>
                <c:ptCount val="1"/>
                <c:pt idx="0">
                  <c:v>V.</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 tarifni skupini 2020-2025'!$B$1:$G$1</c:f>
              <c:strCache>
                <c:ptCount val="6"/>
                <c:pt idx="0">
                  <c:v>2020</c:v>
                </c:pt>
                <c:pt idx="1">
                  <c:v>2021</c:v>
                </c:pt>
                <c:pt idx="2">
                  <c:v>2022</c:v>
                </c:pt>
                <c:pt idx="3">
                  <c:v>2023</c:v>
                </c:pt>
                <c:pt idx="4">
                  <c:v>2024</c:v>
                </c:pt>
                <c:pt idx="5">
                  <c:v>2025</c:v>
                </c:pt>
              </c:strCache>
            </c:strRef>
          </c:cat>
          <c:val>
            <c:numRef>
              <c:f>'Po tarifni skupini 2020-2025'!$B$5:$G$5</c:f>
              <c:numCache>
                <c:formatCode>#,##0</c:formatCode>
                <c:ptCount val="6"/>
                <c:pt idx="0">
                  <c:v>652</c:v>
                </c:pt>
                <c:pt idx="1">
                  <c:v>638</c:v>
                </c:pt>
                <c:pt idx="2">
                  <c:v>617</c:v>
                </c:pt>
                <c:pt idx="3">
                  <c:v>542</c:v>
                </c:pt>
                <c:pt idx="4">
                  <c:v>504</c:v>
                </c:pt>
                <c:pt idx="5">
                  <c:v>420</c:v>
                </c:pt>
              </c:numCache>
            </c:numRef>
          </c:val>
          <c:extLst>
            <c:ext xmlns:c16="http://schemas.microsoft.com/office/drawing/2014/chart" uri="{C3380CC4-5D6E-409C-BE32-E72D297353CC}">
              <c16:uniqueId val="{00000003-757E-44D4-A5B2-F12F5AAC45EC}"/>
            </c:ext>
          </c:extLst>
        </c:ser>
        <c:ser>
          <c:idx val="4"/>
          <c:order val="4"/>
          <c:tx>
            <c:strRef>
              <c:f>'Po tarifni skupini 2020-2025'!$A$6</c:f>
              <c:strCache>
                <c:ptCount val="1"/>
                <c:pt idx="0">
                  <c:v>VI.</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 tarifni skupini 2020-2025'!$B$1:$G$1</c:f>
              <c:strCache>
                <c:ptCount val="6"/>
                <c:pt idx="0">
                  <c:v>2020</c:v>
                </c:pt>
                <c:pt idx="1">
                  <c:v>2021</c:v>
                </c:pt>
                <c:pt idx="2">
                  <c:v>2022</c:v>
                </c:pt>
                <c:pt idx="3">
                  <c:v>2023</c:v>
                </c:pt>
                <c:pt idx="4">
                  <c:v>2024</c:v>
                </c:pt>
                <c:pt idx="5">
                  <c:v>2025</c:v>
                </c:pt>
              </c:strCache>
            </c:strRef>
          </c:cat>
          <c:val>
            <c:numRef>
              <c:f>'Po tarifni skupini 2020-2025'!$B$6:$G$6</c:f>
              <c:numCache>
                <c:formatCode>#,##0</c:formatCode>
                <c:ptCount val="6"/>
                <c:pt idx="0">
                  <c:v>127</c:v>
                </c:pt>
                <c:pt idx="1">
                  <c:v>129</c:v>
                </c:pt>
                <c:pt idx="2">
                  <c:v>129</c:v>
                </c:pt>
                <c:pt idx="3">
                  <c:v>134</c:v>
                </c:pt>
                <c:pt idx="4">
                  <c:v>134</c:v>
                </c:pt>
                <c:pt idx="5">
                  <c:v>197</c:v>
                </c:pt>
              </c:numCache>
            </c:numRef>
          </c:val>
          <c:extLst>
            <c:ext xmlns:c16="http://schemas.microsoft.com/office/drawing/2014/chart" uri="{C3380CC4-5D6E-409C-BE32-E72D297353CC}">
              <c16:uniqueId val="{00000004-757E-44D4-A5B2-F12F5AAC45EC}"/>
            </c:ext>
          </c:extLst>
        </c:ser>
        <c:ser>
          <c:idx val="5"/>
          <c:order val="5"/>
          <c:tx>
            <c:strRef>
              <c:f>'Po tarifni skupini 2020-2025'!$A$7</c:f>
              <c:strCache>
                <c:ptCount val="1"/>
                <c:pt idx="0">
                  <c:v>VII/1.</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 tarifni skupini 2020-2025'!$B$1:$G$1</c:f>
              <c:strCache>
                <c:ptCount val="6"/>
                <c:pt idx="0">
                  <c:v>2020</c:v>
                </c:pt>
                <c:pt idx="1">
                  <c:v>2021</c:v>
                </c:pt>
                <c:pt idx="2">
                  <c:v>2022</c:v>
                </c:pt>
                <c:pt idx="3">
                  <c:v>2023</c:v>
                </c:pt>
                <c:pt idx="4">
                  <c:v>2024</c:v>
                </c:pt>
                <c:pt idx="5">
                  <c:v>2025</c:v>
                </c:pt>
              </c:strCache>
            </c:strRef>
          </c:cat>
          <c:val>
            <c:numRef>
              <c:f>'Po tarifni skupini 2020-2025'!$B$7:$G$7</c:f>
              <c:numCache>
                <c:formatCode>#,##0</c:formatCode>
                <c:ptCount val="6"/>
                <c:pt idx="0">
                  <c:v>1439</c:v>
                </c:pt>
                <c:pt idx="1">
                  <c:v>1466</c:v>
                </c:pt>
                <c:pt idx="2">
                  <c:v>1548</c:v>
                </c:pt>
                <c:pt idx="3">
                  <c:v>1616</c:v>
                </c:pt>
                <c:pt idx="4">
                  <c:v>1635</c:v>
                </c:pt>
                <c:pt idx="5">
                  <c:v>1666</c:v>
                </c:pt>
              </c:numCache>
            </c:numRef>
          </c:val>
          <c:extLst>
            <c:ext xmlns:c16="http://schemas.microsoft.com/office/drawing/2014/chart" uri="{C3380CC4-5D6E-409C-BE32-E72D297353CC}">
              <c16:uniqueId val="{00000005-757E-44D4-A5B2-F12F5AAC45EC}"/>
            </c:ext>
          </c:extLst>
        </c:ser>
        <c:ser>
          <c:idx val="6"/>
          <c:order val="6"/>
          <c:tx>
            <c:strRef>
              <c:f>'Po tarifni skupini 2020-2025'!$A$8</c:f>
              <c:strCache>
                <c:ptCount val="1"/>
                <c:pt idx="0">
                  <c:v>VII/2.</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 tarifni skupini 2020-2025'!$B$1:$G$1</c:f>
              <c:strCache>
                <c:ptCount val="6"/>
                <c:pt idx="0">
                  <c:v>2020</c:v>
                </c:pt>
                <c:pt idx="1">
                  <c:v>2021</c:v>
                </c:pt>
                <c:pt idx="2">
                  <c:v>2022</c:v>
                </c:pt>
                <c:pt idx="3">
                  <c:v>2023</c:v>
                </c:pt>
                <c:pt idx="4">
                  <c:v>2024</c:v>
                </c:pt>
                <c:pt idx="5">
                  <c:v>2025</c:v>
                </c:pt>
              </c:strCache>
            </c:strRef>
          </c:cat>
          <c:val>
            <c:numRef>
              <c:f>'Po tarifni skupini 2020-2025'!$B$8:$G$8</c:f>
              <c:numCache>
                <c:formatCode>#,##0</c:formatCode>
                <c:ptCount val="6"/>
                <c:pt idx="0">
                  <c:v>63</c:v>
                </c:pt>
                <c:pt idx="1">
                  <c:v>63</c:v>
                </c:pt>
                <c:pt idx="2">
                  <c:v>63</c:v>
                </c:pt>
                <c:pt idx="3">
                  <c:v>63</c:v>
                </c:pt>
                <c:pt idx="4">
                  <c:v>64</c:v>
                </c:pt>
                <c:pt idx="5">
                  <c:v>133</c:v>
                </c:pt>
              </c:numCache>
            </c:numRef>
          </c:val>
          <c:extLst>
            <c:ext xmlns:c16="http://schemas.microsoft.com/office/drawing/2014/chart" uri="{C3380CC4-5D6E-409C-BE32-E72D297353CC}">
              <c16:uniqueId val="{00000006-757E-44D4-A5B2-F12F5AAC45EC}"/>
            </c:ext>
          </c:extLst>
        </c:ser>
        <c:dLbls>
          <c:showLegendKey val="0"/>
          <c:showVal val="0"/>
          <c:showCatName val="0"/>
          <c:showSerName val="0"/>
          <c:showPercent val="0"/>
          <c:showBubbleSize val="0"/>
        </c:dLbls>
        <c:gapWidth val="182"/>
        <c:axId val="517896784"/>
        <c:axId val="517895824"/>
      </c:barChart>
      <c:catAx>
        <c:axId val="5178967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l-SI"/>
                  <a:t>Leto</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17895824"/>
        <c:crosses val="autoZero"/>
        <c:auto val="1"/>
        <c:lblAlgn val="ctr"/>
        <c:lblOffset val="100"/>
        <c:noMultiLvlLbl val="0"/>
      </c:catAx>
      <c:valAx>
        <c:axId val="5178958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l-SI"/>
                  <a:t>Št.</a:t>
                </a:r>
                <a:r>
                  <a:rPr lang="sl-SI" baseline="0"/>
                  <a:t> JU</a:t>
                </a:r>
                <a:endParaRPr lang="sl-SI"/>
              </a:p>
            </c:rich>
          </c:tx>
          <c:layout>
            <c:manualLayout>
              <c:xMode val="edge"/>
              <c:yMode val="edge"/>
              <c:x val="0.46485435201983605"/>
              <c:y val="0.8336398190678782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517896784"/>
        <c:crosses val="autoZero"/>
        <c:crossBetween val="between"/>
      </c:valAx>
      <c:spPr>
        <a:noFill/>
        <a:ln>
          <a:noFill/>
        </a:ln>
        <a:effectLst/>
      </c:spPr>
    </c:plotArea>
    <c:legend>
      <c:legendPos val="b"/>
      <c:layout>
        <c:manualLayout>
          <c:xMode val="edge"/>
          <c:yMode val="edge"/>
          <c:x val="0.27874905257930077"/>
          <c:y val="0.90755660492933443"/>
          <c:w val="0.43779471964686456"/>
          <c:h val="6.819607237921285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col"/>
        <c:grouping val="clustered"/>
        <c:varyColors val="0"/>
        <c:ser>
          <c:idx val="0"/>
          <c:order val="0"/>
          <c:tx>
            <c:strRef>
              <c:f>'podatki za 3 leta'!$D$1</c:f>
              <c:strCache>
                <c:ptCount val="1"/>
                <c:pt idx="0">
                  <c:v>Število upravnih zadev, začetih v poročevalnem obdobju</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'podatki za 3 leta'!$A$2:$A$4</c:f>
              <c:numCache>
                <c:formatCode>General</c:formatCode>
                <c:ptCount val="3"/>
                <c:pt idx="0">
                  <c:v>2023</c:v>
                </c:pt>
                <c:pt idx="1">
                  <c:v>2024</c:v>
                </c:pt>
                <c:pt idx="2">
                  <c:v>2025</c:v>
                </c:pt>
              </c:numCache>
            </c:numRef>
          </c:cat>
          <c:val>
            <c:numRef>
              <c:f>'podatki za 3 leta'!$D$2:$D$4</c:f>
              <c:numCache>
                <c:formatCode>_-* #,##0_-;\-* #,##0_-;_-* "-"??_-;_-@_-</c:formatCode>
                <c:ptCount val="3"/>
                <c:pt idx="0">
                  <c:v>1362117</c:v>
                </c:pt>
                <c:pt idx="1">
                  <c:v>1278874</c:v>
                </c:pt>
                <c:pt idx="2">
                  <c:v>1274919</c:v>
                </c:pt>
              </c:numCache>
            </c:numRef>
          </c:val>
          <c:extLst>
            <c:ext xmlns:c16="http://schemas.microsoft.com/office/drawing/2014/chart" uri="{C3380CC4-5D6E-409C-BE32-E72D297353CC}">
              <c16:uniqueId val="{00000000-EA8B-4C1B-81C0-0A4E2B2F7296}"/>
            </c:ext>
          </c:extLst>
        </c:ser>
        <c:dLbls>
          <c:dLblPos val="outEnd"/>
          <c:showLegendKey val="0"/>
          <c:showVal val="1"/>
          <c:showCatName val="0"/>
          <c:showSerName val="0"/>
          <c:showPercent val="0"/>
          <c:showBubbleSize val="0"/>
        </c:dLbls>
        <c:gapWidth val="219"/>
        <c:overlap val="-27"/>
        <c:axId val="681448504"/>
        <c:axId val="681449224"/>
      </c:barChart>
      <c:catAx>
        <c:axId val="681448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681449224"/>
        <c:crosses val="autoZero"/>
        <c:auto val="1"/>
        <c:lblAlgn val="ctr"/>
        <c:lblOffset val="100"/>
        <c:noMultiLvlLbl val="0"/>
      </c:catAx>
      <c:valAx>
        <c:axId val="681449224"/>
        <c:scaling>
          <c:orientation val="minMax"/>
        </c:scaling>
        <c:delete val="0"/>
        <c:axPos val="l"/>
        <c:majorGridlines>
          <c:spPr>
            <a:ln w="9525" cap="flat" cmpd="sng" algn="ctr">
              <a:solidFill>
                <a:schemeClr val="tx1">
                  <a:lumMod val="15000"/>
                  <a:lumOff val="85000"/>
                </a:schemeClr>
              </a:solidFill>
              <a:round/>
            </a:ln>
            <a:effectLst/>
          </c:spPr>
        </c:majorGridlines>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681448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col"/>
        <c:grouping val="clustered"/>
        <c:varyColors val="0"/>
        <c:ser>
          <c:idx val="0"/>
          <c:order val="0"/>
          <c:tx>
            <c:strRef>
              <c:f>'podatki za 3 leta'!$I$1</c:f>
              <c:strCache>
                <c:ptCount val="1"/>
                <c:pt idx="0">
                  <c:v>Število zaostankov
(nerešene zadeve s pretečenim rokom za rešitev)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'podatki za 3 leta'!$A$2:$A$4</c:f>
              <c:numCache>
                <c:formatCode>General</c:formatCode>
                <c:ptCount val="3"/>
                <c:pt idx="0">
                  <c:v>2023</c:v>
                </c:pt>
                <c:pt idx="1">
                  <c:v>2024</c:v>
                </c:pt>
                <c:pt idx="2">
                  <c:v>2025</c:v>
                </c:pt>
              </c:numCache>
            </c:numRef>
          </c:cat>
          <c:val>
            <c:numRef>
              <c:f>'podatki za 3 leta'!$I$2:$I$4</c:f>
              <c:numCache>
                <c:formatCode>_-* #,##0_-;\-* #,##0_-;_-* "-"??_-;_-@_-</c:formatCode>
                <c:ptCount val="3"/>
                <c:pt idx="0">
                  <c:v>5154</c:v>
                </c:pt>
                <c:pt idx="1">
                  <c:v>18336</c:v>
                </c:pt>
                <c:pt idx="2">
                  <c:v>8532</c:v>
                </c:pt>
              </c:numCache>
            </c:numRef>
          </c:val>
          <c:extLst>
            <c:ext xmlns:c16="http://schemas.microsoft.com/office/drawing/2014/chart" uri="{C3380CC4-5D6E-409C-BE32-E72D297353CC}">
              <c16:uniqueId val="{00000000-96B8-45EA-9B6C-0C2846B51B03}"/>
            </c:ext>
          </c:extLst>
        </c:ser>
        <c:dLbls>
          <c:dLblPos val="outEnd"/>
          <c:showLegendKey val="0"/>
          <c:showVal val="1"/>
          <c:showCatName val="0"/>
          <c:showSerName val="0"/>
          <c:showPercent val="0"/>
          <c:showBubbleSize val="0"/>
        </c:dLbls>
        <c:gapWidth val="219"/>
        <c:overlap val="-27"/>
        <c:axId val="481795680"/>
        <c:axId val="481797480"/>
      </c:barChart>
      <c:catAx>
        <c:axId val="481795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481797480"/>
        <c:crosses val="autoZero"/>
        <c:auto val="1"/>
        <c:lblAlgn val="ctr"/>
        <c:lblOffset val="100"/>
        <c:noMultiLvlLbl val="0"/>
      </c:catAx>
      <c:valAx>
        <c:axId val="481797480"/>
        <c:scaling>
          <c:orientation val="minMax"/>
        </c:scaling>
        <c:delete val="0"/>
        <c:axPos val="l"/>
        <c:majorGridlines>
          <c:spPr>
            <a:ln w="9525" cap="flat" cmpd="sng" algn="ctr">
              <a:solidFill>
                <a:schemeClr val="tx1">
                  <a:lumMod val="15000"/>
                  <a:lumOff val="85000"/>
                </a:schemeClr>
              </a:solidFill>
              <a:round/>
            </a:ln>
            <a:effectLst/>
          </c:spPr>
        </c:majorGridlines>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481795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a:t>delež rešenih zadev v zakonitem roku</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barChart>
        <c:barDir val="col"/>
        <c:grouping val="clustered"/>
        <c:varyColors val="0"/>
        <c:ser>
          <c:idx val="0"/>
          <c:order val="0"/>
          <c:tx>
            <c:strRef>
              <c:f>'podatki za 3 leta'!$A$2</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'podatki za 3 leta'!$J$1</c:f>
              <c:strCache>
                <c:ptCount val="1"/>
                <c:pt idx="0">
                  <c:v>% rešenih v zakonitem roku</c:v>
                </c:pt>
              </c:strCache>
              <c:extLst/>
            </c:strRef>
          </c:cat>
          <c:val>
            <c:numRef>
              <c:f>'podatki za 3 leta'!$J$2</c:f>
              <c:numCache>
                <c:formatCode>0.00%</c:formatCode>
                <c:ptCount val="1"/>
                <c:pt idx="0">
                  <c:v>0.92548049150193679</c:v>
                </c:pt>
              </c:numCache>
              <c:extLst/>
            </c:numRef>
          </c:val>
          <c:extLst>
            <c:ext xmlns:c16="http://schemas.microsoft.com/office/drawing/2014/chart" uri="{C3380CC4-5D6E-409C-BE32-E72D297353CC}">
              <c16:uniqueId val="{00000000-FE0B-43A7-B39B-8E515F2615DB}"/>
            </c:ext>
          </c:extLst>
        </c:ser>
        <c:ser>
          <c:idx val="1"/>
          <c:order val="1"/>
          <c:tx>
            <c:strRef>
              <c:f>'podatki za 3 leta'!$A$3</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'podatki za 3 leta'!$J$1</c:f>
              <c:strCache>
                <c:ptCount val="1"/>
                <c:pt idx="0">
                  <c:v>% rešenih v zakonitem roku</c:v>
                </c:pt>
              </c:strCache>
              <c:extLst/>
            </c:strRef>
          </c:cat>
          <c:val>
            <c:numRef>
              <c:f>'podatki za 3 leta'!$J$3</c:f>
              <c:numCache>
                <c:formatCode>0.00%</c:formatCode>
                <c:ptCount val="1"/>
                <c:pt idx="0">
                  <c:v>0.91909758911138639</c:v>
                </c:pt>
              </c:numCache>
              <c:extLst/>
            </c:numRef>
          </c:val>
          <c:extLst>
            <c:ext xmlns:c16="http://schemas.microsoft.com/office/drawing/2014/chart" uri="{C3380CC4-5D6E-409C-BE32-E72D297353CC}">
              <c16:uniqueId val="{00000001-FE0B-43A7-B39B-8E515F2615DB}"/>
            </c:ext>
          </c:extLst>
        </c:ser>
        <c:ser>
          <c:idx val="2"/>
          <c:order val="2"/>
          <c:tx>
            <c:strRef>
              <c:f>'podatki za 3 leta'!$A$4</c:f>
              <c:strCache>
                <c:ptCount val="1"/>
                <c:pt idx="0">
                  <c:v>2025</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'podatki za 3 leta'!$J$1</c:f>
              <c:strCache>
                <c:ptCount val="1"/>
                <c:pt idx="0">
                  <c:v>% rešenih v zakonitem roku</c:v>
                </c:pt>
              </c:strCache>
              <c:extLst/>
            </c:strRef>
          </c:cat>
          <c:val>
            <c:numRef>
              <c:f>'podatki za 3 leta'!$J$4</c:f>
              <c:numCache>
                <c:formatCode>0.00%</c:formatCode>
                <c:ptCount val="1"/>
                <c:pt idx="0">
                  <c:v>0.94587980621318768</c:v>
                </c:pt>
              </c:numCache>
              <c:extLst/>
            </c:numRef>
          </c:val>
          <c:extLst>
            <c:ext xmlns:c16="http://schemas.microsoft.com/office/drawing/2014/chart" uri="{C3380CC4-5D6E-409C-BE32-E72D297353CC}">
              <c16:uniqueId val="{00000002-FE0B-43A7-B39B-8E515F2615DB}"/>
            </c:ext>
          </c:extLst>
        </c:ser>
        <c:dLbls>
          <c:dLblPos val="outEnd"/>
          <c:showLegendKey val="0"/>
          <c:showVal val="1"/>
          <c:showCatName val="0"/>
          <c:showSerName val="0"/>
          <c:showPercent val="0"/>
          <c:showBubbleSize val="0"/>
        </c:dLbls>
        <c:gapWidth val="219"/>
        <c:overlap val="-27"/>
        <c:axId val="675098664"/>
        <c:axId val="675101544"/>
      </c:barChart>
      <c:catAx>
        <c:axId val="675098664"/>
        <c:scaling>
          <c:orientation val="minMax"/>
        </c:scaling>
        <c:delete val="1"/>
        <c:axPos val="b"/>
        <c:numFmt formatCode="General" sourceLinked="1"/>
        <c:majorTickMark val="none"/>
        <c:minorTickMark val="none"/>
        <c:tickLblPos val="nextTo"/>
        <c:crossAx val="675101544"/>
        <c:crosses val="autoZero"/>
        <c:auto val="1"/>
        <c:lblAlgn val="ctr"/>
        <c:lblOffset val="100"/>
        <c:noMultiLvlLbl val="0"/>
      </c:catAx>
      <c:valAx>
        <c:axId val="67510154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675098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2013–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2013–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23B8946-F3D3-4047-9757-C806BF6DA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MJU</Template>
  <TotalTime>3</TotalTime>
  <Pages>25</Pages>
  <Words>9270</Words>
  <Characters>52842</Characters>
  <Application>Microsoft Office Word</Application>
  <DocSecurity>0</DocSecurity>
  <Lines>440</Lines>
  <Paragraphs>123</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61989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Kunej</dc:creator>
  <cp:keywords/>
  <cp:lastModifiedBy>Tatjana Verbič</cp:lastModifiedBy>
  <cp:revision>3</cp:revision>
  <cp:lastPrinted>2012-09-24T10:52:00Z</cp:lastPrinted>
  <dcterms:created xsi:type="dcterms:W3CDTF">2026-04-21T06:29:00Z</dcterms:created>
  <dcterms:modified xsi:type="dcterms:W3CDTF">2026-04-21T06:32:00Z</dcterms:modified>
</cp:coreProperties>
</file>