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76CE7257" w:rsidR="005346F5" w:rsidRDefault="005346F5" w:rsidP="005346F5">
      <w:pPr>
        <w:jc w:val="both"/>
        <w:rPr>
          <w:b/>
          <w:bCs/>
        </w:rPr>
      </w:pPr>
      <w:r w:rsidRPr="00742D71">
        <w:rPr>
          <w:b/>
          <w:bCs/>
        </w:rPr>
        <w:t xml:space="preserve">Datum: </w:t>
      </w:r>
      <w:r w:rsidR="00746C74">
        <w:rPr>
          <w:b/>
          <w:bCs/>
        </w:rPr>
        <w:t xml:space="preserve">september </w:t>
      </w:r>
      <w:r w:rsidR="00EB65C5">
        <w:rPr>
          <w:b/>
          <w:bCs/>
        </w:rPr>
        <w:t>2022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Ne glede na to koliko sredstev namerava organizator volilne kampanje porabiti (tudi če nič ne porabi in nič ne dobi), mora v skladu s 16. členom ZVRK odpreti poseben transakcijski račun z oznako ''za volilno kampanjo''. Namen tega je transparentnost financiranja volilnih kampanj, neodprtje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8. Kako je z zakonitostjo kandidatur pri lokalnih volitvah v primeru nepravočasnega odprtja ali neodprtja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facebook-u,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Če kandidat na facebook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skupnosti ali redarstvena služba lokalne skupnosti. Občinsko inšpekcijo kot prekrškovni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Njeno organizacijo in pristojnosti pa občinski predpis, s katerim je ustanovljena in občinski predpis, ki ureja plakatiranje. Redarstvena služba lokalne skupnosti je občinsko redarstvo, ki ga kot prekrškovni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V konkretnem primeru gre tako za vprašanje odstranjevanja plakatov, ki so nameščeni ali nalepljeni v nasprotju z določbami ZVRK, kot tudi za vprašanje vodenja postopka o prekršku na podlagi 40. člena ZVRK v zvezi s 33. členom ZVRK. Prekrškovni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Na podlagi navedenega je za vodenje postopka o prekršku in izdajo odločbe o prekršku iz 33. člena ZVRK pristojna občinska inšpekcija oziroma občinski inšpektor, razen če občinski odlok, ki ureja plakatiranje, določa da je za to pristojno občinsko redarstvo. Pristojni prekrškovni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(t.i. volilni molk). To v praksi pomeni, da se mora končati v noči s petka na soboto ob 24.00.</w:t>
      </w:r>
    </w:p>
    <w:p w14:paraId="58A53691" w14:textId="77777777" w:rsidR="005346F5" w:rsidRDefault="005346F5" w:rsidP="005346F5">
      <w:pPr>
        <w:jc w:val="both"/>
      </w:pPr>
      <w:r>
        <w:t>V 32. členu ZVRK je določen prekršek v primeru kršitve t.i.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Do aprila 2017 je t.i.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ZVRK izrecno ne ureja volilnega molka v elektronskih medijih, na drugih spletnih straneh, na. t.i.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Ips 31/2016 z dne 25. 8. 2016, kjer je mdr. opredelilo pojem »javne volilne propagande« katere konstitutivni elementi so vplivanje oz. poskus vplivanja, javnost, načrtno oz. sistematično ravnanje, propagandni namen itd).</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odl.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ipd).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3EE2E176" w:rsidR="008A32D3"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p w14:paraId="20F04A47" w14:textId="1277EBFA" w:rsidR="00FB2A02" w:rsidRDefault="00FB2A02" w:rsidP="005346F5">
      <w:pPr>
        <w:jc w:val="both"/>
      </w:pPr>
    </w:p>
    <w:p w14:paraId="1DA48301" w14:textId="77777777" w:rsidR="00FB2A02" w:rsidRDefault="00FB2A02" w:rsidP="005346F5">
      <w:pPr>
        <w:jc w:val="both"/>
      </w:pPr>
    </w:p>
    <w:p w14:paraId="67C42451" w14:textId="476C5761" w:rsidR="00FB2A02" w:rsidRDefault="00FB2A02" w:rsidP="00FB2A02">
      <w:pPr>
        <w:pStyle w:val="Naslov3"/>
        <w:jc w:val="both"/>
      </w:pPr>
      <w:r>
        <w:lastRenderedPageBreak/>
        <w:t xml:space="preserve">27. Ali lahko lokalna skupnost </w:t>
      </w:r>
      <w:r w:rsidRPr="00FB2A02">
        <w:t>zaračunava lepljenj</w:t>
      </w:r>
      <w:r>
        <w:t>e</w:t>
      </w:r>
      <w:r w:rsidRPr="00FB2A02">
        <w:t xml:space="preserve"> - nameščanj</w:t>
      </w:r>
      <w:r>
        <w:t>e</w:t>
      </w:r>
      <w:r w:rsidRPr="00FB2A02">
        <w:t>,</w:t>
      </w:r>
      <w:r>
        <w:t xml:space="preserve"> </w:t>
      </w:r>
      <w:r w:rsidRPr="00FB2A02">
        <w:t>razobešanja in odstranjevanja plakatov z oglaševalskimi vsebinami za volilno kampanjo</w:t>
      </w:r>
      <w:r>
        <w:t>?</w:t>
      </w:r>
    </w:p>
    <w:p w14:paraId="33B5241F" w14:textId="77777777" w:rsidR="00281665" w:rsidRPr="00281665" w:rsidRDefault="00281665" w:rsidP="00281665">
      <w:pPr>
        <w:spacing w:after="0" w:line="240" w:lineRule="auto"/>
      </w:pPr>
      <w:r w:rsidRPr="00281665">
        <w:t>ZVRK določa, da organizatorji volilne kampanje lahko uporabijo naslednje plakatna mesta:</w:t>
      </w:r>
    </w:p>
    <w:p w14:paraId="473796B2" w14:textId="77777777" w:rsidR="00281665" w:rsidRPr="00281665" w:rsidRDefault="00281665" w:rsidP="00281665">
      <w:pPr>
        <w:numPr>
          <w:ilvl w:val="0"/>
          <w:numId w:val="10"/>
        </w:numPr>
        <w:spacing w:after="0" w:line="240" w:lineRule="auto"/>
      </w:pPr>
      <w:r w:rsidRPr="00281665">
        <w:t>brezplačna plakatna mesta, ki jih mora določiti lokalna skupnost,</w:t>
      </w:r>
    </w:p>
    <w:p w14:paraId="3A9D17E9" w14:textId="77777777" w:rsidR="00281665" w:rsidRPr="00281665" w:rsidRDefault="00281665" w:rsidP="00281665">
      <w:pPr>
        <w:numPr>
          <w:ilvl w:val="0"/>
          <w:numId w:val="10"/>
        </w:numPr>
        <w:spacing w:after="0" w:line="240" w:lineRule="auto"/>
      </w:pPr>
      <w:r w:rsidRPr="00281665">
        <w:t>odplačna plakatna mesta, ki jih lahko določi lokalna skupnost in</w:t>
      </w:r>
    </w:p>
    <w:p w14:paraId="39EC74D7" w14:textId="630DA153" w:rsidR="00281665" w:rsidRDefault="00281665" w:rsidP="00281665">
      <w:pPr>
        <w:numPr>
          <w:ilvl w:val="0"/>
          <w:numId w:val="10"/>
        </w:numPr>
        <w:spacing w:after="0" w:line="240" w:lineRule="auto"/>
      </w:pPr>
      <w:r w:rsidRPr="00281665">
        <w:t>privatna plakatna mesta v soglasju z lastnikom oziroma upravljavcem reklamnih tabel, stavb, drugih objektov ali zemljišč.</w:t>
      </w:r>
    </w:p>
    <w:p w14:paraId="1CF2D2FB" w14:textId="77777777" w:rsidR="00281665" w:rsidRPr="00281665" w:rsidRDefault="00281665" w:rsidP="00281665">
      <w:pPr>
        <w:spacing w:after="0" w:line="240" w:lineRule="auto"/>
        <w:ind w:left="720"/>
      </w:pPr>
    </w:p>
    <w:p w14:paraId="44AEC796" w14:textId="2A94BB41" w:rsidR="00281665" w:rsidRPr="00281665" w:rsidRDefault="00281665" w:rsidP="00281665">
      <w:pPr>
        <w:jc w:val="both"/>
      </w:pPr>
      <w:r w:rsidRPr="00281665">
        <w:t xml:space="preserve">Lokalna skupnost </w:t>
      </w:r>
      <w:r w:rsidRPr="00281665">
        <w:rPr>
          <w:b/>
          <w:bCs/>
        </w:rPr>
        <w:t>mora</w:t>
      </w:r>
      <w:r w:rsidRPr="00281665">
        <w:t xml:space="preserve"> najkasneje 60 dni pred dnem glasovanja na volitvah javno objaviti pogoje za pridobitev pravice do uporabe brezplačnih plakatnih mest. Pri dodeljevanju tovrstnih plakatnih mest mora biti upoštevano načelo enakopravnosti, v okviru tega pa se mora zagotoviti nek minimum oglasnega prostora, ki omogoča zadosten obseg osnovnega informiranja volivcev v lokalni skupnosti. </w:t>
      </w:r>
      <w:r w:rsidRPr="00281665">
        <w:rPr>
          <w:b/>
          <w:bCs/>
        </w:rPr>
        <w:t>Dodeljevanje brezplačnih plakatnih mest s strani občin je zakonsko določena izjema od splošne prepovedi financiranja volilne kampanje iz javnih sredstev z namenom, da se lahko volivcem v lokalni skupnosti predstavijo vse liste kandidatov ali kandidati tudi tisti, ki imajo zelo omejena sredstva za kampanjo.</w:t>
      </w:r>
      <w:r w:rsidRPr="00281665">
        <w:t xml:space="preserve"> Lokalna skupnost pa lahko, če se za to odloči, poleg tega minimuma določi tudi dodatna plakatna mesta, ki so organizatorjem kampanje na razpolago le pod določenimi pogoji in proti plačilu.</w:t>
      </w:r>
      <w:r w:rsidRPr="00281665">
        <w:rPr>
          <w:vertAlign w:val="superscript"/>
        </w:rPr>
        <w:footnoteReference w:id="1"/>
      </w:r>
      <w:r w:rsidRPr="00281665">
        <w:t xml:space="preserve"> Namen predhodne določitve in objave pravil je, da se organizatorji lahko predhodno seznanijo z njimi in to tudi upoštevajo pri načrtovanju kampanje.</w:t>
      </w:r>
    </w:p>
    <w:p w14:paraId="6C2961A3" w14:textId="30D209AF" w:rsidR="00AE6A4B" w:rsidRDefault="00EB65C5" w:rsidP="00DF72CD">
      <w:pPr>
        <w:jc w:val="both"/>
      </w:pPr>
      <w:r w:rsidRPr="00EB65C5">
        <w:t>Glede na navedeno zakonsko ureditev menimo, da lokalna skupnost lahko organizatorju volilne kampanje zaračuna nameščanje in odstranjevanje plakatov le v okviru kvote odplačnih plakatnih mest, ki jih organizatorjem ponudi na razpolago. Tudi če bo javno podjetje nameščalo in lepilo plakate vsem organizatorjem volilne kampanje, ki so jim dodeljena brezplačna plakatna mesta, mora občina sama kriti stroške, ki pri tem nastanejo. Pod pogoji iz 11. člena ZVRK pa je upravičeno zaračunati organizatorju volilne kampanje globo (v prekrškovnem</w:t>
      </w:r>
      <w:r>
        <w:t xml:space="preserve"> </w:t>
      </w:r>
      <w:r w:rsidRPr="00EB65C5">
        <w:t>postopku v skladu s 33. členom ZVRK) in strošek odstranitve plakatov in sicer tudi za plakate na zasebnih zemljiščih, če je imel organizator na voljo zakonski rok, v katerem bi odstranitev lahko izvedel sam.</w:t>
      </w:r>
    </w:p>
    <w:p w14:paraId="0E373928" w14:textId="77777777" w:rsidR="00EB65C5" w:rsidRDefault="00EB65C5" w:rsidP="00DF72CD">
      <w:pPr>
        <w:jc w:val="both"/>
      </w:pPr>
    </w:p>
    <w:p w14:paraId="50826D0E" w14:textId="11727B58" w:rsidR="00AE6A4B" w:rsidRDefault="00AE6A4B" w:rsidP="00AE6A4B">
      <w:pPr>
        <w:pStyle w:val="Naslov3"/>
        <w:spacing w:line="240" w:lineRule="auto"/>
        <w:jc w:val="both"/>
      </w:pPr>
      <w:bookmarkStart w:id="0" w:name="_Hlk114828084"/>
      <w:r>
        <w:t>28. Ali je občina zavezana k povračilu stroškov volilne kampanje oziroma ali mora občina sprejeti sklep o delnem povračilu stroškov? Ali mora občinski svet za vsake redne lokalne volitve ponovno sprejeti nov sklep o delnem povračilu stroškov volilne kampanje?</w:t>
      </w:r>
    </w:p>
    <w:bookmarkEnd w:id="0"/>
    <w:p w14:paraId="2802FD39" w14:textId="77986BF3" w:rsidR="00AE6A4B" w:rsidRDefault="00AE6A4B" w:rsidP="00AE6A4B">
      <w:pPr>
        <w:spacing w:line="240" w:lineRule="auto"/>
        <w:jc w:val="both"/>
      </w:pPr>
      <w:r>
        <w:t xml:space="preserve">ZVRK zahteva, da mora lokalna skupnost pred začetkom volilne kampanje določiti višino delnega povračila stroškov organizatorjem volilne kampanje in pri tem določa, da lahko lokalna skupnost določi, da pripada delno povračilo stroškov samo organizatorjem, ki so jim pripadli mandati v predstavniškem organu lokalne skupnosti, in samo organizatorjem kampanje za individualni organ lokalne skupnosti, katerih kandidati so dosegli predpisan % od skupnega števila volilnih upravičencev. ZVRK tudi določa kriterije za določitev višine delnega povračila stroškov organizatorjem volilne kampanje na lokalnih volitvah. Pri povračilu stroškov je tudi pomembno, da skupni znesek povrnjenih stroškov ne sme preseči zneska porabljenih sredstev, razvidnega iz poročila o financiranju volilne kampanje. </w:t>
      </w:r>
    </w:p>
    <w:p w14:paraId="7C8577B5" w14:textId="2D7240DD" w:rsidR="00AE6A4B" w:rsidRDefault="00AE6A4B" w:rsidP="00AE6A4B">
      <w:pPr>
        <w:spacing w:line="240" w:lineRule="auto"/>
        <w:jc w:val="both"/>
      </w:pPr>
      <w:r>
        <w:t xml:space="preserve">Odločitev o tem, ali bo občina uvedla delno povračilo, je v njeni pristojnosti, če pa ga uvede, ga mora na način kot je določen v 28. členu ZVRK, torej v rokih kot jih določa ZVRK in za vsake volitve posebej. Če občinski svet sprejme akt, ki se ne omejuje na konkretne volitve in vsebuje </w:t>
      </w:r>
      <w:r>
        <w:lastRenderedPageBreak/>
        <w:t xml:space="preserve">nedvoumno višino povračila stroškov ter je v skladu z veljavno zakonodajo, menimo, da bi lahko ta sklep ostal v veljavi vse do preklica. V tem primeru mora občina za vsake lokalne volitve najkasneje 31 dni pred dnem glasovanja na svoji spletni strani na vidnem mestu objaviti obvestilo o tem, kateri sklep o povračilu stroškov trenutno velja. </w:t>
      </w:r>
    </w:p>
    <w:p w14:paraId="132F343B" w14:textId="77777777" w:rsidR="00EB65C5" w:rsidRDefault="00EB65C5" w:rsidP="00AE6A4B">
      <w:pPr>
        <w:spacing w:line="240" w:lineRule="auto"/>
        <w:jc w:val="both"/>
      </w:pPr>
    </w:p>
    <w:p w14:paraId="3851E49E" w14:textId="267E4F4F" w:rsidR="00AE6A4B" w:rsidRPr="00AE6A4B" w:rsidRDefault="00AE6A4B" w:rsidP="00AE6A4B">
      <w:pPr>
        <w:pStyle w:val="Naslov3"/>
        <w:spacing w:line="240" w:lineRule="auto"/>
        <w:jc w:val="both"/>
      </w:pPr>
      <w:bookmarkStart w:id="1" w:name="_Hlk114828146"/>
      <w:r>
        <w:t>29. Kakšne so omejitve stroškov volilne kampanje?</w:t>
      </w:r>
    </w:p>
    <w:bookmarkEnd w:id="1"/>
    <w:p w14:paraId="768C66B1" w14:textId="056441F6" w:rsidR="00AE6A4B" w:rsidRDefault="00AE6A4B" w:rsidP="00AE6A4B">
      <w:pPr>
        <w:spacing w:line="240" w:lineRule="auto"/>
        <w:jc w:val="both"/>
      </w:pPr>
      <w:r>
        <w:t xml:space="preserve">Omejitve pri porabi sredstev za volilno kampanjo so določene tako, da stroški volilne kampanje za volitve ne smejo preseči zneskov, ki so določeni v 23. členu ZVRK, tako npr. za volitve v predstavniški organ lokalne skupnosti ne smejo preseči 0,40 eura na posameznega volilnega upravičenca v lokalni skupnosti, stroški volilne kampanje za volitve individualno voljenega organa lokalne skupnosti pa ne smejo preseči 0,25 eura na posameznega volilnega upravičenca v lokalni skupnosti, pri tem pa se, če pride do drugega kroga glasovanja, stroški volilne kampanje za kandidata, ki na tem glasovanju kandidirata, lahko povečajo še za 0,15 eura na posameznega volilnega upravičenca v lokalni skupnosti. </w:t>
      </w:r>
    </w:p>
    <w:p w14:paraId="034C91D0" w14:textId="77777777" w:rsidR="00AE6A4B" w:rsidRDefault="00AE6A4B" w:rsidP="00AE6A4B">
      <w:pPr>
        <w:spacing w:line="240" w:lineRule="auto"/>
        <w:jc w:val="both"/>
      </w:pPr>
      <w:r>
        <w:t xml:space="preserve">Za namen izračuna Ministrstvo za notranje zadeve objavi na dan, ki je določen za začetek volilnih opravil, na svojih spletnih straneh število volilnih upravičencev v lokalni skupnosti (za lokalne volitve) oziroma druge predpisana podatke za ostale volitve. </w:t>
      </w:r>
    </w:p>
    <w:p w14:paraId="2B828632" w14:textId="77777777" w:rsidR="00AE6A4B" w:rsidRDefault="00AE6A4B" w:rsidP="00AE6A4B">
      <w:pPr>
        <w:spacing w:line="240" w:lineRule="auto"/>
        <w:jc w:val="both"/>
      </w:pPr>
    </w:p>
    <w:p w14:paraId="4DC1AF6F" w14:textId="76D84C0A" w:rsidR="00AE6A4B" w:rsidRPr="00AE6A4B" w:rsidRDefault="00AE6A4B" w:rsidP="00AE6A4B">
      <w:pPr>
        <w:pStyle w:val="Naslov3"/>
        <w:spacing w:line="240" w:lineRule="auto"/>
        <w:jc w:val="both"/>
      </w:pPr>
      <w:r>
        <w:t xml:space="preserve">30. </w:t>
      </w:r>
      <w:r w:rsidRPr="00AE6A4B">
        <w:t>Kdo je lahko organizator volilne kampanje? Ali je lahko predlagatelj kandidatne liste organizator volilne kampanje in predstavnik kandidatne liste oz. kandidata ena oseba? Je sam kandidat za župana lahko organizator volilne kampanje ali odgovorna oseba organizatorja?</w:t>
      </w:r>
    </w:p>
    <w:p w14:paraId="5BF00696" w14:textId="62EA01E8" w:rsidR="00AE6A4B" w:rsidRDefault="00AE6A4B" w:rsidP="00AE6A4B">
      <w:pPr>
        <w:spacing w:line="240" w:lineRule="auto"/>
        <w:jc w:val="both"/>
      </w:pPr>
      <w:r>
        <w:t>Organizator volilne kampanje je lahko sam kandidat, predstavnik predlagatelja kandidatov ali list kandidatov, politična stranka ali druga pravna ali fizična oseba. Organizator volilne kampanje je lahko tudi politična stranka ali predstavnik skupine volivcev kot predlagatelja.</w:t>
      </w:r>
    </w:p>
    <w:p w14:paraId="22399DAF" w14:textId="77777777" w:rsidR="00AE6A4B" w:rsidRDefault="00AE6A4B" w:rsidP="00AE6A4B">
      <w:pPr>
        <w:spacing w:line="240" w:lineRule="auto"/>
        <w:jc w:val="both"/>
      </w:pPr>
      <w:r>
        <w:t xml:space="preserve">Predstavnik kandidatne liste ali kandidata je v skladu z zakonom zastopnik interesov kandidata ali predlagateljev list kandidatov pri izvajanju volilnih opravil. Predstavnik je lahko navzoč pri delu občinske volilne komisije, spremlja in nadzoruje izvajanje volilnih opravil in ima pravico predsednika volilnega organa opozoriti na nepravilnosti. Predstavnik ne sme biti kandidat. Ni pa v nasprotju z zakonom, če je kandidat tudi organizator volilne kampanje ali odgovorna oseba organizatorja volilne kampanje (če je ta pravna oseba). </w:t>
      </w:r>
    </w:p>
    <w:sectPr w:rsidR="00AE6A4B" w:rsidSect="00164064">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 w:id="1">
    <w:p w14:paraId="77914E12" w14:textId="77777777" w:rsidR="00281665" w:rsidRPr="008F6E11" w:rsidRDefault="00281665" w:rsidP="00281665">
      <w:pPr>
        <w:pStyle w:val="Sprotnaopomba-besedilo"/>
        <w:rPr>
          <w:rFonts w:asciiTheme="minorHAnsi" w:hAnsiTheme="minorHAnsi" w:cstheme="minorHAnsi"/>
        </w:rPr>
      </w:pPr>
      <w:r w:rsidRPr="008F6E11">
        <w:rPr>
          <w:rStyle w:val="Sprotnaopomba-sklic"/>
          <w:rFonts w:asciiTheme="minorHAnsi" w:hAnsiTheme="minorHAnsi" w:cstheme="minorHAnsi"/>
        </w:rPr>
        <w:footnoteRef/>
      </w:r>
      <w:r w:rsidRPr="008F6E11">
        <w:rPr>
          <w:rFonts w:asciiTheme="minorHAnsi" w:hAnsiTheme="minorHAnsi" w:cstheme="minorHAnsi"/>
        </w:rPr>
        <w:t xml:space="preserve"> 14. tč. Obrazložitve sodbe Vrhovnega sodišča št. </w:t>
      </w:r>
      <w:hyperlink r:id="rId1" w:history="1">
        <w:r w:rsidRPr="008F6E11">
          <w:rPr>
            <w:rStyle w:val="Hiperpovezava"/>
            <w:rFonts w:asciiTheme="minorHAnsi" w:hAnsiTheme="minorHAnsi" w:cstheme="minorHAnsi"/>
          </w:rPr>
          <w:t>I U 1888/2012</w:t>
        </w:r>
      </w:hyperlink>
      <w:r w:rsidRPr="008F6E11">
        <w:rPr>
          <w:rFonts w:asciiTheme="minorHAnsi" w:hAnsiTheme="minorHAnsi" w:cstheme="minorHAnsi"/>
        </w:rPr>
        <w:t xml:space="preserve"> z dne 27. 5.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007B58"/>
    <w:multiLevelType w:val="hybridMultilevel"/>
    <w:tmpl w:val="794AAF14"/>
    <w:lvl w:ilvl="0" w:tplc="D27C83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166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723041"/>
    <w:rsid w:val="00733017"/>
    <w:rsid w:val="00741CD0"/>
    <w:rsid w:val="00746C74"/>
    <w:rsid w:val="00783310"/>
    <w:rsid w:val="007A4A6D"/>
    <w:rsid w:val="007B5729"/>
    <w:rsid w:val="007D1BCF"/>
    <w:rsid w:val="007D75CF"/>
    <w:rsid w:val="007E0440"/>
    <w:rsid w:val="007E6DC5"/>
    <w:rsid w:val="007F1AC8"/>
    <w:rsid w:val="00807254"/>
    <w:rsid w:val="00866E80"/>
    <w:rsid w:val="00877FFC"/>
    <w:rsid w:val="0088043C"/>
    <w:rsid w:val="00884889"/>
    <w:rsid w:val="00890396"/>
    <w:rsid w:val="008906C9"/>
    <w:rsid w:val="008A32D3"/>
    <w:rsid w:val="008C5738"/>
    <w:rsid w:val="008D04F0"/>
    <w:rsid w:val="008E0447"/>
    <w:rsid w:val="008E65EB"/>
    <w:rsid w:val="008F3500"/>
    <w:rsid w:val="008F6E11"/>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E6A4B"/>
    <w:rsid w:val="00AF051B"/>
    <w:rsid w:val="00B17141"/>
    <w:rsid w:val="00B31575"/>
    <w:rsid w:val="00B55611"/>
    <w:rsid w:val="00B65867"/>
    <w:rsid w:val="00B8547D"/>
    <w:rsid w:val="00BA7BBC"/>
    <w:rsid w:val="00C250D5"/>
    <w:rsid w:val="00C35666"/>
    <w:rsid w:val="00C71699"/>
    <w:rsid w:val="00C92898"/>
    <w:rsid w:val="00CA4340"/>
    <w:rsid w:val="00CB71FE"/>
    <w:rsid w:val="00CE5238"/>
    <w:rsid w:val="00CE7514"/>
    <w:rsid w:val="00D21D3A"/>
    <w:rsid w:val="00D248DE"/>
    <w:rsid w:val="00D8542D"/>
    <w:rsid w:val="00DB7343"/>
    <w:rsid w:val="00DC6A71"/>
    <w:rsid w:val="00DE5B66"/>
    <w:rsid w:val="00DF72CD"/>
    <w:rsid w:val="00E0357D"/>
    <w:rsid w:val="00E124C9"/>
    <w:rsid w:val="00E3087B"/>
    <w:rsid w:val="00E5351D"/>
    <w:rsid w:val="00E609F9"/>
    <w:rsid w:val="00E74CF8"/>
    <w:rsid w:val="00E76A2E"/>
    <w:rsid w:val="00EA0413"/>
    <w:rsid w:val="00EB65C5"/>
    <w:rsid w:val="00ED1C3E"/>
    <w:rsid w:val="00ED6779"/>
    <w:rsid w:val="00F240BB"/>
    <w:rsid w:val="00F32D7A"/>
    <w:rsid w:val="00F41AB2"/>
    <w:rsid w:val="00F47EAD"/>
    <w:rsid w:val="00F57FED"/>
    <w:rsid w:val="00FB2A02"/>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theme" Target="theme/theme1.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napraksa.si/?q=plakatiranje%20volitve&amp;database%5bSOVS%5d=SOVS&amp;database%5bUPRS%5d=UPRS&amp;_submit=i%C5%A1%C4%8Di&amp;rowsPerPage=20&amp;page=0&amp;id=201203211308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0</TotalTime>
  <Pages>14</Pages>
  <Words>6802</Words>
  <Characters>43203</Characters>
  <Application>Microsoft Office Word</Application>
  <DocSecurity>0</DocSecurity>
  <Lines>360</Lines>
  <Paragraphs>99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3</cp:revision>
  <cp:lastPrinted>2012-09-24T10:52:00Z</cp:lastPrinted>
  <dcterms:created xsi:type="dcterms:W3CDTF">2022-09-23T10:27:00Z</dcterms:created>
  <dcterms:modified xsi:type="dcterms:W3CDTF">2022-09-23T10:39:00Z</dcterms:modified>
</cp:coreProperties>
</file>