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058F64AA" w:rsidR="005346F5" w:rsidRDefault="005346F5" w:rsidP="005346F5">
      <w:pPr>
        <w:jc w:val="both"/>
        <w:rPr>
          <w:b/>
          <w:bCs/>
        </w:rPr>
      </w:pPr>
      <w:r w:rsidRPr="00742D71">
        <w:rPr>
          <w:b/>
          <w:bCs/>
        </w:rPr>
        <w:t xml:space="preserve">Datum: </w:t>
      </w:r>
      <w:r w:rsidR="00BD4C2A">
        <w:rPr>
          <w:b/>
          <w:bCs/>
        </w:rPr>
        <w:t>november</w:t>
      </w:r>
      <w:r w:rsidR="00746C74">
        <w:rPr>
          <w:b/>
          <w:bCs/>
        </w:rPr>
        <w:t xml:space="preserve"> </w:t>
      </w:r>
      <w:r w:rsidR="00EB65C5">
        <w:rPr>
          <w:b/>
          <w:bCs/>
        </w:rPr>
        <w:t>2022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 xml:space="preserve">skupnosti ali redarstvena služba lokalne skupnosti. Občinsko inšpekcijo kot </w:t>
      </w:r>
      <w:proofErr w:type="spellStart"/>
      <w:r>
        <w:t>prekrškovni</w:t>
      </w:r>
      <w:proofErr w:type="spellEnd"/>
      <w:r>
        <w:t xml:space="preserve">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14:paraId="58A53691" w14:textId="77777777" w:rsidR="005346F5" w:rsidRDefault="005346F5" w:rsidP="005346F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 xml:space="preserve">Do aprila 2017 je </w:t>
      </w:r>
      <w:proofErr w:type="spellStart"/>
      <w:r>
        <w:t>t.i</w:t>
      </w:r>
      <w:proofErr w:type="spellEnd"/>
      <w:r>
        <w:t>.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6C2961A3" w14:textId="30D209AF" w:rsidR="00AE6A4B" w:rsidRDefault="00EB65C5" w:rsidP="00DF72CD">
      <w:pPr>
        <w:jc w:val="both"/>
      </w:pPr>
      <w:r w:rsidRPr="00EB65C5">
        <w:t xml:space="preserve">Glede na navedeno zakonsko ureditev menimo, da lokalna skupnost lahko organizatorju volilne kampanje zaračuna nameščanje in odstranjevanje plakatov le v okviru kvote odplačnih plakatnih mest, ki jih organizatorjem ponudi na razpolago. Tudi če bo javno podjetje nameščalo in lepilo plakate vsem organizatorjem volilne kampanje, ki so jim dodeljena brezplačna plakatna mesta, mora občina sama kriti stroške, ki pri tem nastanejo. Pod pogoji iz 11. člena ZVRK pa je upravičeno zaračunati organizatorju volilne kampanje globo (v </w:t>
      </w:r>
      <w:proofErr w:type="spellStart"/>
      <w:r w:rsidRPr="00EB65C5">
        <w:t>prekrškovnem</w:t>
      </w:r>
      <w:proofErr w:type="spellEnd"/>
      <w:r>
        <w:t xml:space="preserve"> </w:t>
      </w:r>
      <w:r w:rsidRPr="00EB65C5">
        <w:t>postopku v skladu s 33. členom ZVRK) in strošek odstranitve plakatov in sicer tudi za plakate na zasebnih zemljiščih, če je imel organizator na voljo zakonski rok, v katerem bi odstranitev lahko izvedel sam.</w:t>
      </w:r>
    </w:p>
    <w:p w14:paraId="0E373928" w14:textId="77777777" w:rsidR="00EB65C5" w:rsidRDefault="00EB65C5" w:rsidP="00DF72CD">
      <w:pPr>
        <w:jc w:val="both"/>
      </w:pPr>
    </w:p>
    <w:p w14:paraId="50826D0E" w14:textId="11727B58" w:rsidR="00AE6A4B" w:rsidRDefault="00AE6A4B" w:rsidP="00AE6A4B">
      <w:pPr>
        <w:pStyle w:val="Naslov3"/>
        <w:spacing w:line="240" w:lineRule="auto"/>
        <w:jc w:val="both"/>
      </w:pPr>
      <w:bookmarkStart w:id="0" w:name="_Hlk114828084"/>
      <w:r>
        <w:t>28. Ali je občina zavezana k povračilu stroškov volilne kampanje oziroma ali mora občina sprejeti sklep o delnem povračilu stroškov? Ali mora občinski svet za vsake redne lokalne volitve ponovno sprejeti nov sklep o delnem povračilu stroškov volilne kampanje?</w:t>
      </w:r>
    </w:p>
    <w:bookmarkEnd w:id="0"/>
    <w:p w14:paraId="2802FD39" w14:textId="77986BF3" w:rsidR="00AE6A4B" w:rsidRDefault="00AE6A4B" w:rsidP="00AE6A4B">
      <w:pPr>
        <w:spacing w:line="240" w:lineRule="auto"/>
        <w:jc w:val="both"/>
      </w:pPr>
      <w:r>
        <w:t xml:space="preserve">ZVRK zahteva, da mora lokalna skupnost pred začetkom volilne kampanje določiti višino delnega povračila stroškov organizatorjem volilne kampanje in pri tem določa, da lahko lokalna skupnost določi, da pripada delno povračilo stroškov samo organizatorjem, ki so jim pripadli mandati v predstavniškem organu lokalne skupnosti, in samo organizatorjem kampanje za individualni organ lokalne skupnosti, katerih kandidati so dosegli predpisan % od skupnega števila volilnih upravičencev. ZVRK tudi določa kriterije za določitev višine delnega povračila stroškov organizatorjem volilne kampanje na lokalnih volitvah. Pri povračilu stroškov je tudi pomembno, da skupni znesek povrnjenih stroškov ne sme preseči zneska porabljenih sredstev, razvidnega iz poročila o financiranju volilne kampanje. </w:t>
      </w:r>
    </w:p>
    <w:p w14:paraId="7C8577B5" w14:textId="2D7240DD" w:rsidR="00AE6A4B" w:rsidRDefault="00AE6A4B" w:rsidP="00AE6A4B">
      <w:pPr>
        <w:spacing w:line="240" w:lineRule="auto"/>
        <w:jc w:val="both"/>
      </w:pPr>
      <w:r>
        <w:t xml:space="preserve">Odločitev o tem, ali bo občina uvedla delno povračilo, je v njeni pristojnosti, če pa ga uvede, ga mora na način kot je določen v 28. členu ZVRK, torej v rokih kot jih določa ZVRK in za vsake volitve posebej. Če občinski svet sprejme akt, ki se ne omejuje na konkretne volitve in vsebuje </w:t>
      </w:r>
      <w:r>
        <w:lastRenderedPageBreak/>
        <w:t xml:space="preserve">nedvoumno višino povračila stroškov ter je v skladu z veljavno zakonodajo, menimo, da bi lahko ta sklep ostal v veljavi vse do preklica. V tem primeru mora občina za vsake lokalne volitve najkasneje 31 dni pred dnem glasovanja na svoji spletni strani na vidnem mestu objaviti obvestilo o tem, kateri sklep o povračilu stroškov trenutno velja. </w:t>
      </w:r>
    </w:p>
    <w:p w14:paraId="132F343B" w14:textId="77777777" w:rsidR="00EB65C5" w:rsidRDefault="00EB65C5" w:rsidP="00AE6A4B">
      <w:pPr>
        <w:spacing w:line="240" w:lineRule="auto"/>
        <w:jc w:val="both"/>
      </w:pPr>
    </w:p>
    <w:p w14:paraId="3851E49E" w14:textId="267E4F4F" w:rsidR="00AE6A4B" w:rsidRPr="00AE6A4B" w:rsidRDefault="00AE6A4B" w:rsidP="00AE6A4B">
      <w:pPr>
        <w:pStyle w:val="Naslov3"/>
        <w:spacing w:line="240" w:lineRule="auto"/>
        <w:jc w:val="both"/>
      </w:pPr>
      <w:bookmarkStart w:id="1" w:name="_Hlk114828146"/>
      <w:r>
        <w:t>29. Kakšne so omejitve stroškov volilne kampanje?</w:t>
      </w:r>
    </w:p>
    <w:bookmarkEnd w:id="1"/>
    <w:p w14:paraId="768C66B1" w14:textId="056441F6" w:rsidR="00AE6A4B" w:rsidRDefault="00AE6A4B" w:rsidP="00AE6A4B">
      <w:pPr>
        <w:spacing w:line="240" w:lineRule="auto"/>
        <w:jc w:val="both"/>
      </w:pPr>
      <w:r>
        <w:t xml:space="preserve">Omejitve pri porabi sredstev za volilno kampanjo so določene tako, da stroški volilne kampanje za volitve ne smejo preseči zneskov, ki so določeni v 23. členu ZVRK, tako npr. za volitve v predstavniški organ lokalne skupnosti ne smejo preseči 0,40 eura na posameznega volilnega upravičenca v lokalni skupnosti, stroški volilne kampanje za volitve individualno voljenega organa lokalne skupnosti pa ne smejo preseči 0,25 eura na posameznega volilnega upravičenca v lokalni skupnosti, pri tem pa se, če pride do drugega kroga glasovanja, stroški volilne kampanje za kandidata, ki na tem glasovanju kandidirata, lahko povečajo še za 0,15 eura na posameznega volilnega upravičenca v lokalni skupnosti. </w:t>
      </w:r>
    </w:p>
    <w:p w14:paraId="034C91D0" w14:textId="77777777" w:rsidR="00AE6A4B" w:rsidRDefault="00AE6A4B" w:rsidP="00AE6A4B">
      <w:pPr>
        <w:spacing w:line="240" w:lineRule="auto"/>
        <w:jc w:val="both"/>
      </w:pPr>
      <w:r>
        <w:t xml:space="preserve">Za namen izračuna Ministrstvo za notranje zadeve objavi na dan, ki je določen za začetek volilnih opravil, na svojih spletnih straneh število volilnih upravičencev v lokalni skupnosti (za lokalne volitve) oziroma druge predpisana podatke za ostale volitve. </w:t>
      </w:r>
    </w:p>
    <w:p w14:paraId="2B828632" w14:textId="77777777" w:rsidR="00AE6A4B" w:rsidRDefault="00AE6A4B" w:rsidP="00AE6A4B">
      <w:pPr>
        <w:spacing w:line="240" w:lineRule="auto"/>
        <w:jc w:val="both"/>
      </w:pPr>
    </w:p>
    <w:p w14:paraId="4DC1AF6F" w14:textId="76D84C0A" w:rsidR="00AE6A4B" w:rsidRPr="00AE6A4B" w:rsidRDefault="00AE6A4B" w:rsidP="00AE6A4B">
      <w:pPr>
        <w:pStyle w:val="Naslov3"/>
        <w:spacing w:line="240" w:lineRule="auto"/>
        <w:jc w:val="both"/>
      </w:pPr>
      <w:r>
        <w:t xml:space="preserve">30. </w:t>
      </w:r>
      <w:r w:rsidRPr="00AE6A4B">
        <w:t>Kdo je lahko organizator volilne kampanje? Ali je lahko predlagatelj kandidatne liste organizator volilne kampanje in predstavnik kandidatne liste oz. kandidata ena oseba? Je sam kandidat za župana lahko organizator volilne kampanje ali odgovorna oseba organizatorja?</w:t>
      </w:r>
    </w:p>
    <w:p w14:paraId="5BF00696" w14:textId="62EA01E8" w:rsidR="00AE6A4B" w:rsidRDefault="00AE6A4B" w:rsidP="00AE6A4B">
      <w:pPr>
        <w:spacing w:line="240" w:lineRule="auto"/>
        <w:jc w:val="both"/>
      </w:pPr>
      <w:r>
        <w:t>Organizator volilne kampanje je lahko sam kandidat, predstavnik predlagatelja kandidatov ali list kandidatov, politična stranka ali druga pravna ali fizična oseba. Organizator volilne kampanje je lahko tudi politična stranka ali predstavnik skupine volivcev kot predlagatelja.</w:t>
      </w:r>
    </w:p>
    <w:p w14:paraId="22399DAF" w14:textId="691578FD" w:rsidR="00AE6A4B" w:rsidRDefault="00AE6A4B" w:rsidP="00AE6A4B">
      <w:pPr>
        <w:spacing w:line="240" w:lineRule="auto"/>
        <w:jc w:val="both"/>
      </w:pPr>
      <w:r>
        <w:t xml:space="preserve">Predstavnik kandidatne liste ali kandidata je v skladu z zakonom zastopnik interesov kandidata ali predlagateljev list kandidatov pri izvajanju volilnih opravil. Predstavnik je lahko navzoč pri delu občinske volilne komisije, spremlja in nadzoruje izvajanje volilnih opravil in ima pravico predsednika volilnega organa opozoriti na nepravilnosti. Predstavnik ne sme biti kandidat. Ni pa v nasprotju z zakonom, če je kandidat tudi organizator volilne kampanje ali odgovorna oseba organizatorja volilne kampanje (če je ta pravna oseba). </w:t>
      </w:r>
    </w:p>
    <w:p w14:paraId="77CF7AB1" w14:textId="6DA2D102" w:rsidR="00BD4C2A" w:rsidRDefault="00BD4C2A" w:rsidP="00AE6A4B">
      <w:pPr>
        <w:spacing w:line="240" w:lineRule="auto"/>
        <w:jc w:val="both"/>
      </w:pPr>
    </w:p>
    <w:p w14:paraId="74A13756" w14:textId="649320C5" w:rsidR="00BD4C2A" w:rsidRPr="00BD4C2A" w:rsidRDefault="00BD4C2A" w:rsidP="00BD4C2A">
      <w:pPr>
        <w:spacing w:after="0" w:line="240" w:lineRule="auto"/>
        <w:jc w:val="both"/>
        <w:rPr>
          <w:color w:val="1F3864" w:themeColor="accent1" w:themeShade="80"/>
          <w:sz w:val="24"/>
          <w:szCs w:val="24"/>
        </w:rPr>
      </w:pPr>
      <w:r w:rsidRPr="00BD4C2A">
        <w:rPr>
          <w:color w:val="1F3864" w:themeColor="accent1" w:themeShade="80"/>
          <w:sz w:val="24"/>
          <w:szCs w:val="24"/>
        </w:rPr>
        <w:t>3</w:t>
      </w:r>
      <w:r>
        <w:rPr>
          <w:color w:val="1F3864" w:themeColor="accent1" w:themeShade="80"/>
          <w:sz w:val="24"/>
          <w:szCs w:val="24"/>
        </w:rPr>
        <w:t>1</w:t>
      </w:r>
      <w:r w:rsidRPr="00BD4C2A">
        <w:rPr>
          <w:color w:val="1F3864" w:themeColor="accent1" w:themeShade="80"/>
          <w:sz w:val="24"/>
          <w:szCs w:val="24"/>
        </w:rPr>
        <w:t>. Ali lahko 12.11.2022, na dan volilnega molka za predsedniške volitve, organiziramo volilno kampanjo za volitve župana na rednih lokalnih volitvah?</w:t>
      </w:r>
    </w:p>
    <w:p w14:paraId="01F2A8B9" w14:textId="72893A6E" w:rsidR="00BD4C2A" w:rsidRDefault="00BD4C2A" w:rsidP="00BD4C2A">
      <w:pPr>
        <w:spacing w:after="0" w:line="240" w:lineRule="auto"/>
        <w:jc w:val="both"/>
      </w:pPr>
      <w:hyperlink r:id="rId26" w:history="1">
        <w:r w:rsidRPr="00BD4C2A">
          <w:rPr>
            <w:rStyle w:val="Hiperpovezava"/>
          </w:rPr>
          <w:t>Zakon o volilni in referendumski kampanji</w:t>
        </w:r>
      </w:hyperlink>
      <w:r>
        <w:t xml:space="preserve"> </w:t>
      </w:r>
      <w:r>
        <w:t>(v nadaljnjem besedilu: ZVRK) ureja vprašanja volilne kampanje za volitve poslancev Državnega zbora, poslancev iz Republike Slovenije v Evropski parlament, predsednika republike, članov v predstavniških in individualno voljenih organih lokalnih skupnosti in vprašanja, ki se nanašajo na referendumsko kampanjo. ZVRK določa, da se volilna kampanja lahko začne najprej 30 dni pred dnem glasovanja, končati pa se mora najkasneje 24 ur pred dnem glasovanja (2. člen ZVRK). Slednje pomeni, da so dejanja volilne kampanje za določene volitve v tem obdobju podvržena določbam ZVRK. Volilni molk se začne 24 ur pred dnem glasovanja in traja vse do zaprtja volišč. V času volilnega molka ni dovoljeno izvajati dejanj, ki po ZVRK pomenijo dejanja volilne kampanje. Volilna kampanja po tem zakonu so vse politične oglaševalske vsebine in druge oblike politične propagande, katerih namen je vplivati na odločanje volivcev pri glasovanju na volitvah.</w:t>
      </w:r>
    </w:p>
    <w:p w14:paraId="553F840B" w14:textId="77777777" w:rsidR="00BD4C2A" w:rsidRDefault="00BD4C2A" w:rsidP="00BD4C2A">
      <w:pPr>
        <w:spacing w:line="240" w:lineRule="auto"/>
        <w:jc w:val="both"/>
      </w:pPr>
    </w:p>
    <w:p w14:paraId="1A392B8C" w14:textId="00B974BE" w:rsidR="00BD4C2A" w:rsidRDefault="00BD4C2A" w:rsidP="00BD4C2A">
      <w:pPr>
        <w:spacing w:line="240" w:lineRule="auto"/>
        <w:jc w:val="both"/>
      </w:pPr>
      <w:r>
        <w:lastRenderedPageBreak/>
        <w:t xml:space="preserve">Glasovanje v drugem krogu predsedniških volitev bo v nedeljo, 13. 11. 2022, kar pomeni, da se volilni molk za volilno kampanjo za predsedniške volitve začne 12. 11. 2022 in traja do 13. 11. 2022 do zaprtja volišč. Namen volilnega molka je, da se konča zasipanje volivca s predvolilnimi vsebinami in se mu tako zagotovi določen čas za nemoten razmislek o volilnih preferencah ter da se zagotovi mirno izvedbo volitev. Menimo, da dejanja kampanje za lokalne volitve in kjer ni kampanje oziroma nagovarjanja, kako naj volivci volijo na predsedniških volitvah, ne morejo predstavljati kršitev volilnega molka za predsedniške volitve. Če gre v vašem konkretnem primeru za javni dogodek oziroma predvolilni shod, kjer se pričakuje večje število udeležencev, predlagamo, da razmislite o ustreznejšemu terminu za vaš dogodek, da se izognete tveganju, da bi kdo od udeležencev ta dogodek zlorabili za promocijo kandidatov na predsedniških volitvah.  </w:t>
      </w:r>
    </w:p>
    <w:sectPr w:rsidR="00BD4C2A" w:rsidSect="00164064">
      <w:head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w:t>
      </w:r>
      <w:proofErr w:type="spellStart"/>
      <w:r w:rsidRPr="008F6E11">
        <w:rPr>
          <w:rFonts w:asciiTheme="minorHAnsi" w:hAnsiTheme="minorHAnsi" w:cstheme="minorHAnsi"/>
        </w:rPr>
        <w:t>tč</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Obrazložitve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sodbe</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Vrhovnega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sodišča</w:t>
      </w:r>
      <w:proofErr w:type="spellEnd"/>
      <w:r w:rsidRPr="008F6E11">
        <w:rPr>
          <w:rFonts w:asciiTheme="minorHAnsi" w:hAnsiTheme="minorHAnsi" w:cstheme="minorHAnsi"/>
        </w:rPr>
        <w:t xml:space="preserve"> </w:t>
      </w:r>
      <w:proofErr w:type="spellStart"/>
      <w:r w:rsidRPr="008F6E11">
        <w:rPr>
          <w:rFonts w:asciiTheme="minorHAnsi" w:hAnsiTheme="minorHAnsi" w:cstheme="minorHAnsi"/>
        </w:rPr>
        <w:t>št</w:t>
      </w:r>
      <w:proofErr w:type="spellEnd"/>
      <w:r w:rsidRPr="008F6E11">
        <w:rPr>
          <w:rFonts w:asciiTheme="minorHAnsi" w:hAnsiTheme="minorHAnsi" w:cstheme="minorHAnsi"/>
        </w:rPr>
        <w:t xml:space="preserve">.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w:t>
      </w:r>
      <w:proofErr w:type="spellStart"/>
      <w:r w:rsidRPr="008F6E11">
        <w:rPr>
          <w:rFonts w:asciiTheme="minorHAnsi" w:hAnsiTheme="minorHAnsi" w:cstheme="minorHAnsi"/>
        </w:rPr>
        <w:t>dne</w:t>
      </w:r>
      <w:proofErr w:type="spellEnd"/>
      <w:r w:rsidRPr="008F6E11">
        <w:rPr>
          <w:rFonts w:asciiTheme="minorHAnsi" w:hAnsiTheme="minorHAnsi" w:cstheme="minorHAnsi"/>
        </w:rPr>
        <w:t xml:space="preserv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41CD0"/>
    <w:rsid w:val="00746C74"/>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E6A4B"/>
    <w:rsid w:val="00AF051B"/>
    <w:rsid w:val="00B17141"/>
    <w:rsid w:val="00B31575"/>
    <w:rsid w:val="00B55611"/>
    <w:rsid w:val="00B65867"/>
    <w:rsid w:val="00B8547D"/>
    <w:rsid w:val="00BA7BBC"/>
    <w:rsid w:val="00BD4C2A"/>
    <w:rsid w:val="00C250D5"/>
    <w:rsid w:val="00C35666"/>
    <w:rsid w:val="00C71699"/>
    <w:rsid w:val="00C92898"/>
    <w:rsid w:val="00CA4340"/>
    <w:rsid w:val="00CB71FE"/>
    <w:rsid w:val="00CE5238"/>
    <w:rsid w:val="00CE7514"/>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B65C5"/>
    <w:rsid w:val="00ED1C3E"/>
    <w:rsid w:val="00ED6779"/>
    <w:rsid w:val="00F240BB"/>
    <w:rsid w:val="00F32D7A"/>
    <w:rsid w:val="00F41AB2"/>
    <w:rsid w:val="00F47EAD"/>
    <w:rsid w:val="00F57FED"/>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yperlink" Target="http://www.pisrs.si/Pis.web/pregledPredpisa?id=ZAKO4749" TargetMode="Externa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fontTable" Target="fontTable.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14</TotalTime>
  <Pages>15</Pages>
  <Words>7110</Words>
  <Characters>45042</Characters>
  <Application>Microsoft Office Word</Application>
  <DocSecurity>0</DocSecurity>
  <Lines>375</Lines>
  <Paragraphs>104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2</cp:revision>
  <cp:lastPrinted>2012-09-24T10:52:00Z</cp:lastPrinted>
  <dcterms:created xsi:type="dcterms:W3CDTF">2022-11-10T09:26:00Z</dcterms:created>
  <dcterms:modified xsi:type="dcterms:W3CDTF">2022-11-10T09:26:00Z</dcterms:modified>
</cp:coreProperties>
</file>