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50972" w14:textId="77777777" w:rsidR="00FF73BD" w:rsidRPr="00334836" w:rsidRDefault="00FF73BD" w:rsidP="00334836">
      <w:pPr>
        <w:pStyle w:val="datumtevilka"/>
        <w:spacing w:line="240" w:lineRule="exact"/>
        <w:jc w:val="both"/>
        <w:rPr>
          <w:rFonts w:cs="Arial"/>
        </w:rPr>
      </w:pPr>
    </w:p>
    <w:p w14:paraId="6D54FE2B" w14:textId="77777777" w:rsidR="00736BEC" w:rsidRDefault="00F93A27" w:rsidP="00334836">
      <w:pPr>
        <w:pStyle w:val="datumtevilka"/>
        <w:spacing w:line="240" w:lineRule="exact"/>
        <w:jc w:val="both"/>
        <w:rPr>
          <w:rFonts w:cs="Arial"/>
        </w:rPr>
      </w:pPr>
      <w:r w:rsidRPr="00334836">
        <w:rPr>
          <w:rFonts w:cs="Arial"/>
        </w:rPr>
        <w:t xml:space="preserve">Gospa </w:t>
      </w:r>
    </w:p>
    <w:p w14:paraId="719AA7E0" w14:textId="6BB18111" w:rsidR="00DF16A2" w:rsidRPr="00334836" w:rsidRDefault="00C1055D" w:rsidP="00334836">
      <w:pPr>
        <w:pStyle w:val="datumtevilka"/>
        <w:spacing w:line="240" w:lineRule="exact"/>
        <w:jc w:val="both"/>
        <w:rPr>
          <w:rFonts w:cs="Arial"/>
        </w:rPr>
      </w:pPr>
      <w:r>
        <w:rPr>
          <w:rFonts w:cs="Arial"/>
        </w:rPr>
        <w:t>_______________</w:t>
      </w:r>
    </w:p>
    <w:p w14:paraId="0F96F2CB" w14:textId="77777777" w:rsidR="007E374B" w:rsidRPr="00334836" w:rsidRDefault="007E374B" w:rsidP="00334836">
      <w:pPr>
        <w:pStyle w:val="datumtevilka"/>
        <w:spacing w:line="240" w:lineRule="exact"/>
        <w:jc w:val="both"/>
        <w:rPr>
          <w:rFonts w:cs="Arial"/>
        </w:rPr>
      </w:pPr>
    </w:p>
    <w:p w14:paraId="6B850637" w14:textId="44F53653" w:rsidR="00804729" w:rsidRPr="00334836" w:rsidRDefault="00F31FF0" w:rsidP="00334836">
      <w:pPr>
        <w:pStyle w:val="datumtevilka"/>
        <w:spacing w:line="240" w:lineRule="exact"/>
        <w:jc w:val="both"/>
        <w:rPr>
          <w:rFonts w:cs="Arial"/>
          <w:color w:val="000000" w:themeColor="text1"/>
          <w:u w:val="single"/>
        </w:rPr>
      </w:pPr>
      <w:r w:rsidRPr="00334836">
        <w:rPr>
          <w:rFonts w:cs="Arial"/>
          <w:color w:val="000000" w:themeColor="text1"/>
        </w:rPr>
        <w:t>E.:</w:t>
      </w:r>
      <w:r w:rsidR="00C1055D">
        <w:rPr>
          <w:rFonts w:cs="Arial"/>
          <w:color w:val="000000" w:themeColor="text1"/>
        </w:rPr>
        <w:t xml:space="preserve"> ____________</w:t>
      </w:r>
    </w:p>
    <w:p w14:paraId="1B874675" w14:textId="77777777" w:rsidR="00F31FF0" w:rsidRPr="00334836" w:rsidRDefault="00F31FF0" w:rsidP="00334836">
      <w:pPr>
        <w:pStyle w:val="datumtevilka"/>
        <w:spacing w:line="240" w:lineRule="exact"/>
        <w:jc w:val="both"/>
        <w:rPr>
          <w:rFonts w:cs="Arial"/>
        </w:rPr>
      </w:pPr>
    </w:p>
    <w:p w14:paraId="2FA6C1E2" w14:textId="77777777" w:rsidR="00F31FF0" w:rsidRPr="00334836" w:rsidRDefault="00F31FF0" w:rsidP="00334836">
      <w:pPr>
        <w:pStyle w:val="datumtevilka"/>
        <w:spacing w:line="240" w:lineRule="exact"/>
        <w:jc w:val="both"/>
        <w:rPr>
          <w:rFonts w:cs="Arial"/>
        </w:rPr>
      </w:pPr>
    </w:p>
    <w:p w14:paraId="2B68CA9A" w14:textId="77777777" w:rsidR="00F31FF0" w:rsidRPr="00334836" w:rsidRDefault="00F31FF0" w:rsidP="00334836">
      <w:pPr>
        <w:pStyle w:val="datumtevilka"/>
        <w:spacing w:line="240" w:lineRule="exact"/>
        <w:jc w:val="both"/>
        <w:rPr>
          <w:rFonts w:cs="Arial"/>
        </w:rPr>
      </w:pPr>
    </w:p>
    <w:p w14:paraId="6E314511" w14:textId="2E5D5888" w:rsidR="00F31FF0" w:rsidRPr="00334836" w:rsidRDefault="00F31FF0" w:rsidP="00334836">
      <w:pPr>
        <w:pStyle w:val="datumtevilka"/>
        <w:spacing w:line="240" w:lineRule="exact"/>
        <w:jc w:val="both"/>
        <w:rPr>
          <w:rFonts w:cs="Arial"/>
        </w:rPr>
      </w:pPr>
      <w:r w:rsidRPr="00334836">
        <w:rPr>
          <w:rFonts w:cs="Arial"/>
        </w:rPr>
        <w:t>Številka:  090-</w:t>
      </w:r>
      <w:r w:rsidR="00D723C5" w:rsidRPr="00334836">
        <w:rPr>
          <w:rFonts w:cs="Arial"/>
        </w:rPr>
        <w:t>50</w:t>
      </w:r>
      <w:r w:rsidRPr="00334836">
        <w:rPr>
          <w:rFonts w:cs="Arial"/>
        </w:rPr>
        <w:t>/2021/2</w:t>
      </w:r>
    </w:p>
    <w:p w14:paraId="7333962F" w14:textId="58CCF421" w:rsidR="00F31FF0" w:rsidRPr="00334836" w:rsidRDefault="00F31FF0" w:rsidP="00334836">
      <w:pPr>
        <w:pStyle w:val="datumtevilka"/>
        <w:spacing w:line="240" w:lineRule="exact"/>
        <w:jc w:val="both"/>
        <w:rPr>
          <w:rFonts w:cs="Arial"/>
        </w:rPr>
      </w:pPr>
      <w:r w:rsidRPr="00334836">
        <w:rPr>
          <w:rFonts w:cs="Arial"/>
        </w:rPr>
        <w:t xml:space="preserve">Datum:    </w:t>
      </w:r>
      <w:r w:rsidR="00C602F2" w:rsidRPr="00334836">
        <w:rPr>
          <w:rFonts w:cs="Arial"/>
        </w:rPr>
        <w:t>5</w:t>
      </w:r>
      <w:r w:rsidRPr="00334836">
        <w:rPr>
          <w:rFonts w:cs="Arial"/>
        </w:rPr>
        <w:t xml:space="preserve"> </w:t>
      </w:r>
      <w:r w:rsidR="00C602F2" w:rsidRPr="00334836">
        <w:rPr>
          <w:rFonts w:cs="Arial"/>
        </w:rPr>
        <w:t>5</w:t>
      </w:r>
      <w:r w:rsidRPr="00334836">
        <w:rPr>
          <w:rFonts w:cs="Arial"/>
        </w:rPr>
        <w:t xml:space="preserve">. 2021  </w:t>
      </w:r>
    </w:p>
    <w:p w14:paraId="1D157067" w14:textId="77777777" w:rsidR="00F31FF0" w:rsidRPr="00334836" w:rsidRDefault="00F31FF0" w:rsidP="00334836">
      <w:pPr>
        <w:spacing w:line="240" w:lineRule="exact"/>
        <w:jc w:val="both"/>
        <w:rPr>
          <w:rFonts w:cs="Arial"/>
          <w:szCs w:val="20"/>
        </w:rPr>
      </w:pPr>
    </w:p>
    <w:p w14:paraId="5DC14CCA" w14:textId="77777777" w:rsidR="00F31FF0" w:rsidRPr="00334836" w:rsidRDefault="00F31FF0" w:rsidP="00334836">
      <w:pPr>
        <w:pStyle w:val="ZADEVA"/>
        <w:spacing w:line="240" w:lineRule="exact"/>
        <w:ind w:left="0" w:firstLine="0"/>
        <w:jc w:val="both"/>
        <w:rPr>
          <w:rFonts w:cs="Arial"/>
          <w:szCs w:val="20"/>
          <w:lang w:val="sl-SI"/>
        </w:rPr>
      </w:pPr>
    </w:p>
    <w:p w14:paraId="5BABC88F" w14:textId="08139D63" w:rsidR="00F31FF0" w:rsidRPr="00334836" w:rsidRDefault="00F31FF0" w:rsidP="00334836">
      <w:pPr>
        <w:pStyle w:val="ZADEVA"/>
        <w:spacing w:line="240" w:lineRule="exact"/>
        <w:ind w:left="0" w:firstLine="0"/>
        <w:jc w:val="both"/>
        <w:rPr>
          <w:rFonts w:cs="Arial"/>
          <w:szCs w:val="20"/>
          <w:lang w:val="sl-SI"/>
        </w:rPr>
      </w:pPr>
      <w:r w:rsidRPr="00334836">
        <w:rPr>
          <w:rFonts w:cs="Arial"/>
          <w:szCs w:val="20"/>
          <w:lang w:val="sl-SI"/>
        </w:rPr>
        <w:t xml:space="preserve">Zadeva:  </w:t>
      </w:r>
      <w:r w:rsidR="00D723C5" w:rsidRPr="00334836">
        <w:rPr>
          <w:rFonts w:cs="Arial"/>
          <w:szCs w:val="20"/>
          <w:lang w:val="sl-SI"/>
        </w:rPr>
        <w:t xml:space="preserve">Pravna podlaga za seznanitev s podatki v sodnem spisu </w:t>
      </w:r>
      <w:r w:rsidR="002A670E" w:rsidRPr="00334836">
        <w:rPr>
          <w:rFonts w:cs="Arial"/>
          <w:color w:val="000000"/>
          <w:szCs w:val="20"/>
          <w:lang w:val="sl-SI" w:eastAsia="sl-SI"/>
        </w:rPr>
        <w:t>–</w:t>
      </w:r>
      <w:r w:rsidRPr="00334836">
        <w:rPr>
          <w:rFonts w:cs="Arial"/>
          <w:color w:val="000000"/>
          <w:szCs w:val="20"/>
          <w:lang w:val="sl-SI" w:eastAsia="sl-SI"/>
        </w:rPr>
        <w:t xml:space="preserve"> </w:t>
      </w:r>
      <w:r w:rsidR="007E374B" w:rsidRPr="00334836">
        <w:rPr>
          <w:rFonts w:cs="Arial"/>
          <w:color w:val="000000"/>
          <w:szCs w:val="20"/>
          <w:lang w:val="sl-SI" w:eastAsia="sl-SI"/>
        </w:rPr>
        <w:t>mnenje ministrstva</w:t>
      </w:r>
    </w:p>
    <w:p w14:paraId="130F76D0" w14:textId="525D3574" w:rsidR="007E374B" w:rsidRPr="00334836" w:rsidRDefault="007E374B" w:rsidP="00334836">
      <w:pPr>
        <w:pStyle w:val="ZADEVA"/>
        <w:spacing w:line="240" w:lineRule="exact"/>
        <w:ind w:left="0" w:firstLine="0"/>
        <w:jc w:val="both"/>
        <w:rPr>
          <w:rFonts w:cs="Arial"/>
          <w:b w:val="0"/>
          <w:bCs/>
          <w:color w:val="000000"/>
          <w:szCs w:val="20"/>
          <w:lang w:val="sl-SI" w:eastAsia="sl-SI"/>
        </w:rPr>
      </w:pPr>
      <w:r w:rsidRPr="00334836">
        <w:rPr>
          <w:rFonts w:cs="Arial"/>
          <w:b w:val="0"/>
          <w:bCs/>
          <w:color w:val="000000"/>
          <w:szCs w:val="20"/>
          <w:lang w:val="sl-SI" w:eastAsia="sl-SI"/>
        </w:rPr>
        <w:t xml:space="preserve">Zveza:     vaš dopis z dne </w:t>
      </w:r>
      <w:r w:rsidR="00F93A27" w:rsidRPr="00334836">
        <w:rPr>
          <w:rFonts w:cs="Arial"/>
          <w:b w:val="0"/>
          <w:bCs/>
          <w:color w:val="000000"/>
          <w:szCs w:val="20"/>
          <w:lang w:val="sl-SI" w:eastAsia="sl-SI"/>
        </w:rPr>
        <w:t>29</w:t>
      </w:r>
      <w:r w:rsidRPr="00334836">
        <w:rPr>
          <w:rFonts w:cs="Arial"/>
          <w:b w:val="0"/>
          <w:bCs/>
          <w:color w:val="000000"/>
          <w:szCs w:val="20"/>
          <w:lang w:val="sl-SI" w:eastAsia="sl-SI"/>
        </w:rPr>
        <w:t>. 3. 2021</w:t>
      </w:r>
    </w:p>
    <w:p w14:paraId="6839F45B" w14:textId="77777777" w:rsidR="00F31FF0" w:rsidRPr="00334836" w:rsidRDefault="00F31FF0" w:rsidP="00334836">
      <w:pPr>
        <w:pStyle w:val="ZADEVA"/>
        <w:spacing w:line="240" w:lineRule="exact"/>
        <w:ind w:left="0" w:firstLine="0"/>
        <w:jc w:val="both"/>
        <w:rPr>
          <w:rFonts w:cs="Arial"/>
          <w:b w:val="0"/>
          <w:szCs w:val="20"/>
          <w:lang w:val="sl-SI"/>
        </w:rPr>
      </w:pPr>
    </w:p>
    <w:p w14:paraId="11D72FCF" w14:textId="77777777" w:rsidR="00F31FF0" w:rsidRPr="00334836" w:rsidRDefault="00F31FF0" w:rsidP="00334836">
      <w:pPr>
        <w:spacing w:line="240" w:lineRule="exact"/>
        <w:jc w:val="both"/>
        <w:rPr>
          <w:rFonts w:cs="Arial"/>
          <w:szCs w:val="20"/>
        </w:rPr>
      </w:pPr>
    </w:p>
    <w:p w14:paraId="0751D6EB" w14:textId="77777777" w:rsidR="00F31FF0" w:rsidRPr="00334836" w:rsidRDefault="00F31FF0" w:rsidP="00334836">
      <w:pPr>
        <w:spacing w:line="240" w:lineRule="exact"/>
        <w:jc w:val="both"/>
        <w:rPr>
          <w:rFonts w:cs="Arial"/>
          <w:bCs/>
          <w:szCs w:val="20"/>
        </w:rPr>
      </w:pPr>
      <w:r w:rsidRPr="00334836">
        <w:rPr>
          <w:rFonts w:cs="Arial"/>
          <w:bCs/>
          <w:szCs w:val="20"/>
        </w:rPr>
        <w:t>Spoštovani,</w:t>
      </w:r>
    </w:p>
    <w:p w14:paraId="6CC13C4E" w14:textId="77777777" w:rsidR="00F31FF0" w:rsidRPr="00334836" w:rsidRDefault="00F31FF0" w:rsidP="00334836">
      <w:pPr>
        <w:spacing w:line="240" w:lineRule="exact"/>
        <w:jc w:val="both"/>
        <w:rPr>
          <w:rFonts w:cs="Arial"/>
          <w:szCs w:val="20"/>
        </w:rPr>
      </w:pPr>
    </w:p>
    <w:p w14:paraId="41D3C4A9" w14:textId="22E6C555" w:rsidR="00297439" w:rsidRPr="00334836" w:rsidRDefault="007E374B" w:rsidP="00334836">
      <w:pPr>
        <w:autoSpaceDE w:val="0"/>
        <w:autoSpaceDN w:val="0"/>
        <w:adjustRightInd w:val="0"/>
        <w:spacing w:line="240" w:lineRule="exact"/>
        <w:jc w:val="both"/>
        <w:rPr>
          <w:rFonts w:cs="Arial"/>
          <w:szCs w:val="20"/>
          <w:lang w:eastAsia="sl-SI"/>
        </w:rPr>
      </w:pPr>
      <w:r w:rsidRPr="00334836">
        <w:rPr>
          <w:rFonts w:cs="Arial"/>
          <w:color w:val="000000"/>
          <w:szCs w:val="20"/>
          <w:lang w:eastAsia="sl-SI"/>
        </w:rPr>
        <w:t xml:space="preserve">na Ministrstvo za javno upravo ste posredovali </w:t>
      </w:r>
      <w:r w:rsidR="00CB2839" w:rsidRPr="00334836">
        <w:rPr>
          <w:rFonts w:cs="Arial"/>
          <w:szCs w:val="20"/>
          <w:lang w:eastAsia="sl-SI"/>
        </w:rPr>
        <w:t xml:space="preserve">vprašanje, ali lahko na podlagi </w:t>
      </w:r>
      <w:r w:rsidR="00CB2839" w:rsidRPr="00334836">
        <w:rPr>
          <w:rFonts w:cs="Arial"/>
          <w:color w:val="000000"/>
          <w:szCs w:val="20"/>
          <w:lang w:eastAsia="sl-SI"/>
        </w:rPr>
        <w:t xml:space="preserve">Zakona o dostopu do informacij javnega značaja  (v nadaljnjem besedilu: </w:t>
      </w:r>
      <w:r w:rsidR="00CB2839" w:rsidRPr="00334836">
        <w:rPr>
          <w:rFonts w:cs="Arial"/>
          <w:szCs w:val="20"/>
          <w:lang w:eastAsia="sl-SI"/>
        </w:rPr>
        <w:t>ZDIJZ)</w:t>
      </w:r>
      <w:r w:rsidR="00CB2839" w:rsidRPr="00334836">
        <w:rPr>
          <w:rStyle w:val="Sprotnaopomba-sklic"/>
          <w:rFonts w:cs="Arial"/>
          <w:szCs w:val="20"/>
          <w:lang w:eastAsia="sl-SI"/>
        </w:rPr>
        <w:footnoteReference w:id="1"/>
      </w:r>
      <w:r w:rsidR="00CB2839" w:rsidRPr="00334836">
        <w:rPr>
          <w:rFonts w:cs="Arial"/>
          <w:szCs w:val="20"/>
          <w:lang w:eastAsia="sl-SI"/>
        </w:rPr>
        <w:t xml:space="preserve"> zahtevate vpogled v sodni spis, ki se nahaja  </w:t>
      </w:r>
      <w:r w:rsidR="005B4C4F" w:rsidRPr="00334836">
        <w:rPr>
          <w:rFonts w:cs="Arial"/>
          <w:szCs w:val="20"/>
        </w:rPr>
        <w:t>na Okrajnem sodišču V Ajdovščini.</w:t>
      </w:r>
      <w:r w:rsidR="00297439" w:rsidRPr="00334836">
        <w:rPr>
          <w:rFonts w:cs="Arial"/>
          <w:szCs w:val="20"/>
        </w:rPr>
        <w:t xml:space="preserve"> V dopisu ste navedli, da ste</w:t>
      </w:r>
      <w:r w:rsidR="00297439" w:rsidRPr="00334836">
        <w:rPr>
          <w:rFonts w:cs="Arial"/>
          <w:b/>
          <w:bCs/>
          <w:szCs w:val="20"/>
        </w:rPr>
        <w:t xml:space="preserve"> </w:t>
      </w:r>
      <w:r w:rsidR="00297439" w:rsidRPr="00334836">
        <w:rPr>
          <w:rFonts w:cs="Arial"/>
          <w:szCs w:val="20"/>
        </w:rPr>
        <w:t>d</w:t>
      </w:r>
      <w:r w:rsidR="00297439" w:rsidRPr="00334836">
        <w:rPr>
          <w:rFonts w:cs="Arial"/>
          <w:szCs w:val="20"/>
          <w:lang w:eastAsia="sl-SI"/>
        </w:rPr>
        <w:t xml:space="preserve">ne 9.  2. 2021 </w:t>
      </w:r>
      <w:r w:rsidR="00736BEC">
        <w:rPr>
          <w:rFonts w:cs="Arial"/>
          <w:szCs w:val="20"/>
          <w:lang w:eastAsia="sl-SI"/>
        </w:rPr>
        <w:t xml:space="preserve">na </w:t>
      </w:r>
      <w:r w:rsidR="00297439" w:rsidRPr="00334836">
        <w:rPr>
          <w:rFonts w:cs="Arial"/>
          <w:szCs w:val="20"/>
          <w:lang w:eastAsia="sl-SI"/>
        </w:rPr>
        <w:t xml:space="preserve">Okrajno sodišče v Ajdovščini podali zahtevo za vpogled v sodni spis in v njej navedli številko parcele, </w:t>
      </w:r>
      <w:r w:rsidR="00297439" w:rsidRPr="00621B61">
        <w:rPr>
          <w:rFonts w:cs="Arial"/>
          <w:szCs w:val="20"/>
          <w:lang w:eastAsia="sl-SI"/>
        </w:rPr>
        <w:t>številko javnega dobra, toženo stranko Občino Ajdovščina</w:t>
      </w:r>
      <w:r w:rsidR="00736BEC" w:rsidRPr="00621B61">
        <w:rPr>
          <w:rFonts w:cs="Arial"/>
          <w:szCs w:val="20"/>
          <w:lang w:eastAsia="sl-SI"/>
        </w:rPr>
        <w:t xml:space="preserve"> ter</w:t>
      </w:r>
      <w:r w:rsidR="00297439" w:rsidRPr="00621B61">
        <w:rPr>
          <w:rFonts w:cs="Arial"/>
          <w:szCs w:val="20"/>
          <w:lang w:eastAsia="sl-SI"/>
        </w:rPr>
        <w:t xml:space="preserve"> da ste lastnica parcele v bližini, in da bi želeli po vpogledu v spis vstopiti v postopek. Sodišče je z dopisom z dne 8. 3. 2021 vašo zahtevo zavrnilo iz razloga, ker v svoji zahtevi niste konkretno</w:t>
      </w:r>
      <w:r w:rsidR="00297439" w:rsidRPr="00334836">
        <w:rPr>
          <w:rFonts w:cs="Arial"/>
          <w:szCs w:val="20"/>
          <w:lang w:eastAsia="sl-SI"/>
        </w:rPr>
        <w:t xml:space="preserve"> navedli za katero zadevo gre oziroma niste posredovali dovolj podatkov (ki jih tudi sami ne veste) za identifikacijo zadeve. Sodišče je navedlo, da ne more pregledovati vseh spisov v katerih je kot ena od strank udeležena Občina Ajdovščina in nato ugotavljati</w:t>
      </w:r>
      <w:r w:rsidR="00736BEC">
        <w:rPr>
          <w:rFonts w:cs="Arial"/>
          <w:szCs w:val="20"/>
          <w:lang w:eastAsia="sl-SI"/>
        </w:rPr>
        <w:t>,</w:t>
      </w:r>
      <w:r w:rsidR="00297439" w:rsidRPr="00334836">
        <w:rPr>
          <w:rFonts w:cs="Arial"/>
          <w:szCs w:val="20"/>
          <w:lang w:eastAsia="sl-SI"/>
        </w:rPr>
        <w:t xml:space="preserve"> ali bi v nekem spisu morebiti lahko šlo za zadevo, v kateri bi vi priglasili udeležbo. </w:t>
      </w:r>
    </w:p>
    <w:p w14:paraId="48D042E0" w14:textId="77777777" w:rsidR="00CB2839" w:rsidRPr="00334836" w:rsidRDefault="00CB2839" w:rsidP="00334836">
      <w:pPr>
        <w:pStyle w:val="ZADEVA"/>
        <w:spacing w:line="240" w:lineRule="exact"/>
        <w:ind w:left="0" w:firstLine="0"/>
        <w:jc w:val="both"/>
        <w:rPr>
          <w:rFonts w:cs="Arial"/>
          <w:b w:val="0"/>
          <w:bCs/>
          <w:szCs w:val="20"/>
          <w:lang w:val="sl-SI"/>
        </w:rPr>
      </w:pPr>
    </w:p>
    <w:p w14:paraId="466AD7E6" w14:textId="0BE979F6" w:rsidR="005B4C4F" w:rsidRPr="00334836" w:rsidRDefault="005B4C4F" w:rsidP="00334836">
      <w:pPr>
        <w:autoSpaceDE w:val="0"/>
        <w:autoSpaceDN w:val="0"/>
        <w:adjustRightInd w:val="0"/>
        <w:spacing w:line="240" w:lineRule="exact"/>
        <w:jc w:val="both"/>
        <w:rPr>
          <w:rFonts w:cs="Arial"/>
          <w:szCs w:val="20"/>
          <w:lang w:eastAsia="sl-SI"/>
        </w:rPr>
      </w:pPr>
      <w:r w:rsidRPr="00334836">
        <w:rPr>
          <w:rFonts w:cs="Arial"/>
          <w:szCs w:val="20"/>
          <w:lang w:eastAsia="sl-SI"/>
        </w:rPr>
        <w:t>Ministrstvo za javno upravo kot resorno pristojno ministrstvo za sistemsko urejanje področja informacij javnega značaja, vam v nadaljevanju skladno s 32. členom ZDIJZ, posreduje neobvezno pravno mnenje.</w:t>
      </w:r>
    </w:p>
    <w:p w14:paraId="1D4C245E" w14:textId="77777777" w:rsidR="008874A7" w:rsidRPr="00334836" w:rsidRDefault="008874A7" w:rsidP="00334836">
      <w:pPr>
        <w:pStyle w:val="odstavek1"/>
        <w:spacing w:before="0" w:line="240" w:lineRule="exact"/>
        <w:ind w:firstLine="0"/>
        <w:rPr>
          <w:color w:val="000000" w:themeColor="text1"/>
          <w:sz w:val="20"/>
          <w:szCs w:val="20"/>
        </w:rPr>
      </w:pPr>
    </w:p>
    <w:p w14:paraId="33D13638" w14:textId="0A2D1CB5" w:rsidR="00BE7BBA" w:rsidRPr="00621B61" w:rsidRDefault="00506E18" w:rsidP="00334836">
      <w:pPr>
        <w:spacing w:line="240" w:lineRule="exact"/>
        <w:jc w:val="both"/>
        <w:rPr>
          <w:rFonts w:cs="Arial"/>
          <w:b/>
          <w:bCs/>
          <w:szCs w:val="20"/>
          <w:lang w:eastAsia="sl-SI"/>
        </w:rPr>
      </w:pPr>
      <w:r w:rsidRPr="00334836">
        <w:rPr>
          <w:rFonts w:cs="Arial"/>
          <w:szCs w:val="20"/>
          <w:lang w:eastAsia="sl-SI"/>
        </w:rPr>
        <w:t xml:space="preserve">Na področju transparentnosti delovanja javnega sektorja je ZDIJZ krovni zakon, ki ureja tako dostop do informacij na podlagi posamičnih zahtev kot tudi proaktivno spletno objavo informacij. </w:t>
      </w:r>
      <w:r w:rsidRPr="00334836">
        <w:rPr>
          <w:rFonts w:cs="Arial"/>
          <w:szCs w:val="20"/>
        </w:rPr>
        <w:t xml:space="preserve">V okviru ZDIJZ so k transparentnosti delovanja </w:t>
      </w:r>
      <w:r w:rsidR="00736BEC">
        <w:rPr>
          <w:rFonts w:cs="Arial"/>
          <w:szCs w:val="20"/>
        </w:rPr>
        <w:t xml:space="preserve"> zavezani</w:t>
      </w:r>
      <w:r w:rsidRPr="00334836">
        <w:rPr>
          <w:rFonts w:cs="Arial"/>
          <w:szCs w:val="20"/>
        </w:rPr>
        <w:t xml:space="preserve"> vsi državni organi, brez izjem. </w:t>
      </w:r>
      <w:r w:rsidR="00FA0879" w:rsidRPr="00334836">
        <w:rPr>
          <w:rFonts w:cs="Arial"/>
          <w:szCs w:val="20"/>
        </w:rPr>
        <w:t>Ker je torej sodišče zavezanec za dostop do informacij javnega značaja, mora na zahtevo prosilcu posredovati vse informacije javnega značaja</w:t>
      </w:r>
      <w:r w:rsidR="00736BEC">
        <w:rPr>
          <w:rFonts w:cs="Arial"/>
          <w:szCs w:val="20"/>
        </w:rPr>
        <w:t>,</w:t>
      </w:r>
      <w:r w:rsidR="00FA0879" w:rsidRPr="00334836">
        <w:rPr>
          <w:rFonts w:cs="Arial"/>
          <w:szCs w:val="20"/>
        </w:rPr>
        <w:t xml:space="preserve"> s katerimi razpolaga (kriterij materializirane oblike). Izjema je enajst primerov, v katerih lahko </w:t>
      </w:r>
      <w:r w:rsidR="00F93842" w:rsidRPr="00334836">
        <w:rPr>
          <w:rFonts w:cs="Arial"/>
          <w:szCs w:val="20"/>
        </w:rPr>
        <w:t>organ</w:t>
      </w:r>
      <w:r w:rsidR="00FA0879" w:rsidRPr="00334836">
        <w:rPr>
          <w:rFonts w:cs="Arial"/>
          <w:szCs w:val="20"/>
        </w:rPr>
        <w:t xml:space="preserve"> prosilcu zavrne zahtevo</w:t>
      </w:r>
      <w:r w:rsidR="00FA0879" w:rsidRPr="00334836">
        <w:rPr>
          <w:rStyle w:val="Sprotnaopomba-sklic"/>
          <w:rFonts w:cs="Arial"/>
          <w:szCs w:val="20"/>
        </w:rPr>
        <w:footnoteReference w:id="2"/>
      </w:r>
      <w:r w:rsidR="00FA0879" w:rsidRPr="00334836">
        <w:rPr>
          <w:rFonts w:cs="Arial"/>
          <w:szCs w:val="20"/>
        </w:rPr>
        <w:t xml:space="preserve">. </w:t>
      </w:r>
      <w:r w:rsidRPr="00334836">
        <w:rPr>
          <w:rFonts w:eastAsiaTheme="minorHAnsi" w:cs="Arial"/>
          <w:szCs w:val="20"/>
        </w:rPr>
        <w:t>Podlaga za uporabo ZDIJZ je vsebovana tudi v 5. členu Sodnega reda</w:t>
      </w:r>
      <w:r w:rsidR="006F5BEA" w:rsidRPr="00334836">
        <w:rPr>
          <w:rStyle w:val="Sprotnaopomba-sklic"/>
          <w:rFonts w:eastAsiaTheme="minorHAnsi" w:cs="Arial"/>
          <w:szCs w:val="20"/>
        </w:rPr>
        <w:footnoteReference w:id="3"/>
      </w:r>
      <w:r w:rsidRPr="00334836">
        <w:rPr>
          <w:rFonts w:eastAsiaTheme="minorHAnsi" w:cs="Arial"/>
          <w:szCs w:val="20"/>
        </w:rPr>
        <w:t>, ki določa</w:t>
      </w:r>
      <w:r w:rsidRPr="00621B61">
        <w:rPr>
          <w:rFonts w:eastAsiaTheme="minorHAnsi" w:cs="Arial"/>
          <w:szCs w:val="20"/>
        </w:rPr>
        <w:t xml:space="preserve">, da </w:t>
      </w:r>
      <w:r w:rsidRPr="00621B61">
        <w:rPr>
          <w:rFonts w:cs="Arial"/>
          <w:b/>
          <w:bCs/>
          <w:szCs w:val="20"/>
          <w:lang w:eastAsia="sl-SI"/>
        </w:rPr>
        <w:t>sodišča zagotavljajo</w:t>
      </w:r>
      <w:r w:rsidRPr="00621B61">
        <w:rPr>
          <w:rFonts w:cs="Arial"/>
          <w:szCs w:val="20"/>
          <w:lang w:eastAsia="sl-SI"/>
        </w:rPr>
        <w:t xml:space="preserve"> </w:t>
      </w:r>
      <w:r w:rsidRPr="00621B61">
        <w:rPr>
          <w:rFonts w:cs="Arial"/>
          <w:b/>
          <w:bCs/>
          <w:szCs w:val="20"/>
          <w:lang w:eastAsia="sl-SI"/>
        </w:rPr>
        <w:t>javnost obravnavanja</w:t>
      </w:r>
      <w:r w:rsidRPr="00621B61">
        <w:rPr>
          <w:rFonts w:cs="Arial"/>
          <w:szCs w:val="20"/>
          <w:lang w:eastAsia="sl-SI"/>
        </w:rPr>
        <w:t xml:space="preserve"> </w:t>
      </w:r>
      <w:r w:rsidRPr="00621B61">
        <w:rPr>
          <w:rFonts w:cs="Arial"/>
          <w:b/>
          <w:bCs/>
          <w:szCs w:val="20"/>
          <w:lang w:eastAsia="sl-SI"/>
        </w:rPr>
        <w:t>v skladu s procesnimi predpisi in predpisi o dostopu do informacij javnega značaja.</w:t>
      </w:r>
      <w:r w:rsidR="00BE7BBA" w:rsidRPr="00621B61">
        <w:rPr>
          <w:rFonts w:cs="Arial"/>
          <w:b/>
          <w:bCs/>
          <w:szCs w:val="20"/>
          <w:lang w:eastAsia="sl-SI"/>
        </w:rPr>
        <w:t xml:space="preserve"> </w:t>
      </w:r>
    </w:p>
    <w:p w14:paraId="0803DE88" w14:textId="77777777" w:rsidR="00BE7BBA" w:rsidRPr="00621B61" w:rsidRDefault="00BE7BBA" w:rsidP="00334836">
      <w:pPr>
        <w:spacing w:line="240" w:lineRule="exact"/>
        <w:jc w:val="both"/>
        <w:rPr>
          <w:rFonts w:cs="Arial"/>
          <w:b/>
          <w:bCs/>
          <w:szCs w:val="20"/>
          <w:lang w:eastAsia="sl-SI"/>
        </w:rPr>
      </w:pPr>
    </w:p>
    <w:p w14:paraId="099C6110" w14:textId="42B0D5F1" w:rsidR="00506E18" w:rsidRPr="00621B61" w:rsidRDefault="00FA0879" w:rsidP="00334836">
      <w:pPr>
        <w:spacing w:line="240" w:lineRule="exact"/>
        <w:jc w:val="both"/>
        <w:rPr>
          <w:rFonts w:cs="Arial"/>
          <w:b/>
          <w:bCs/>
          <w:szCs w:val="20"/>
          <w:lang w:eastAsia="sl-SI"/>
        </w:rPr>
      </w:pPr>
      <w:r w:rsidRPr="00621B61">
        <w:rPr>
          <w:rFonts w:eastAsiaTheme="minorHAnsi" w:cs="Arial"/>
          <w:szCs w:val="20"/>
        </w:rPr>
        <w:lastRenderedPageBreak/>
        <w:t xml:space="preserve">Iz navedenega izhaja, da </w:t>
      </w:r>
      <w:r w:rsidR="00506E18" w:rsidRPr="00621B61">
        <w:rPr>
          <w:rFonts w:eastAsiaTheme="minorHAnsi" w:cs="Arial"/>
          <w:szCs w:val="20"/>
        </w:rPr>
        <w:t xml:space="preserve">ZDIJZ in področni procesni zakoni urejajo dostope na podlagi različnih pravnih podlag. </w:t>
      </w:r>
      <w:r w:rsidR="00506E18" w:rsidRPr="00621B61">
        <w:rPr>
          <w:rFonts w:eastAsiaTheme="minorHAnsi" w:cs="Arial"/>
          <w:b/>
          <w:bCs/>
          <w:szCs w:val="20"/>
        </w:rPr>
        <w:t>Pravica strank oz</w:t>
      </w:r>
      <w:r w:rsidR="00BE7BBA" w:rsidRPr="00621B61">
        <w:rPr>
          <w:rFonts w:eastAsiaTheme="minorHAnsi" w:cs="Arial"/>
          <w:b/>
          <w:bCs/>
          <w:szCs w:val="20"/>
        </w:rPr>
        <w:t>iroma</w:t>
      </w:r>
      <w:r w:rsidR="00506E18" w:rsidRPr="00621B61">
        <w:rPr>
          <w:rFonts w:eastAsiaTheme="minorHAnsi" w:cs="Arial"/>
          <w:b/>
          <w:bCs/>
          <w:szCs w:val="20"/>
        </w:rPr>
        <w:t xml:space="preserve"> drugih oseb s posebnim interesom do vpogleda v spis in pravica dostopa do informacij javnega značaja se razlikujeta</w:t>
      </w:r>
      <w:r w:rsidR="00506E18" w:rsidRPr="00621B61">
        <w:rPr>
          <w:rFonts w:eastAsiaTheme="minorHAnsi" w:cs="Arial"/>
          <w:szCs w:val="20"/>
        </w:rPr>
        <w:t xml:space="preserve"> tako po svoji podlagi, namenu, obsegu in pogojih kot tudi po svojem temelju in zato nista pravici, ki bi bili med seboj v koliziji in bi se medsebojno izključevali.</w:t>
      </w:r>
      <w:r w:rsidR="00506E18" w:rsidRPr="00621B61">
        <w:rPr>
          <w:rFonts w:eastAsiaTheme="minorHAnsi" w:cs="Arial"/>
          <w:szCs w:val="20"/>
          <w:vertAlign w:val="superscript"/>
        </w:rPr>
        <w:t xml:space="preserve"> </w:t>
      </w:r>
    </w:p>
    <w:p w14:paraId="4F444AE6" w14:textId="77777777" w:rsidR="00506E18" w:rsidRPr="00621B61" w:rsidRDefault="00506E18" w:rsidP="00334836">
      <w:pPr>
        <w:spacing w:line="240" w:lineRule="exact"/>
        <w:jc w:val="both"/>
        <w:rPr>
          <w:rFonts w:eastAsiaTheme="minorHAnsi" w:cs="Arial"/>
          <w:szCs w:val="20"/>
        </w:rPr>
      </w:pPr>
    </w:p>
    <w:p w14:paraId="09FA3A37" w14:textId="25A415E4" w:rsidR="00506E18" w:rsidRPr="00621B61" w:rsidRDefault="00BE7BBA" w:rsidP="00334836">
      <w:pPr>
        <w:autoSpaceDE w:val="0"/>
        <w:adjustRightInd w:val="0"/>
        <w:spacing w:line="240" w:lineRule="exact"/>
        <w:jc w:val="both"/>
        <w:rPr>
          <w:rFonts w:eastAsia="Calibri" w:cs="Arial"/>
          <w:color w:val="000000"/>
          <w:szCs w:val="20"/>
        </w:rPr>
      </w:pPr>
      <w:r w:rsidRPr="00621B61">
        <w:rPr>
          <w:rFonts w:eastAsia="Calibri" w:cs="Arial"/>
          <w:color w:val="000000"/>
          <w:szCs w:val="20"/>
        </w:rPr>
        <w:t>I</w:t>
      </w:r>
      <w:r w:rsidR="00506E18" w:rsidRPr="00621B61">
        <w:rPr>
          <w:rFonts w:eastAsia="Calibri" w:cs="Arial"/>
          <w:color w:val="000000"/>
          <w:szCs w:val="20"/>
        </w:rPr>
        <w:t>z sodbe VS 2020</w:t>
      </w:r>
      <w:r w:rsidRPr="00621B61">
        <w:rPr>
          <w:rStyle w:val="Sprotnaopomba-sklic"/>
          <w:rFonts w:cs="Arial"/>
          <w:szCs w:val="20"/>
        </w:rPr>
        <w:footnoteReference w:id="4"/>
      </w:r>
      <w:r w:rsidRPr="00621B61">
        <w:rPr>
          <w:rFonts w:eastAsia="Calibri" w:cs="Arial"/>
          <w:color w:val="000000"/>
          <w:szCs w:val="20"/>
        </w:rPr>
        <w:t xml:space="preserve"> izhaja</w:t>
      </w:r>
      <w:r w:rsidR="00506E18" w:rsidRPr="00621B61">
        <w:rPr>
          <w:rFonts w:eastAsia="Calibri" w:cs="Arial"/>
          <w:color w:val="000000"/>
          <w:szCs w:val="20"/>
        </w:rPr>
        <w:t xml:space="preserve">, da je treba dostop do informacij v kazenskih </w:t>
      </w:r>
      <w:r w:rsidR="00506E18" w:rsidRPr="00621B61">
        <w:rPr>
          <w:rFonts w:eastAsia="Calibri" w:cs="Arial"/>
          <w:b/>
          <w:bCs/>
          <w:color w:val="000000"/>
          <w:szCs w:val="20"/>
        </w:rPr>
        <w:t>in drugih</w:t>
      </w:r>
      <w:r w:rsidR="00506E18" w:rsidRPr="00621B61">
        <w:rPr>
          <w:rFonts w:eastAsia="Calibri" w:cs="Arial"/>
          <w:color w:val="000000"/>
          <w:szCs w:val="20"/>
        </w:rPr>
        <w:t xml:space="preserve"> sodnih spisih urejati tako, da je zagotovljeno varstvo vseh človekovih pravic, ne le dostopa do informacij javnega značaja temveč tudi varstvo človekove osebnosti in dostojanstva v kazenskih in vseh drugih pravnih postopkih</w:t>
      </w:r>
      <w:r w:rsidRPr="00621B61">
        <w:rPr>
          <w:rFonts w:eastAsia="Calibri" w:cs="Arial"/>
          <w:color w:val="000000"/>
          <w:szCs w:val="20"/>
        </w:rPr>
        <w:t xml:space="preserve"> </w:t>
      </w:r>
      <w:r w:rsidRPr="00621B61">
        <w:rPr>
          <w:rFonts w:eastAsia="Calibri" w:cs="Arial"/>
          <w:b/>
          <w:bCs/>
          <w:color w:val="000000"/>
          <w:szCs w:val="20"/>
        </w:rPr>
        <w:t>(tudi pravdnih</w:t>
      </w:r>
      <w:r w:rsidRPr="00621B61">
        <w:rPr>
          <w:rFonts w:eastAsia="Calibri" w:cs="Arial"/>
          <w:color w:val="000000"/>
          <w:szCs w:val="20"/>
        </w:rPr>
        <w:t>)</w:t>
      </w:r>
      <w:r w:rsidR="00506E18" w:rsidRPr="00621B61">
        <w:rPr>
          <w:rFonts w:eastAsia="Calibri" w:cs="Arial"/>
          <w:color w:val="000000"/>
          <w:szCs w:val="20"/>
        </w:rPr>
        <w:t xml:space="preserve"> (21. člen Ustave), pravica do osebnega dostojanstva in varnosti (34. člen Ustave), varstvo pravic zasebnosti in osebnostnih pravic (35. člen Ustave) ter varstvo osebnih podatkov (38. člen Ustave). </w:t>
      </w:r>
    </w:p>
    <w:p w14:paraId="27BB7DFF" w14:textId="77777777" w:rsidR="00506E18" w:rsidRPr="00621B61" w:rsidRDefault="00506E18" w:rsidP="00334836">
      <w:pPr>
        <w:spacing w:line="240" w:lineRule="exact"/>
        <w:jc w:val="both"/>
        <w:rPr>
          <w:rFonts w:cs="Arial"/>
          <w:szCs w:val="20"/>
        </w:rPr>
      </w:pPr>
    </w:p>
    <w:p w14:paraId="41DFDDE7" w14:textId="592E3E55" w:rsidR="00895396" w:rsidRPr="00621B61" w:rsidRDefault="00601F55" w:rsidP="00334836">
      <w:pPr>
        <w:spacing w:line="240" w:lineRule="exact"/>
        <w:jc w:val="both"/>
        <w:rPr>
          <w:rFonts w:cs="Arial"/>
          <w:szCs w:val="20"/>
          <w:lang w:eastAsia="sl-SI"/>
        </w:rPr>
      </w:pPr>
      <w:r w:rsidRPr="00621B61">
        <w:rPr>
          <w:rFonts w:cs="Arial"/>
          <w:szCs w:val="20"/>
          <w:lang w:eastAsia="sl-SI"/>
        </w:rPr>
        <w:t>Pri</w:t>
      </w:r>
      <w:r w:rsidR="00895396" w:rsidRPr="00621B61">
        <w:rPr>
          <w:rFonts w:cs="Arial"/>
          <w:szCs w:val="20"/>
          <w:lang w:eastAsia="sl-SI"/>
        </w:rPr>
        <w:t xml:space="preserve"> ZDIJZ in Z</w:t>
      </w:r>
      <w:r w:rsidR="00425976" w:rsidRPr="00621B61">
        <w:rPr>
          <w:rFonts w:cs="Arial"/>
          <w:szCs w:val="20"/>
          <w:lang w:eastAsia="sl-SI"/>
        </w:rPr>
        <w:t>akon</w:t>
      </w:r>
      <w:r w:rsidR="00A94B5A" w:rsidRPr="00621B61">
        <w:rPr>
          <w:rFonts w:cs="Arial"/>
          <w:szCs w:val="20"/>
          <w:lang w:eastAsia="sl-SI"/>
        </w:rPr>
        <w:t>u</w:t>
      </w:r>
      <w:r w:rsidR="00425976" w:rsidRPr="00621B61">
        <w:rPr>
          <w:rFonts w:cs="Arial"/>
          <w:szCs w:val="20"/>
          <w:lang w:eastAsia="sl-SI"/>
        </w:rPr>
        <w:t xml:space="preserve"> o pravdnem postopku (v nadaljnjem besedilu: ZPP)</w:t>
      </w:r>
      <w:r w:rsidR="00425976" w:rsidRPr="00621B61">
        <w:rPr>
          <w:rStyle w:val="Sprotnaopomba-sklic"/>
          <w:rFonts w:cs="Arial"/>
          <w:szCs w:val="20"/>
          <w:lang w:eastAsia="sl-SI"/>
        </w:rPr>
        <w:footnoteReference w:id="5"/>
      </w:r>
      <w:r w:rsidR="00895396" w:rsidRPr="00621B61">
        <w:rPr>
          <w:rFonts w:cs="Arial"/>
          <w:szCs w:val="20"/>
          <w:lang w:eastAsia="sl-SI"/>
        </w:rPr>
        <w:t xml:space="preserve"> </w:t>
      </w:r>
      <w:r w:rsidRPr="00621B61">
        <w:rPr>
          <w:rFonts w:cs="Arial"/>
          <w:szCs w:val="20"/>
          <w:lang w:eastAsia="sl-SI"/>
        </w:rPr>
        <w:t xml:space="preserve">gre </w:t>
      </w:r>
      <w:r w:rsidR="00895396" w:rsidRPr="00621B61">
        <w:rPr>
          <w:rFonts w:cs="Arial"/>
          <w:szCs w:val="20"/>
          <w:lang w:eastAsia="sl-SI"/>
        </w:rPr>
        <w:t>za različn</w:t>
      </w:r>
      <w:r w:rsidR="00425976" w:rsidRPr="00621B61">
        <w:rPr>
          <w:rFonts w:cs="Arial"/>
          <w:szCs w:val="20"/>
          <w:lang w:eastAsia="sl-SI"/>
        </w:rPr>
        <w:t>i</w:t>
      </w:r>
      <w:r w:rsidR="00895396" w:rsidRPr="00621B61">
        <w:rPr>
          <w:rFonts w:cs="Arial"/>
          <w:szCs w:val="20"/>
          <w:lang w:eastAsia="sl-SI"/>
        </w:rPr>
        <w:t xml:space="preserve"> pravn</w:t>
      </w:r>
      <w:r w:rsidR="00425976" w:rsidRPr="00621B61">
        <w:rPr>
          <w:rFonts w:cs="Arial"/>
          <w:szCs w:val="20"/>
          <w:lang w:eastAsia="sl-SI"/>
        </w:rPr>
        <w:t>i</w:t>
      </w:r>
      <w:r w:rsidR="00895396" w:rsidRPr="00621B61">
        <w:rPr>
          <w:rFonts w:cs="Arial"/>
          <w:szCs w:val="20"/>
          <w:lang w:eastAsia="sl-SI"/>
        </w:rPr>
        <w:t xml:space="preserve"> podlag</w:t>
      </w:r>
      <w:r w:rsidR="00425976" w:rsidRPr="00621B61">
        <w:rPr>
          <w:rFonts w:cs="Arial"/>
          <w:szCs w:val="20"/>
          <w:lang w:eastAsia="sl-SI"/>
        </w:rPr>
        <w:t>i</w:t>
      </w:r>
      <w:r w:rsidR="00895396" w:rsidRPr="00621B61">
        <w:rPr>
          <w:rFonts w:cs="Arial"/>
          <w:szCs w:val="20"/>
          <w:lang w:eastAsia="sl-SI"/>
        </w:rPr>
        <w:t>, vendar pa naveden</w:t>
      </w:r>
      <w:r w:rsidR="00425976" w:rsidRPr="00621B61">
        <w:rPr>
          <w:rFonts w:cs="Arial"/>
          <w:szCs w:val="20"/>
          <w:lang w:eastAsia="sl-SI"/>
        </w:rPr>
        <w:t>a</w:t>
      </w:r>
      <w:r w:rsidR="00895396" w:rsidRPr="00621B61">
        <w:rPr>
          <w:rFonts w:cs="Arial"/>
          <w:szCs w:val="20"/>
          <w:lang w:eastAsia="sl-SI"/>
        </w:rPr>
        <w:t xml:space="preserve"> predpis</w:t>
      </w:r>
      <w:r w:rsidR="00425976" w:rsidRPr="00621B61">
        <w:rPr>
          <w:rFonts w:cs="Arial"/>
          <w:szCs w:val="20"/>
          <w:lang w:eastAsia="sl-SI"/>
        </w:rPr>
        <w:t>a</w:t>
      </w:r>
      <w:r w:rsidR="00895396" w:rsidRPr="00621B61">
        <w:rPr>
          <w:rFonts w:cs="Arial"/>
          <w:szCs w:val="20"/>
          <w:lang w:eastAsia="sl-SI"/>
        </w:rPr>
        <w:t xml:space="preserve"> ureja</w:t>
      </w:r>
      <w:r w:rsidR="00425976" w:rsidRPr="00621B61">
        <w:rPr>
          <w:rFonts w:cs="Arial"/>
          <w:szCs w:val="20"/>
          <w:lang w:eastAsia="sl-SI"/>
        </w:rPr>
        <w:t>ta</w:t>
      </w:r>
      <w:r w:rsidR="00895396" w:rsidRPr="00621B61">
        <w:rPr>
          <w:rFonts w:cs="Arial"/>
          <w:szCs w:val="20"/>
          <w:lang w:eastAsia="sl-SI"/>
        </w:rPr>
        <w:t xml:space="preserve"> isto vprašanje, torej ali je (vsaj deloma) iste informacije sodišče kot državni organ dolžno oziroma upravičeno posredovati določeni osebi, ki je zanje zaprosila, ali ne. </w:t>
      </w:r>
      <w:r w:rsidR="00F82AE9" w:rsidRPr="00621B61">
        <w:rPr>
          <w:rFonts w:cs="Arial"/>
          <w:szCs w:val="20"/>
          <w:lang w:eastAsia="sl-SI"/>
        </w:rPr>
        <w:t>Tako ZDIJZ kot ZPP torej urejata dostop do istih informacij oziroma dokumentov na podlagi individualne prošnje (zahteve, vloge) določene osebe. "Informacija javnega značaja" je pravni pojem, ki ga ureja ZDIJZ in ne dejanski, zato je šele ob pravilni uporabi tega zakona mogoče ugotoviti, ali gre za tako informacijo</w:t>
      </w:r>
      <w:r w:rsidR="00736BEC" w:rsidRPr="00621B61">
        <w:rPr>
          <w:rFonts w:cs="Arial"/>
          <w:szCs w:val="20"/>
          <w:lang w:eastAsia="sl-SI"/>
        </w:rPr>
        <w:t>,</w:t>
      </w:r>
      <w:r w:rsidR="00F82AE9" w:rsidRPr="00621B61">
        <w:rPr>
          <w:rFonts w:cs="Arial"/>
          <w:szCs w:val="20"/>
          <w:lang w:eastAsia="sl-SI"/>
        </w:rPr>
        <w:t xml:space="preserve"> ali ne. ZDIJZ pa ni edini predpis, ki ureja dostop do informacij državnih organov, temveč je eden od zakonov, ki urejajo to področje v okviru in v skladu z drugim odstavkom 39. člena Ustave. </w:t>
      </w:r>
      <w:r w:rsidR="006649EC" w:rsidRPr="00621B61">
        <w:rPr>
          <w:rFonts w:cs="Arial"/>
          <w:szCs w:val="20"/>
          <w:lang w:eastAsia="sl-SI"/>
        </w:rPr>
        <w:t>D</w:t>
      </w:r>
      <w:r w:rsidR="00895396" w:rsidRPr="00621B61">
        <w:rPr>
          <w:rFonts w:cs="Arial"/>
          <w:szCs w:val="20"/>
          <w:lang w:eastAsia="sl-SI"/>
        </w:rPr>
        <w:t xml:space="preserve">ostop do informacij iz spisov </w:t>
      </w:r>
      <w:r w:rsidR="00BD6D25" w:rsidRPr="00621B61">
        <w:rPr>
          <w:rFonts w:cs="Arial"/>
          <w:szCs w:val="20"/>
          <w:lang w:eastAsia="sl-SI"/>
        </w:rPr>
        <w:t>pravdnega</w:t>
      </w:r>
      <w:r w:rsidR="00895396" w:rsidRPr="00621B61">
        <w:rPr>
          <w:rFonts w:cs="Arial"/>
          <w:szCs w:val="20"/>
          <w:lang w:eastAsia="sl-SI"/>
        </w:rPr>
        <w:t xml:space="preserve"> postopka </w:t>
      </w:r>
      <w:r w:rsidR="006649EC" w:rsidRPr="00621B61">
        <w:rPr>
          <w:rFonts w:cs="Arial"/>
          <w:szCs w:val="20"/>
          <w:lang w:eastAsia="sl-SI"/>
        </w:rPr>
        <w:t xml:space="preserve">je </w:t>
      </w:r>
      <w:r w:rsidR="00895396" w:rsidRPr="00621B61">
        <w:rPr>
          <w:rFonts w:cs="Arial"/>
          <w:szCs w:val="20"/>
          <w:lang w:eastAsia="sl-SI"/>
        </w:rPr>
        <w:t>urejen v 1</w:t>
      </w:r>
      <w:r w:rsidR="00BD6D25" w:rsidRPr="00621B61">
        <w:rPr>
          <w:rFonts w:cs="Arial"/>
          <w:szCs w:val="20"/>
          <w:lang w:eastAsia="sl-SI"/>
        </w:rPr>
        <w:t>50</w:t>
      </w:r>
      <w:r w:rsidR="00895396" w:rsidRPr="00621B61">
        <w:rPr>
          <w:rFonts w:cs="Arial"/>
          <w:szCs w:val="20"/>
          <w:lang w:eastAsia="sl-SI"/>
        </w:rPr>
        <w:t>. členu Z</w:t>
      </w:r>
      <w:r w:rsidR="00BD6D25" w:rsidRPr="00621B61">
        <w:rPr>
          <w:rFonts w:cs="Arial"/>
          <w:szCs w:val="20"/>
          <w:lang w:eastAsia="sl-SI"/>
        </w:rPr>
        <w:t>P</w:t>
      </w:r>
      <w:r w:rsidR="00895396" w:rsidRPr="00621B61">
        <w:rPr>
          <w:rFonts w:cs="Arial"/>
          <w:szCs w:val="20"/>
          <w:lang w:eastAsia="sl-SI"/>
        </w:rPr>
        <w:t xml:space="preserve">P, ki </w:t>
      </w:r>
      <w:r w:rsidR="006649EC" w:rsidRPr="00621B61">
        <w:rPr>
          <w:rFonts w:cs="Arial"/>
          <w:szCs w:val="20"/>
          <w:lang w:eastAsia="sl-SI"/>
        </w:rPr>
        <w:t xml:space="preserve">pa </w:t>
      </w:r>
      <w:r w:rsidR="00895396" w:rsidRPr="00621B61">
        <w:rPr>
          <w:rFonts w:cs="Arial"/>
          <w:szCs w:val="20"/>
          <w:lang w:eastAsia="sl-SI"/>
        </w:rPr>
        <w:t xml:space="preserve">ne ureja zgolj upravičenj strank </w:t>
      </w:r>
      <w:r w:rsidR="006233D4" w:rsidRPr="00621B61">
        <w:rPr>
          <w:rFonts w:cs="Arial"/>
          <w:szCs w:val="20"/>
          <w:lang w:eastAsia="sl-SI"/>
        </w:rPr>
        <w:t>pravdnega</w:t>
      </w:r>
      <w:r w:rsidR="00895396" w:rsidRPr="00621B61">
        <w:rPr>
          <w:rFonts w:cs="Arial"/>
          <w:szCs w:val="20"/>
          <w:lang w:eastAsia="sl-SI"/>
        </w:rPr>
        <w:t xml:space="preserve"> postopka, temveč tudi vsake druge osebe, ki ima </w:t>
      </w:r>
      <w:r w:rsidR="009F12FB" w:rsidRPr="00621B61">
        <w:rPr>
          <w:rFonts w:cs="Arial"/>
          <w:szCs w:val="20"/>
          <w:lang w:eastAsia="sl-SI"/>
        </w:rPr>
        <w:t>upravičeno korist</w:t>
      </w:r>
      <w:r w:rsidR="00895396" w:rsidRPr="00621B61">
        <w:rPr>
          <w:rFonts w:cs="Arial"/>
          <w:szCs w:val="20"/>
          <w:lang w:eastAsia="sl-SI"/>
        </w:rPr>
        <w:t xml:space="preserve"> in </w:t>
      </w:r>
      <w:r w:rsidR="006649EC" w:rsidRPr="00621B61">
        <w:rPr>
          <w:rFonts w:cs="Arial"/>
          <w:szCs w:val="20"/>
          <w:lang w:eastAsia="sl-SI"/>
        </w:rPr>
        <w:t>jo</w:t>
      </w:r>
      <w:r w:rsidR="00895396" w:rsidRPr="00621B61">
        <w:rPr>
          <w:rFonts w:cs="Arial"/>
          <w:szCs w:val="20"/>
          <w:lang w:eastAsia="sl-SI"/>
        </w:rPr>
        <w:t xml:space="preserve"> izkaže pred pristojnim organom. Določbe navedenih procesnih oziroma organizacijskih zakonov so torej omejene na specifične dokumente oziroma informacije, ki se vodijo z zvezi z določenimi postopki in pristojnostmi. Ti zakoni urejajo posebna pravila za dostopanje do navedenih informacij ter vsebujejo v zvezi s tem tudi tem postopkom ter pravicam oseb, ki se v njih nahajajo, posebej prilagojene omejitve.</w:t>
      </w:r>
    </w:p>
    <w:p w14:paraId="5032BFBA" w14:textId="77777777" w:rsidR="00BD6D25" w:rsidRPr="00621B61" w:rsidRDefault="00BD6D25" w:rsidP="00334836">
      <w:pPr>
        <w:spacing w:line="240" w:lineRule="exact"/>
        <w:jc w:val="both"/>
        <w:rPr>
          <w:rFonts w:cs="Arial"/>
          <w:szCs w:val="20"/>
        </w:rPr>
      </w:pPr>
    </w:p>
    <w:p w14:paraId="24F4F842" w14:textId="1174C66B" w:rsidR="00D505AB" w:rsidRPr="00621B61" w:rsidRDefault="00D505AB" w:rsidP="00334836">
      <w:pPr>
        <w:pStyle w:val="odstavek1"/>
        <w:spacing w:before="0" w:line="240" w:lineRule="exact"/>
        <w:ind w:firstLine="0"/>
        <w:rPr>
          <w:color w:val="000000" w:themeColor="text1"/>
          <w:sz w:val="20"/>
          <w:szCs w:val="20"/>
        </w:rPr>
      </w:pPr>
      <w:r w:rsidRPr="00621B61">
        <w:rPr>
          <w:sz w:val="20"/>
          <w:szCs w:val="20"/>
        </w:rPr>
        <w:t>Torej imajo p</w:t>
      </w:r>
      <w:r w:rsidR="00F93842" w:rsidRPr="00621B61">
        <w:rPr>
          <w:sz w:val="20"/>
          <w:szCs w:val="20"/>
        </w:rPr>
        <w:t>ri dostopu do informacij posebn</w:t>
      </w:r>
      <w:r w:rsidR="00736BEC" w:rsidRPr="00621B61">
        <w:rPr>
          <w:sz w:val="20"/>
          <w:szCs w:val="20"/>
        </w:rPr>
        <w:t>e</w:t>
      </w:r>
      <w:r w:rsidR="00F93842" w:rsidRPr="00621B61">
        <w:rPr>
          <w:sz w:val="20"/>
          <w:szCs w:val="20"/>
        </w:rPr>
        <w:t xml:space="preserve"> določ</w:t>
      </w:r>
      <w:r w:rsidR="00736BEC" w:rsidRPr="00621B61">
        <w:rPr>
          <w:sz w:val="20"/>
          <w:szCs w:val="20"/>
        </w:rPr>
        <w:t>be</w:t>
      </w:r>
      <w:r w:rsidR="00F93842" w:rsidRPr="00621B61">
        <w:rPr>
          <w:sz w:val="20"/>
          <w:szCs w:val="20"/>
        </w:rPr>
        <w:t xml:space="preserve"> področne (procesne) zakonodaje glede možnosti oseb za vpogled v spise sodišč in drugih pristojnih organov </w:t>
      </w:r>
      <w:r w:rsidR="00F93842" w:rsidRPr="00621B61">
        <w:rPr>
          <w:b/>
          <w:bCs/>
          <w:sz w:val="20"/>
          <w:szCs w:val="20"/>
        </w:rPr>
        <w:t>značaj specialne ureditve</w:t>
      </w:r>
      <w:r w:rsidR="00F93842" w:rsidRPr="00621B61">
        <w:rPr>
          <w:sz w:val="20"/>
          <w:szCs w:val="20"/>
        </w:rPr>
        <w:t xml:space="preserve"> (</w:t>
      </w:r>
      <w:proofErr w:type="spellStart"/>
      <w:r w:rsidR="00F93842" w:rsidRPr="00621B61">
        <w:rPr>
          <w:sz w:val="20"/>
          <w:szCs w:val="20"/>
        </w:rPr>
        <w:t>lex</w:t>
      </w:r>
      <w:proofErr w:type="spellEnd"/>
      <w:r w:rsidR="00F93842" w:rsidRPr="00621B61">
        <w:rPr>
          <w:sz w:val="20"/>
          <w:szCs w:val="20"/>
        </w:rPr>
        <w:t xml:space="preserve"> </w:t>
      </w:r>
      <w:proofErr w:type="spellStart"/>
      <w:r w:rsidR="00F93842" w:rsidRPr="00621B61">
        <w:rPr>
          <w:sz w:val="20"/>
          <w:szCs w:val="20"/>
        </w:rPr>
        <w:t>specialis</w:t>
      </w:r>
      <w:proofErr w:type="spellEnd"/>
      <w:r w:rsidR="00F93842" w:rsidRPr="00621B61">
        <w:rPr>
          <w:sz w:val="20"/>
          <w:szCs w:val="20"/>
        </w:rPr>
        <w:t xml:space="preserve">) glede na določbe ZDIJZ. ZDIJZ se lahko kot splošnejši predpis uporablja le v tistih primerih in v zvezi z dostopom do tistih informacij, do katerih dostop ni urejen z navedenimi specialnimi zakoni. V obravnavanem primeru to pomeni, da se ZDIJZ lahko uporabi le glede dostopa do tistih podatkov, ki so bili pridobljeni ali sestavljeni zaradi pravdnega postopka ali v zvezi z njim, </w:t>
      </w:r>
      <w:r w:rsidR="00F93842" w:rsidRPr="00621B61">
        <w:rPr>
          <w:b/>
          <w:bCs/>
          <w:sz w:val="20"/>
          <w:szCs w:val="20"/>
        </w:rPr>
        <w:t>ki se ne nahajajo v sodnem spisu</w:t>
      </w:r>
      <w:r w:rsidRPr="00621B61">
        <w:rPr>
          <w:sz w:val="20"/>
          <w:szCs w:val="20"/>
        </w:rPr>
        <w:t xml:space="preserve">, v </w:t>
      </w:r>
      <w:r w:rsidRPr="00621B61">
        <w:rPr>
          <w:color w:val="000000" w:themeColor="text1"/>
          <w:sz w:val="20"/>
          <w:szCs w:val="20"/>
        </w:rPr>
        <w:t>nasprotnem primeru pa mora uporabiti določbe 150. člena ZPP.</w:t>
      </w:r>
    </w:p>
    <w:p w14:paraId="64E4BE10" w14:textId="77777777" w:rsidR="00D505AB" w:rsidRPr="00621B61" w:rsidRDefault="00D505AB" w:rsidP="00334836">
      <w:pPr>
        <w:pStyle w:val="odstavek1"/>
        <w:spacing w:before="0" w:line="240" w:lineRule="exact"/>
        <w:ind w:firstLine="0"/>
        <w:rPr>
          <w:b/>
          <w:bCs/>
          <w:color w:val="000000" w:themeColor="text1"/>
          <w:sz w:val="20"/>
          <w:szCs w:val="20"/>
        </w:rPr>
      </w:pPr>
    </w:p>
    <w:p w14:paraId="6C9E180B" w14:textId="441CD7A0" w:rsidR="00197E58" w:rsidRPr="00621B61" w:rsidRDefault="003F2451" w:rsidP="00334836">
      <w:pPr>
        <w:pStyle w:val="odstavek1"/>
        <w:spacing w:before="0" w:line="240" w:lineRule="exact"/>
        <w:ind w:firstLine="0"/>
        <w:rPr>
          <w:sz w:val="20"/>
          <w:szCs w:val="20"/>
        </w:rPr>
      </w:pPr>
      <w:r w:rsidRPr="00621B61">
        <w:rPr>
          <w:b/>
          <w:bCs/>
          <w:color w:val="000000" w:themeColor="text1"/>
          <w:sz w:val="20"/>
          <w:szCs w:val="20"/>
        </w:rPr>
        <w:t>Glede potrebne skrbnosti organa pri obravnavi zahtevka menimo, da o</w:t>
      </w:r>
      <w:r w:rsidR="00FA0879" w:rsidRPr="00621B61">
        <w:rPr>
          <w:b/>
          <w:bCs/>
          <w:color w:val="000000" w:themeColor="text1"/>
          <w:sz w:val="20"/>
          <w:szCs w:val="20"/>
        </w:rPr>
        <w:t>rgan zahtevek za dostop do informacij javnega značaja odobri, če odobritev takega zahtevka vključuje samo preprost postopek.</w:t>
      </w:r>
      <w:r w:rsidR="00FA0879" w:rsidRPr="00621B61">
        <w:rPr>
          <w:color w:val="000000" w:themeColor="text1"/>
          <w:sz w:val="20"/>
          <w:szCs w:val="20"/>
        </w:rPr>
        <w:t xml:space="preserve"> Torej rešitev takega zahtevka ne sme terjati nesorazmernega napora (npr. raziskovanja po uradnih evidencah, obdelava oziroma uporaba osebnih podatkov »kogarkoli« za iskanje po bazah podatkov, ipd..). Zavezanci po ZDIJZ so namreč dolžni omogočiti dostop le do že obstoječih informacij, niso pa dolžni ustvariti novega dokumenta, zbirati informacij, opravljati raziskav ali analizirati podatkov, da bi zadostili zahtevi prosilca.</w:t>
      </w:r>
      <w:r w:rsidR="00FA0879" w:rsidRPr="00621B61">
        <w:rPr>
          <w:rStyle w:val="Sprotnaopomba-sklic"/>
          <w:color w:val="000000" w:themeColor="text1"/>
          <w:sz w:val="20"/>
          <w:szCs w:val="20"/>
        </w:rPr>
        <w:footnoteReference w:id="6"/>
      </w:r>
      <w:r w:rsidR="00A462B9" w:rsidRPr="00621B61">
        <w:rPr>
          <w:color w:val="000000" w:themeColor="text1"/>
          <w:sz w:val="20"/>
          <w:szCs w:val="20"/>
        </w:rPr>
        <w:t xml:space="preserve"> </w:t>
      </w:r>
      <w:r w:rsidR="00197E58" w:rsidRPr="00621B61">
        <w:rPr>
          <w:color w:val="000000" w:themeColor="text1"/>
          <w:sz w:val="20"/>
          <w:szCs w:val="20"/>
        </w:rPr>
        <w:t xml:space="preserve"> </w:t>
      </w:r>
      <w:r w:rsidR="00197E58" w:rsidRPr="00621B61">
        <w:rPr>
          <w:sz w:val="20"/>
          <w:szCs w:val="20"/>
        </w:rPr>
        <w:t xml:space="preserve">V kolikor je organ/zavezanec z odločbo zavrnil dostop do informacij javnega značaja, ima prosilec pravico do pritožbe, ki jo posreduje na Informacijskega pooblaščenca, ki o pritožbi dokončno odloči.    </w:t>
      </w:r>
    </w:p>
    <w:p w14:paraId="0D241386" w14:textId="080D4301" w:rsidR="00FA0879" w:rsidRPr="00621B61" w:rsidRDefault="00FA0879" w:rsidP="00334836">
      <w:pPr>
        <w:pStyle w:val="odstavek1"/>
        <w:spacing w:before="0" w:line="240" w:lineRule="exact"/>
        <w:ind w:firstLine="0"/>
        <w:rPr>
          <w:color w:val="000000"/>
          <w:sz w:val="20"/>
          <w:szCs w:val="20"/>
        </w:rPr>
      </w:pPr>
    </w:p>
    <w:p w14:paraId="19424866" w14:textId="024D0DF9" w:rsidR="00DE7006" w:rsidRPr="00621B61" w:rsidRDefault="0081525C" w:rsidP="00334836">
      <w:pPr>
        <w:pStyle w:val="Brezrazmikov"/>
        <w:spacing w:line="240" w:lineRule="exact"/>
        <w:jc w:val="both"/>
        <w:rPr>
          <w:rFonts w:cs="Arial"/>
          <w:szCs w:val="20"/>
        </w:rPr>
      </w:pPr>
      <w:r w:rsidRPr="00621B61">
        <w:rPr>
          <w:rFonts w:cs="Arial"/>
          <w:color w:val="000000"/>
          <w:szCs w:val="20"/>
        </w:rPr>
        <w:t>Na koncu vas obveščamo, da lahko m</w:t>
      </w:r>
      <w:r w:rsidR="00DE7006" w:rsidRPr="00621B61">
        <w:rPr>
          <w:rFonts w:cs="Arial"/>
          <w:szCs w:val="20"/>
          <w:lang w:eastAsia="sl-SI"/>
        </w:rPr>
        <w:t>inistrstvo posreduje le</w:t>
      </w:r>
      <w:r w:rsidR="00DE7006" w:rsidRPr="00621B61">
        <w:rPr>
          <w:rFonts w:cs="Arial"/>
          <w:szCs w:val="20"/>
        </w:rPr>
        <w:t xml:space="preserve"> »neobvezno in </w:t>
      </w:r>
      <w:proofErr w:type="spellStart"/>
      <w:r w:rsidR="00DE7006" w:rsidRPr="00621B61">
        <w:rPr>
          <w:rFonts w:cs="Arial"/>
          <w:szCs w:val="20"/>
        </w:rPr>
        <w:t>nezavezujoče</w:t>
      </w:r>
      <w:proofErr w:type="spellEnd"/>
      <w:r w:rsidR="00DE7006" w:rsidRPr="00621B61">
        <w:rPr>
          <w:rFonts w:cs="Arial"/>
          <w:szCs w:val="20"/>
        </w:rPr>
        <w:t>« pravno mnenje, v katerem je smiselno/splošno zajet odgovor na vaše vprašanje.</w:t>
      </w:r>
      <w:r w:rsidR="00A10EED" w:rsidRPr="00621B61">
        <w:rPr>
          <w:rFonts w:cs="Arial"/>
          <w:szCs w:val="20"/>
          <w:lang w:eastAsia="sl-SI"/>
        </w:rPr>
        <w:t xml:space="preserve"> V konkretnih upravnih zadevah interpretirajo predpise upravni organi in sodišča, ki o njih samostojno odločajo.</w:t>
      </w:r>
      <w:r w:rsidR="00C56E9A" w:rsidRPr="00621B61">
        <w:rPr>
          <w:rFonts w:cs="Arial"/>
          <w:szCs w:val="20"/>
          <w:lang w:eastAsia="sl-SI"/>
        </w:rPr>
        <w:t xml:space="preserve"> </w:t>
      </w:r>
      <w:r w:rsidR="00C56E9A" w:rsidRPr="00621B61">
        <w:rPr>
          <w:rFonts w:cs="Arial"/>
          <w:szCs w:val="20"/>
          <w:lang w:eastAsia="sl-SI"/>
        </w:rPr>
        <w:lastRenderedPageBreak/>
        <w:t xml:space="preserve">Za </w:t>
      </w:r>
      <w:r w:rsidR="005C6355" w:rsidRPr="00621B61">
        <w:rPr>
          <w:rFonts w:cs="Arial"/>
          <w:szCs w:val="20"/>
          <w:lang w:eastAsia="sl-SI"/>
        </w:rPr>
        <w:t xml:space="preserve">pojasnila glede </w:t>
      </w:r>
      <w:r w:rsidR="00C56E9A" w:rsidRPr="00621B61">
        <w:rPr>
          <w:rFonts w:cs="Arial"/>
          <w:szCs w:val="20"/>
          <w:lang w:eastAsia="sl-SI"/>
        </w:rPr>
        <w:t>izvajanj</w:t>
      </w:r>
      <w:r w:rsidR="00197E58" w:rsidRPr="00621B61">
        <w:rPr>
          <w:rFonts w:cs="Arial"/>
          <w:szCs w:val="20"/>
          <w:lang w:eastAsia="sl-SI"/>
        </w:rPr>
        <w:t>a določb</w:t>
      </w:r>
      <w:r w:rsidR="00C56E9A" w:rsidRPr="00621B61">
        <w:rPr>
          <w:rFonts w:cs="Arial"/>
          <w:szCs w:val="20"/>
          <w:lang w:eastAsia="sl-SI"/>
        </w:rPr>
        <w:t xml:space="preserve"> Zakona o pravdnem postopku </w:t>
      </w:r>
      <w:r w:rsidR="00095D4B" w:rsidRPr="00621B61">
        <w:rPr>
          <w:rFonts w:cs="Arial"/>
          <w:szCs w:val="20"/>
          <w:lang w:eastAsia="sl-SI"/>
        </w:rPr>
        <w:t>je pristojno Ministrstvo za pravosodje.</w:t>
      </w:r>
    </w:p>
    <w:p w14:paraId="40FDA285" w14:textId="77777777" w:rsidR="009E468A" w:rsidRPr="00621B61" w:rsidRDefault="009E468A" w:rsidP="00334836">
      <w:pPr>
        <w:autoSpaceDE w:val="0"/>
        <w:autoSpaceDN w:val="0"/>
        <w:adjustRightInd w:val="0"/>
        <w:spacing w:line="240" w:lineRule="exact"/>
        <w:jc w:val="both"/>
        <w:rPr>
          <w:rFonts w:cs="Arial"/>
          <w:color w:val="000000"/>
          <w:szCs w:val="20"/>
          <w:lang w:eastAsia="sl-SI"/>
        </w:rPr>
      </w:pPr>
    </w:p>
    <w:p w14:paraId="1A504B47" w14:textId="77777777" w:rsidR="00DE7006" w:rsidRPr="00334836" w:rsidRDefault="00DE7006" w:rsidP="00334836">
      <w:pPr>
        <w:pStyle w:val="Brezrazmikov"/>
        <w:spacing w:line="240" w:lineRule="exact"/>
        <w:jc w:val="both"/>
        <w:rPr>
          <w:rFonts w:cs="Arial"/>
          <w:szCs w:val="20"/>
          <w:lang w:eastAsia="sl-SI"/>
        </w:rPr>
      </w:pPr>
      <w:r w:rsidRPr="00334836">
        <w:rPr>
          <w:rFonts w:cs="Arial"/>
          <w:szCs w:val="20"/>
          <w:lang w:eastAsia="sl-SI"/>
        </w:rPr>
        <w:t>Več o obveznostih organov</w:t>
      </w:r>
      <w:r w:rsidRPr="00334836">
        <w:rPr>
          <w:rFonts w:cs="Arial"/>
          <w:color w:val="000000"/>
          <w:szCs w:val="20"/>
          <w:lang w:eastAsia="sl-SI"/>
        </w:rPr>
        <w:t xml:space="preserve"> po ZDIJZ,</w:t>
      </w:r>
      <w:r w:rsidRPr="00334836">
        <w:rPr>
          <w:rFonts w:cs="Arial"/>
          <w:szCs w:val="20"/>
          <w:lang w:eastAsia="sl-SI"/>
        </w:rPr>
        <w:t xml:space="preserve"> si lahko preberete na spletni strani </w:t>
      </w:r>
      <w:r w:rsidRPr="00334836">
        <w:rPr>
          <w:rFonts w:cs="Arial"/>
          <w:szCs w:val="20"/>
        </w:rPr>
        <w:t>Službe za transparentnost, integriteto in politični sistem,</w:t>
      </w:r>
      <w:r w:rsidRPr="00334836">
        <w:rPr>
          <w:rFonts w:cs="Arial"/>
          <w:szCs w:val="20"/>
          <w:lang w:eastAsia="sl-SI"/>
        </w:rPr>
        <w:t xml:space="preserve"> kjer so objavljena </w:t>
      </w:r>
      <w:r w:rsidRPr="00334836">
        <w:rPr>
          <w:rFonts w:cs="Arial"/>
          <w:szCs w:val="20"/>
        </w:rPr>
        <w:t xml:space="preserve">mnenja, pojasnila in odgovori na vprašanja posameznih zavezancev, in sicer: </w:t>
      </w:r>
      <w:hyperlink r:id="rId8" w:history="1">
        <w:r w:rsidRPr="00334836">
          <w:rPr>
            <w:rStyle w:val="Hiperpovezava"/>
            <w:rFonts w:cs="Arial"/>
            <w:szCs w:val="20"/>
            <w:lang w:eastAsia="sl-SI"/>
          </w:rPr>
          <w:t>https://www.gov.si/teme/informacije-javnega-znacaja/</w:t>
        </w:r>
      </w:hyperlink>
      <w:r w:rsidRPr="00334836">
        <w:rPr>
          <w:rFonts w:cs="Arial"/>
          <w:szCs w:val="20"/>
          <w:lang w:eastAsia="sl-SI"/>
        </w:rPr>
        <w:t xml:space="preserve">. </w:t>
      </w:r>
    </w:p>
    <w:p w14:paraId="15649227" w14:textId="4B664E89" w:rsidR="00DE7006" w:rsidRPr="00334836" w:rsidRDefault="00DE7006" w:rsidP="00334836">
      <w:pPr>
        <w:autoSpaceDE w:val="0"/>
        <w:autoSpaceDN w:val="0"/>
        <w:adjustRightInd w:val="0"/>
        <w:spacing w:line="240" w:lineRule="exact"/>
        <w:jc w:val="both"/>
        <w:rPr>
          <w:rFonts w:cs="Arial"/>
          <w:color w:val="000000"/>
          <w:szCs w:val="20"/>
          <w:lang w:eastAsia="sl-SI"/>
        </w:rPr>
      </w:pPr>
    </w:p>
    <w:p w14:paraId="261BAC48" w14:textId="77777777" w:rsidR="00605AFF" w:rsidRPr="00334836" w:rsidRDefault="00605AFF" w:rsidP="00334836">
      <w:pPr>
        <w:spacing w:line="240" w:lineRule="exact"/>
        <w:jc w:val="both"/>
        <w:rPr>
          <w:rFonts w:cs="Arial"/>
          <w:szCs w:val="20"/>
          <w:lang w:eastAsia="sl-SI"/>
        </w:rPr>
      </w:pPr>
    </w:p>
    <w:p w14:paraId="222E0896" w14:textId="724D9A0C" w:rsidR="00F31FF0" w:rsidRPr="00334836" w:rsidRDefault="00F31FF0" w:rsidP="00334836">
      <w:pPr>
        <w:spacing w:line="240" w:lineRule="exact"/>
        <w:jc w:val="both"/>
        <w:rPr>
          <w:rFonts w:cs="Arial"/>
          <w:szCs w:val="20"/>
          <w:lang w:eastAsia="sl-SI"/>
        </w:rPr>
      </w:pPr>
      <w:r w:rsidRPr="00334836">
        <w:rPr>
          <w:rFonts w:cs="Arial"/>
          <w:szCs w:val="20"/>
          <w:lang w:eastAsia="sl-SI"/>
        </w:rPr>
        <w:t>Lep pozdrav,</w:t>
      </w:r>
    </w:p>
    <w:p w14:paraId="5B0C1F08" w14:textId="77777777" w:rsidR="00F31FF0" w:rsidRPr="00334836" w:rsidRDefault="00F31FF0" w:rsidP="00334836">
      <w:pPr>
        <w:spacing w:line="240" w:lineRule="exact"/>
        <w:jc w:val="both"/>
        <w:rPr>
          <w:rFonts w:cs="Arial"/>
          <w:szCs w:val="20"/>
          <w:lang w:eastAsia="sl-SI"/>
        </w:rPr>
      </w:pPr>
      <w:r w:rsidRPr="00334836">
        <w:rPr>
          <w:rFonts w:cs="Arial"/>
          <w:szCs w:val="20"/>
          <w:lang w:eastAsia="sl-SI"/>
        </w:rPr>
        <w:t xml:space="preserve">                                                                               </w:t>
      </w:r>
    </w:p>
    <w:p w14:paraId="7B0F6D1D" w14:textId="77777777" w:rsidR="00F31FF0" w:rsidRPr="00334836" w:rsidRDefault="00F31FF0" w:rsidP="00334836">
      <w:pPr>
        <w:spacing w:line="240" w:lineRule="exact"/>
        <w:jc w:val="both"/>
        <w:rPr>
          <w:rFonts w:cs="Arial"/>
          <w:szCs w:val="20"/>
          <w:lang w:eastAsia="sl-SI"/>
        </w:rPr>
      </w:pPr>
      <w:r w:rsidRPr="00334836">
        <w:rPr>
          <w:rFonts w:cs="Arial"/>
          <w:szCs w:val="20"/>
          <w:lang w:eastAsia="sl-SI"/>
        </w:rPr>
        <w:t xml:space="preserve">                              </w:t>
      </w:r>
    </w:p>
    <w:p w14:paraId="19D9F15E" w14:textId="77777777" w:rsidR="00F31FF0" w:rsidRPr="00334836" w:rsidRDefault="00F31FF0" w:rsidP="00334836">
      <w:pPr>
        <w:spacing w:line="240" w:lineRule="exact"/>
        <w:jc w:val="both"/>
        <w:rPr>
          <w:rFonts w:cs="Arial"/>
          <w:szCs w:val="20"/>
          <w:lang w:eastAsia="sl-SI"/>
        </w:rPr>
      </w:pPr>
    </w:p>
    <w:p w14:paraId="590D5221" w14:textId="77777777" w:rsidR="00F31FF0" w:rsidRPr="00334836" w:rsidRDefault="00F31FF0" w:rsidP="00334836">
      <w:pPr>
        <w:spacing w:line="240" w:lineRule="exact"/>
        <w:jc w:val="both"/>
        <w:rPr>
          <w:rFonts w:cs="Arial"/>
          <w:szCs w:val="20"/>
          <w:lang w:eastAsia="sl-SI"/>
        </w:rPr>
      </w:pPr>
      <w:r w:rsidRPr="00334836">
        <w:rPr>
          <w:rFonts w:cs="Arial"/>
          <w:szCs w:val="20"/>
          <w:lang w:eastAsia="sl-SI"/>
        </w:rPr>
        <w:t xml:space="preserve">Pripravil: </w:t>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t xml:space="preserve"> Urška Gorenc, sekretarka</w:t>
      </w:r>
    </w:p>
    <w:p w14:paraId="6F14918E" w14:textId="14B0F23E" w:rsidR="00F31FF0" w:rsidRPr="00334836" w:rsidRDefault="00F31FF0" w:rsidP="00334836">
      <w:pPr>
        <w:spacing w:line="240" w:lineRule="exact"/>
        <w:jc w:val="both"/>
        <w:rPr>
          <w:rFonts w:cs="Arial"/>
          <w:szCs w:val="20"/>
          <w:lang w:eastAsia="sl-SI"/>
        </w:rPr>
      </w:pPr>
      <w:r w:rsidRPr="00334836">
        <w:rPr>
          <w:rFonts w:cs="Arial"/>
          <w:szCs w:val="20"/>
          <w:lang w:eastAsia="sl-SI"/>
        </w:rPr>
        <w:t xml:space="preserve">Ciril Repnik </w:t>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t xml:space="preserve"> vodja </w:t>
      </w:r>
      <w:r w:rsidR="00DF16A2" w:rsidRPr="00334836">
        <w:rPr>
          <w:rFonts w:cs="Arial"/>
          <w:szCs w:val="20"/>
          <w:lang w:eastAsia="sl-SI"/>
        </w:rPr>
        <w:t>sektorja</w:t>
      </w:r>
      <w:r w:rsidRPr="00334836">
        <w:rPr>
          <w:rFonts w:cs="Arial"/>
          <w:szCs w:val="20"/>
          <w:lang w:eastAsia="sl-SI"/>
        </w:rPr>
        <w:t xml:space="preserve"> po pooblastilu</w:t>
      </w:r>
    </w:p>
    <w:p w14:paraId="0320DF10" w14:textId="77777777" w:rsidR="00F31FF0" w:rsidRPr="00334836" w:rsidRDefault="00F31FF0" w:rsidP="00334836">
      <w:pPr>
        <w:spacing w:line="240" w:lineRule="exact"/>
        <w:jc w:val="both"/>
        <w:rPr>
          <w:rFonts w:cs="Arial"/>
          <w:szCs w:val="20"/>
          <w:lang w:eastAsia="sl-SI"/>
        </w:rPr>
      </w:pPr>
      <w:r w:rsidRPr="00334836">
        <w:rPr>
          <w:rFonts w:cs="Arial"/>
          <w:szCs w:val="20"/>
          <w:lang w:eastAsia="sl-SI"/>
        </w:rPr>
        <w:t>sekretar</w:t>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r w:rsidRPr="00334836">
        <w:rPr>
          <w:rFonts w:cs="Arial"/>
          <w:szCs w:val="20"/>
          <w:lang w:eastAsia="sl-SI"/>
        </w:rPr>
        <w:tab/>
      </w:r>
    </w:p>
    <w:p w14:paraId="1F1A20A3" w14:textId="77777777" w:rsidR="00F31FF0" w:rsidRPr="00334836" w:rsidRDefault="00F31FF0" w:rsidP="00334836">
      <w:pPr>
        <w:pStyle w:val="Navadensplet"/>
        <w:spacing w:before="0" w:beforeAutospacing="0" w:after="0" w:afterAutospacing="0" w:line="240" w:lineRule="exact"/>
        <w:jc w:val="both"/>
        <w:rPr>
          <w:rFonts w:ascii="Arial" w:hAnsi="Arial" w:cs="Arial"/>
          <w:sz w:val="20"/>
          <w:szCs w:val="20"/>
        </w:rPr>
      </w:pPr>
    </w:p>
    <w:p w14:paraId="4862CD0E" w14:textId="77777777" w:rsidR="00F31FF0" w:rsidRPr="00334836" w:rsidRDefault="00F31FF0" w:rsidP="00334836">
      <w:pPr>
        <w:pStyle w:val="Navadensplet"/>
        <w:spacing w:before="0" w:beforeAutospacing="0" w:after="0" w:afterAutospacing="0" w:line="240" w:lineRule="exact"/>
        <w:jc w:val="both"/>
        <w:rPr>
          <w:rFonts w:ascii="Arial" w:hAnsi="Arial" w:cs="Arial"/>
          <w:sz w:val="20"/>
          <w:szCs w:val="20"/>
        </w:rPr>
      </w:pPr>
    </w:p>
    <w:p w14:paraId="63843D1A" w14:textId="77777777" w:rsidR="00F31FF0" w:rsidRPr="00334836" w:rsidRDefault="00F31FF0" w:rsidP="00334836">
      <w:pPr>
        <w:pStyle w:val="Navadensplet"/>
        <w:spacing w:before="0" w:beforeAutospacing="0" w:after="0" w:afterAutospacing="0" w:line="240" w:lineRule="exact"/>
        <w:jc w:val="both"/>
        <w:rPr>
          <w:rFonts w:ascii="Arial" w:hAnsi="Arial" w:cs="Arial"/>
          <w:sz w:val="20"/>
          <w:szCs w:val="20"/>
        </w:rPr>
      </w:pPr>
      <w:r w:rsidRPr="00334836">
        <w:rPr>
          <w:rFonts w:ascii="Arial" w:hAnsi="Arial" w:cs="Arial"/>
          <w:sz w:val="20"/>
          <w:szCs w:val="20"/>
        </w:rPr>
        <w:t>Poslati</w:t>
      </w:r>
      <w:r w:rsidRPr="00334836">
        <w:rPr>
          <w:rFonts w:ascii="Arial" w:hAnsi="Arial" w:cs="Arial"/>
          <w:color w:val="000000"/>
          <w:sz w:val="20"/>
          <w:szCs w:val="20"/>
        </w:rPr>
        <w:t xml:space="preserve"> po E-pošti</w:t>
      </w:r>
      <w:r w:rsidRPr="00334836">
        <w:rPr>
          <w:rFonts w:ascii="Arial" w:hAnsi="Arial" w:cs="Arial"/>
          <w:sz w:val="20"/>
          <w:szCs w:val="20"/>
        </w:rPr>
        <w:t>:</w:t>
      </w:r>
    </w:p>
    <w:p w14:paraId="25B07167" w14:textId="028BEB22" w:rsidR="0080459E" w:rsidRPr="00334836" w:rsidRDefault="00F31FF0" w:rsidP="00334836">
      <w:pPr>
        <w:autoSpaceDE w:val="0"/>
        <w:autoSpaceDN w:val="0"/>
        <w:adjustRightInd w:val="0"/>
        <w:spacing w:line="240" w:lineRule="exact"/>
        <w:jc w:val="both"/>
        <w:rPr>
          <w:rFonts w:cs="Arial"/>
          <w:color w:val="000000" w:themeColor="text1"/>
          <w:szCs w:val="20"/>
          <w:u w:val="single"/>
          <w:lang w:eastAsia="sl-SI"/>
        </w:rPr>
      </w:pPr>
      <w:r w:rsidRPr="00334836">
        <w:rPr>
          <w:rFonts w:cs="Arial"/>
          <w:color w:val="000000" w:themeColor="text1"/>
          <w:szCs w:val="20"/>
        </w:rPr>
        <w:t>- naslovniku:</w:t>
      </w:r>
      <w:r w:rsidR="00C1055D">
        <w:rPr>
          <w:rFonts w:cs="Arial"/>
          <w:color w:val="000000" w:themeColor="text1"/>
          <w:szCs w:val="20"/>
        </w:rPr>
        <w:t xml:space="preserve"> ______________</w:t>
      </w:r>
      <w:r w:rsidR="00F93A27" w:rsidRPr="00334836">
        <w:rPr>
          <w:rFonts w:cs="Arial"/>
          <w:color w:val="000000" w:themeColor="text1"/>
          <w:szCs w:val="20"/>
          <w:u w:val="single"/>
        </w:rPr>
        <w:t xml:space="preserve"> </w:t>
      </w:r>
    </w:p>
    <w:p w14:paraId="0438A822" w14:textId="3B61A3F4" w:rsidR="007E374B" w:rsidRPr="00334836" w:rsidRDefault="007E374B" w:rsidP="00334836">
      <w:pPr>
        <w:autoSpaceDE w:val="0"/>
        <w:autoSpaceDN w:val="0"/>
        <w:adjustRightInd w:val="0"/>
        <w:spacing w:line="240" w:lineRule="exact"/>
        <w:jc w:val="both"/>
        <w:rPr>
          <w:rFonts w:cs="Arial"/>
          <w:color w:val="000000" w:themeColor="text1"/>
          <w:szCs w:val="20"/>
          <w:lang w:eastAsia="sl-SI"/>
        </w:rPr>
      </w:pPr>
    </w:p>
    <w:p w14:paraId="3415B300" w14:textId="3F80E556" w:rsidR="00BC0833" w:rsidRPr="00334836" w:rsidRDefault="00BC0833" w:rsidP="00334836">
      <w:pPr>
        <w:pStyle w:val="Default"/>
        <w:spacing w:line="240" w:lineRule="exact"/>
        <w:jc w:val="both"/>
        <w:rPr>
          <w:color w:val="000000" w:themeColor="text1"/>
          <w:sz w:val="20"/>
          <w:szCs w:val="20"/>
        </w:rPr>
      </w:pPr>
    </w:p>
    <w:p w14:paraId="5A0E0402" w14:textId="77777777" w:rsidR="004C6EAE" w:rsidRPr="00334836" w:rsidRDefault="004C6EAE" w:rsidP="00334836">
      <w:pPr>
        <w:autoSpaceDE w:val="0"/>
        <w:adjustRightInd w:val="0"/>
        <w:spacing w:line="240" w:lineRule="exact"/>
        <w:jc w:val="both"/>
        <w:rPr>
          <w:rFonts w:cs="Arial"/>
          <w:color w:val="000000"/>
          <w:szCs w:val="20"/>
          <w:lang w:eastAsia="sl-SI"/>
        </w:rPr>
      </w:pPr>
    </w:p>
    <w:p w14:paraId="6C65BFA3" w14:textId="77777777" w:rsidR="004C6EAE" w:rsidRPr="00334836" w:rsidRDefault="004C6EAE" w:rsidP="00334836">
      <w:pPr>
        <w:autoSpaceDE w:val="0"/>
        <w:adjustRightInd w:val="0"/>
        <w:spacing w:line="240" w:lineRule="exact"/>
        <w:jc w:val="both"/>
        <w:rPr>
          <w:rFonts w:cs="Arial"/>
          <w:color w:val="000000"/>
          <w:szCs w:val="20"/>
          <w:lang w:eastAsia="sl-SI"/>
        </w:rPr>
      </w:pPr>
    </w:p>
    <w:p w14:paraId="52368A7D" w14:textId="16B16957" w:rsidR="004C6EAE" w:rsidRPr="00334836" w:rsidRDefault="004C6EAE" w:rsidP="00334836">
      <w:pPr>
        <w:autoSpaceDE w:val="0"/>
        <w:autoSpaceDN w:val="0"/>
        <w:adjustRightInd w:val="0"/>
        <w:spacing w:line="240" w:lineRule="exact"/>
        <w:jc w:val="both"/>
        <w:rPr>
          <w:rFonts w:cs="Arial"/>
          <w:color w:val="000000"/>
          <w:szCs w:val="20"/>
          <w:lang w:eastAsia="sl-SI"/>
        </w:rPr>
      </w:pPr>
    </w:p>
    <w:sectPr w:rsidR="004C6EAE" w:rsidRPr="00334836"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B639A" w14:textId="77777777" w:rsidR="00A945EE" w:rsidRDefault="00A945EE">
      <w:r>
        <w:separator/>
      </w:r>
    </w:p>
  </w:endnote>
  <w:endnote w:type="continuationSeparator" w:id="0">
    <w:p w14:paraId="0ABFC6C4" w14:textId="77777777" w:rsidR="00A945EE" w:rsidRDefault="00A9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83CEB" w14:textId="77777777" w:rsidR="00A945EE" w:rsidRDefault="00A945EE">
      <w:r>
        <w:separator/>
      </w:r>
    </w:p>
  </w:footnote>
  <w:footnote w:type="continuationSeparator" w:id="0">
    <w:p w14:paraId="14ED37A7" w14:textId="77777777" w:rsidR="00A945EE" w:rsidRDefault="00A945EE">
      <w:r>
        <w:continuationSeparator/>
      </w:r>
    </w:p>
  </w:footnote>
  <w:footnote w:id="1">
    <w:p w14:paraId="19696494" w14:textId="567EDBE0" w:rsidR="00CB2839" w:rsidRPr="00CB2839" w:rsidRDefault="00CB2839" w:rsidP="00CB2839">
      <w:pPr>
        <w:pStyle w:val="Sprotnaopomba-besedilo"/>
        <w:spacing w:line="240" w:lineRule="auto"/>
        <w:rPr>
          <w:color w:val="000000"/>
          <w:sz w:val="16"/>
          <w:szCs w:val="16"/>
        </w:rPr>
      </w:pPr>
      <w:r w:rsidRPr="00CB2839">
        <w:rPr>
          <w:rStyle w:val="Sprotnaopomba-sklic"/>
          <w:sz w:val="16"/>
          <w:szCs w:val="16"/>
        </w:rPr>
        <w:footnoteRef/>
      </w:r>
      <w:r w:rsidRPr="00CB2839">
        <w:rPr>
          <w:sz w:val="16"/>
          <w:szCs w:val="16"/>
        </w:rPr>
        <w:t xml:space="preserve"> </w:t>
      </w:r>
      <w:r w:rsidRPr="00CB2839">
        <w:rPr>
          <w:color w:val="000000"/>
          <w:sz w:val="16"/>
          <w:szCs w:val="16"/>
        </w:rPr>
        <w:t xml:space="preserve">Uradni list RS, št. </w:t>
      </w:r>
      <w:hyperlink r:id="rId1" w:tgtFrame="_blank" w:tooltip="Zakon o dostopu do informacij javnega značaja (uradno prečiščeno besedilo)" w:history="1">
        <w:r w:rsidRPr="00CB2839">
          <w:rPr>
            <w:rStyle w:val="Hiperpovezava"/>
            <w:color w:val="000000"/>
            <w:sz w:val="16"/>
            <w:szCs w:val="16"/>
            <w:u w:val="none"/>
          </w:rPr>
          <w:t>51/06</w:t>
        </w:r>
      </w:hyperlink>
      <w:r w:rsidRPr="00CB2839">
        <w:rPr>
          <w:color w:val="000000"/>
          <w:sz w:val="16"/>
          <w:szCs w:val="16"/>
        </w:rPr>
        <w:t xml:space="preserve"> – uradno prečiščeno besedilo, </w:t>
      </w:r>
      <w:hyperlink r:id="rId2" w:tgtFrame="_blank" w:tooltip="Zakon o davčnem postopku" w:history="1">
        <w:r w:rsidRPr="00CB2839">
          <w:rPr>
            <w:rStyle w:val="Hiperpovezava"/>
            <w:color w:val="000000"/>
            <w:sz w:val="16"/>
            <w:szCs w:val="16"/>
            <w:u w:val="none"/>
          </w:rPr>
          <w:t>117/06</w:t>
        </w:r>
      </w:hyperlink>
      <w:r w:rsidRPr="00CB2839">
        <w:rPr>
          <w:color w:val="000000"/>
          <w:sz w:val="16"/>
          <w:szCs w:val="16"/>
        </w:rPr>
        <w:t xml:space="preserve"> – ZDavP-2, </w:t>
      </w:r>
      <w:hyperlink r:id="rId3" w:tgtFrame="_blank" w:tooltip="Zakon o spremembah in dopolnitvah Zakona o dostopu do informacij javnega značaja" w:history="1">
        <w:r w:rsidRPr="00CB2839">
          <w:rPr>
            <w:rStyle w:val="Hiperpovezava"/>
            <w:color w:val="000000"/>
            <w:sz w:val="16"/>
            <w:szCs w:val="16"/>
            <w:u w:val="none"/>
          </w:rPr>
          <w:t>23/14</w:t>
        </w:r>
      </w:hyperlink>
      <w:r w:rsidRPr="00CB2839">
        <w:rPr>
          <w:color w:val="000000"/>
          <w:sz w:val="16"/>
          <w:szCs w:val="16"/>
        </w:rPr>
        <w:t xml:space="preserve">, </w:t>
      </w:r>
      <w:hyperlink r:id="rId4" w:tgtFrame="_blank" w:tooltip="Zakon o spremembah in dopolnitvah Zakona o dostopu do informacij javnega značaja" w:history="1">
        <w:r w:rsidRPr="00CB2839">
          <w:rPr>
            <w:rStyle w:val="Hiperpovezava"/>
            <w:color w:val="000000"/>
            <w:sz w:val="16"/>
            <w:szCs w:val="16"/>
            <w:u w:val="none"/>
          </w:rPr>
          <w:t>50/14</w:t>
        </w:r>
      </w:hyperlink>
      <w:r w:rsidRPr="00CB2839">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CB2839">
          <w:rPr>
            <w:rStyle w:val="Hiperpovezava"/>
            <w:color w:val="000000"/>
            <w:sz w:val="16"/>
            <w:szCs w:val="16"/>
            <w:u w:val="none"/>
          </w:rPr>
          <w:t>19/15</w:t>
        </w:r>
      </w:hyperlink>
      <w:r w:rsidRPr="00CB2839">
        <w:rPr>
          <w:color w:val="000000"/>
          <w:sz w:val="16"/>
          <w:szCs w:val="16"/>
        </w:rPr>
        <w:t xml:space="preserve"> – </w:t>
      </w:r>
      <w:proofErr w:type="spellStart"/>
      <w:r w:rsidRPr="00CB2839">
        <w:rPr>
          <w:color w:val="000000"/>
          <w:sz w:val="16"/>
          <w:szCs w:val="16"/>
        </w:rPr>
        <w:t>odl</w:t>
      </w:r>
      <w:proofErr w:type="spellEnd"/>
      <w:r w:rsidRPr="00CB2839">
        <w:rPr>
          <w:color w:val="000000"/>
          <w:sz w:val="16"/>
          <w:szCs w:val="16"/>
        </w:rPr>
        <w:t xml:space="preserve">. US, </w:t>
      </w:r>
      <w:hyperlink r:id="rId6" w:tgtFrame="_blank" w:tooltip="Zakon o spremembah in dopolnitvah Zakona o dostopu do informacij javnega značaja" w:history="1">
        <w:r w:rsidRPr="00CB2839">
          <w:rPr>
            <w:rStyle w:val="Hiperpovezava"/>
            <w:color w:val="000000"/>
            <w:sz w:val="16"/>
            <w:szCs w:val="16"/>
            <w:u w:val="none"/>
          </w:rPr>
          <w:t>102/15</w:t>
        </w:r>
      </w:hyperlink>
      <w:r w:rsidRPr="00CB2839">
        <w:rPr>
          <w:color w:val="000000"/>
          <w:sz w:val="16"/>
          <w:szCs w:val="16"/>
        </w:rPr>
        <w:t xml:space="preserve"> in </w:t>
      </w:r>
    </w:p>
    <w:p w14:paraId="35BDD808" w14:textId="5BC614F6" w:rsidR="00CB2839" w:rsidRPr="00CB2839" w:rsidRDefault="00CB2839" w:rsidP="00CB2839">
      <w:pPr>
        <w:pStyle w:val="Sprotnaopomba-besedilo"/>
        <w:spacing w:line="240" w:lineRule="auto"/>
        <w:rPr>
          <w:sz w:val="16"/>
          <w:szCs w:val="16"/>
        </w:rPr>
      </w:pPr>
      <w:r w:rsidRPr="00CB2839">
        <w:rPr>
          <w:color w:val="000000"/>
          <w:sz w:val="16"/>
          <w:szCs w:val="16"/>
        </w:rPr>
        <w:t xml:space="preserve">  </w:t>
      </w:r>
      <w:hyperlink r:id="rId7" w:tgtFrame="_blank" w:tooltip="Zakon o dopolnitvi Zakona o dostopu do informacij javnega značaja" w:history="1">
        <w:r w:rsidRPr="00CB2839">
          <w:rPr>
            <w:rStyle w:val="Hiperpovezava"/>
            <w:color w:val="000000"/>
            <w:sz w:val="16"/>
            <w:szCs w:val="16"/>
            <w:u w:val="none"/>
          </w:rPr>
          <w:t>7/18</w:t>
        </w:r>
      </w:hyperlink>
      <w:r w:rsidRPr="00CB2839">
        <w:rPr>
          <w:color w:val="000000"/>
          <w:sz w:val="16"/>
          <w:szCs w:val="16"/>
        </w:rPr>
        <w:t>.</w:t>
      </w:r>
    </w:p>
  </w:footnote>
  <w:footnote w:id="2">
    <w:p w14:paraId="429AA6A6" w14:textId="77777777" w:rsidR="00FA0879" w:rsidRPr="00057C80" w:rsidRDefault="00FA0879" w:rsidP="00FA0879">
      <w:pPr>
        <w:pStyle w:val="Sprotnaopomba-besedilo"/>
        <w:spacing w:line="240" w:lineRule="exact"/>
        <w:rPr>
          <w:sz w:val="16"/>
          <w:szCs w:val="16"/>
        </w:rPr>
      </w:pPr>
      <w:r w:rsidRPr="00057C80">
        <w:rPr>
          <w:rStyle w:val="Sprotnaopomba-sklic"/>
          <w:sz w:val="16"/>
          <w:szCs w:val="16"/>
        </w:rPr>
        <w:footnoteRef/>
      </w:r>
      <w:r w:rsidRPr="00057C80">
        <w:rPr>
          <w:sz w:val="16"/>
          <w:szCs w:val="16"/>
        </w:rPr>
        <w:t xml:space="preserve"> </w:t>
      </w:r>
      <w:r w:rsidRPr="00057C80">
        <w:rPr>
          <w:sz w:val="16"/>
          <w:szCs w:val="16"/>
        </w:rPr>
        <w:t>6. člen ZDIJZ</w:t>
      </w:r>
      <w:r>
        <w:rPr>
          <w:sz w:val="16"/>
          <w:szCs w:val="16"/>
        </w:rPr>
        <w:t>.</w:t>
      </w:r>
    </w:p>
  </w:footnote>
  <w:footnote w:id="3">
    <w:p w14:paraId="51A17F3A" w14:textId="08DA5BF5" w:rsidR="006F5BEA" w:rsidRPr="006F5BEA" w:rsidRDefault="006F5BEA" w:rsidP="006F5BEA">
      <w:pPr>
        <w:pStyle w:val="Sprotnaopomba-besedilo"/>
        <w:jc w:val="both"/>
        <w:rPr>
          <w:color w:val="000000" w:themeColor="text1"/>
          <w:sz w:val="16"/>
          <w:szCs w:val="16"/>
        </w:rPr>
      </w:pPr>
      <w:r w:rsidRPr="006F5BEA">
        <w:rPr>
          <w:rStyle w:val="Sprotnaopomba-sklic"/>
          <w:color w:val="000000" w:themeColor="text1"/>
          <w:sz w:val="16"/>
          <w:szCs w:val="16"/>
        </w:rPr>
        <w:footnoteRef/>
      </w:r>
      <w:r w:rsidRPr="006F5BEA">
        <w:rPr>
          <w:color w:val="000000" w:themeColor="text1"/>
          <w:sz w:val="16"/>
          <w:szCs w:val="16"/>
        </w:rPr>
        <w:t xml:space="preserve"> </w:t>
      </w:r>
      <w:r w:rsidRPr="006F5BEA">
        <w:rPr>
          <w:rFonts w:cs="Arial"/>
          <w:color w:val="000000" w:themeColor="text1"/>
          <w:sz w:val="16"/>
          <w:szCs w:val="16"/>
        </w:rPr>
        <w:t xml:space="preserve">Uradni list RS, št. </w:t>
      </w:r>
      <w:hyperlink r:id="rId8" w:tgtFrame="_blank" w:tooltip="Sodni red" w:history="1">
        <w:r w:rsidRPr="006F5BEA">
          <w:rPr>
            <w:rFonts w:cs="Arial"/>
            <w:color w:val="000000" w:themeColor="text1"/>
            <w:sz w:val="16"/>
            <w:szCs w:val="16"/>
          </w:rPr>
          <w:t>87/16</w:t>
        </w:r>
      </w:hyperlink>
      <w:r w:rsidRPr="006F5BEA">
        <w:rPr>
          <w:rFonts w:cs="Arial"/>
          <w:color w:val="000000" w:themeColor="text1"/>
          <w:sz w:val="16"/>
          <w:szCs w:val="16"/>
        </w:rPr>
        <w:t>.</w:t>
      </w:r>
    </w:p>
  </w:footnote>
  <w:footnote w:id="4">
    <w:p w14:paraId="5A0DD8AC" w14:textId="24CF4B94" w:rsidR="00BE7BBA" w:rsidRDefault="00BE7BBA" w:rsidP="00BE7BBA">
      <w:pPr>
        <w:spacing w:line="240" w:lineRule="exact"/>
        <w:jc w:val="both"/>
      </w:pPr>
      <w:r w:rsidRPr="00506E18">
        <w:rPr>
          <w:rStyle w:val="Sprotnaopomba-sklic"/>
          <w:sz w:val="16"/>
          <w:szCs w:val="16"/>
        </w:rPr>
        <w:footnoteRef/>
      </w:r>
      <w:r w:rsidRPr="00506E18">
        <w:rPr>
          <w:sz w:val="16"/>
          <w:szCs w:val="16"/>
        </w:rPr>
        <w:t xml:space="preserve"> </w:t>
      </w:r>
      <w:r w:rsidRPr="00506E18">
        <w:rPr>
          <w:sz w:val="16"/>
          <w:szCs w:val="16"/>
        </w:rPr>
        <w:t xml:space="preserve">Sodba Vrhovnega sodišča RS, </w:t>
      </w:r>
      <w:r w:rsidRPr="00506E18">
        <w:rPr>
          <w:rFonts w:cs="Arial"/>
          <w:sz w:val="16"/>
          <w:szCs w:val="16"/>
          <w:lang w:eastAsia="sl-SI"/>
        </w:rPr>
        <w:t xml:space="preserve">X </w:t>
      </w:r>
      <w:proofErr w:type="spellStart"/>
      <w:r w:rsidRPr="00506E18">
        <w:rPr>
          <w:rFonts w:cs="Arial"/>
          <w:sz w:val="16"/>
          <w:szCs w:val="16"/>
          <w:lang w:eastAsia="sl-SI"/>
        </w:rPr>
        <w:t>Ips</w:t>
      </w:r>
      <w:proofErr w:type="spellEnd"/>
      <w:r w:rsidRPr="00506E18">
        <w:rPr>
          <w:rFonts w:cs="Arial"/>
          <w:sz w:val="16"/>
          <w:szCs w:val="16"/>
          <w:lang w:eastAsia="sl-SI"/>
        </w:rPr>
        <w:t xml:space="preserve"> 4/2020</w:t>
      </w:r>
      <w:r>
        <w:rPr>
          <w:rFonts w:cs="Arial"/>
          <w:sz w:val="16"/>
          <w:szCs w:val="16"/>
          <w:lang w:eastAsia="sl-SI"/>
        </w:rPr>
        <w:t>.</w:t>
      </w:r>
    </w:p>
  </w:footnote>
  <w:footnote w:id="5">
    <w:p w14:paraId="278C38F1" w14:textId="77777777" w:rsidR="00A94B5A" w:rsidRDefault="00425976" w:rsidP="00A94B5A">
      <w:pPr>
        <w:pStyle w:val="Sprotnaopomba-besedilo"/>
        <w:spacing w:line="240" w:lineRule="exact"/>
        <w:jc w:val="both"/>
        <w:rPr>
          <w:rFonts w:cs="Arial"/>
          <w:color w:val="000000" w:themeColor="text1"/>
          <w:sz w:val="16"/>
          <w:szCs w:val="16"/>
        </w:rPr>
      </w:pPr>
      <w:r w:rsidRPr="00425976">
        <w:rPr>
          <w:rStyle w:val="Sprotnaopomba-sklic"/>
          <w:color w:val="000000" w:themeColor="text1"/>
          <w:sz w:val="16"/>
          <w:szCs w:val="16"/>
        </w:rPr>
        <w:footnoteRef/>
      </w:r>
      <w:r w:rsidRPr="00425976">
        <w:rPr>
          <w:color w:val="000000" w:themeColor="text1"/>
          <w:sz w:val="16"/>
          <w:szCs w:val="16"/>
        </w:rPr>
        <w:t xml:space="preserve"> </w:t>
      </w:r>
      <w:r w:rsidRPr="00425976">
        <w:rPr>
          <w:rFonts w:cs="Arial"/>
          <w:color w:val="000000" w:themeColor="text1"/>
          <w:sz w:val="16"/>
          <w:szCs w:val="16"/>
        </w:rPr>
        <w:t xml:space="preserve">Uradni list RS, št. </w:t>
      </w:r>
      <w:hyperlink r:id="rId9" w:tgtFrame="_blank" w:tooltip="Zakon o pravdnem postopku (uradno prečiščeno besedilo)" w:history="1">
        <w:r w:rsidRPr="00425976">
          <w:rPr>
            <w:rFonts w:cs="Arial"/>
            <w:color w:val="000000" w:themeColor="text1"/>
            <w:sz w:val="16"/>
            <w:szCs w:val="16"/>
          </w:rPr>
          <w:t>73/07</w:t>
        </w:r>
      </w:hyperlink>
      <w:r w:rsidRPr="00425976">
        <w:rPr>
          <w:rFonts w:cs="Arial"/>
          <w:color w:val="000000" w:themeColor="text1"/>
          <w:sz w:val="16"/>
          <w:szCs w:val="16"/>
        </w:rPr>
        <w:t xml:space="preserve"> – uradno prečiščeno besedilo, </w:t>
      </w:r>
      <w:hyperlink r:id="rId10" w:tgtFrame="_blank" w:tooltip="Zakon o arbitraži" w:history="1">
        <w:r w:rsidRPr="00425976">
          <w:rPr>
            <w:rFonts w:cs="Arial"/>
            <w:color w:val="000000" w:themeColor="text1"/>
            <w:sz w:val="16"/>
            <w:szCs w:val="16"/>
          </w:rPr>
          <w:t>45/08</w:t>
        </w:r>
      </w:hyperlink>
      <w:r w:rsidRPr="00425976">
        <w:rPr>
          <w:rFonts w:cs="Arial"/>
          <w:color w:val="000000" w:themeColor="text1"/>
          <w:sz w:val="16"/>
          <w:szCs w:val="16"/>
        </w:rPr>
        <w:t xml:space="preserve"> – </w:t>
      </w:r>
      <w:proofErr w:type="spellStart"/>
      <w:r w:rsidRPr="00425976">
        <w:rPr>
          <w:rFonts w:cs="Arial"/>
          <w:color w:val="000000" w:themeColor="text1"/>
          <w:sz w:val="16"/>
          <w:szCs w:val="16"/>
        </w:rPr>
        <w:t>ZArbit</w:t>
      </w:r>
      <w:proofErr w:type="spellEnd"/>
      <w:r w:rsidRPr="00425976">
        <w:rPr>
          <w:rFonts w:cs="Arial"/>
          <w:color w:val="000000" w:themeColor="text1"/>
          <w:sz w:val="16"/>
          <w:szCs w:val="16"/>
        </w:rPr>
        <w:t xml:space="preserve">, </w:t>
      </w:r>
      <w:hyperlink r:id="rId11" w:tgtFrame="_blank" w:tooltip="Zakon o spremembah in dopolnitvah Zakona o pravdnem postopku" w:history="1">
        <w:r w:rsidRPr="00425976">
          <w:rPr>
            <w:rFonts w:cs="Arial"/>
            <w:color w:val="000000" w:themeColor="text1"/>
            <w:sz w:val="16"/>
            <w:szCs w:val="16"/>
          </w:rPr>
          <w:t>45/08</w:t>
        </w:r>
      </w:hyperlink>
      <w:r w:rsidRPr="00425976">
        <w:rPr>
          <w:rFonts w:cs="Arial"/>
          <w:color w:val="000000" w:themeColor="text1"/>
          <w:sz w:val="16"/>
          <w:szCs w:val="16"/>
        </w:rPr>
        <w:t xml:space="preserve">, </w:t>
      </w:r>
      <w:hyperlink r:id="rId12" w:tgtFrame="_blank" w:tooltip="Odločba o ugotovitvi, da je Zakon o pravdnem postopku v neskladju z Ustavo" w:history="1">
        <w:r w:rsidRPr="00425976">
          <w:rPr>
            <w:rFonts w:cs="Arial"/>
            <w:color w:val="000000" w:themeColor="text1"/>
            <w:sz w:val="16"/>
            <w:szCs w:val="16"/>
          </w:rPr>
          <w:t>111/08</w:t>
        </w:r>
      </w:hyperlink>
      <w:r w:rsidRPr="00425976">
        <w:rPr>
          <w:rFonts w:cs="Arial"/>
          <w:color w:val="000000" w:themeColor="text1"/>
          <w:sz w:val="16"/>
          <w:szCs w:val="16"/>
        </w:rPr>
        <w:t xml:space="preserve"> – </w:t>
      </w:r>
      <w:proofErr w:type="spellStart"/>
      <w:r w:rsidRPr="00425976">
        <w:rPr>
          <w:rFonts w:cs="Arial"/>
          <w:color w:val="000000" w:themeColor="text1"/>
          <w:sz w:val="16"/>
          <w:szCs w:val="16"/>
        </w:rPr>
        <w:t>odl</w:t>
      </w:r>
      <w:proofErr w:type="spellEnd"/>
      <w:r w:rsidRPr="00425976">
        <w:rPr>
          <w:rFonts w:cs="Arial"/>
          <w:color w:val="000000" w:themeColor="text1"/>
          <w:sz w:val="16"/>
          <w:szCs w:val="16"/>
        </w:rPr>
        <w:t xml:space="preserve">. US, </w:t>
      </w:r>
      <w:hyperlink r:id="rId13" w:tgtFrame="_blank" w:tooltip="Odločba o razveljavitvi četrtega, petega in šestega odstavka 143. člena Zakona o pravdnem postopku" w:history="1">
        <w:r w:rsidRPr="00425976">
          <w:rPr>
            <w:rFonts w:cs="Arial"/>
            <w:color w:val="000000" w:themeColor="text1"/>
            <w:sz w:val="16"/>
            <w:szCs w:val="16"/>
          </w:rPr>
          <w:t>57/09</w:t>
        </w:r>
      </w:hyperlink>
      <w:r w:rsidRPr="00425976">
        <w:rPr>
          <w:rFonts w:cs="Arial"/>
          <w:color w:val="000000" w:themeColor="text1"/>
          <w:sz w:val="16"/>
          <w:szCs w:val="16"/>
        </w:rPr>
        <w:t xml:space="preserve"> – </w:t>
      </w:r>
      <w:proofErr w:type="spellStart"/>
      <w:r w:rsidRPr="00425976">
        <w:rPr>
          <w:rFonts w:cs="Arial"/>
          <w:color w:val="000000" w:themeColor="text1"/>
          <w:sz w:val="16"/>
          <w:szCs w:val="16"/>
        </w:rPr>
        <w:t>odl</w:t>
      </w:r>
      <w:proofErr w:type="spellEnd"/>
      <w:r w:rsidRPr="00425976">
        <w:rPr>
          <w:rFonts w:cs="Arial"/>
          <w:color w:val="000000" w:themeColor="text1"/>
          <w:sz w:val="16"/>
          <w:szCs w:val="16"/>
        </w:rPr>
        <w:t xml:space="preserve">. US, </w:t>
      </w:r>
      <w:hyperlink r:id="rId14" w:tgtFrame="_blank" w:tooltip="Odločba o razveljavitvi drugega odstavka 282. člena Zakona o pravdnem postopku" w:history="1">
        <w:r w:rsidRPr="00425976">
          <w:rPr>
            <w:rFonts w:cs="Arial"/>
            <w:color w:val="000000" w:themeColor="text1"/>
            <w:sz w:val="16"/>
            <w:szCs w:val="16"/>
          </w:rPr>
          <w:t>12/10</w:t>
        </w:r>
      </w:hyperlink>
      <w:r w:rsidRPr="00425976">
        <w:rPr>
          <w:rFonts w:cs="Arial"/>
          <w:color w:val="000000" w:themeColor="text1"/>
          <w:sz w:val="16"/>
          <w:szCs w:val="16"/>
        </w:rPr>
        <w:t xml:space="preserve"> </w:t>
      </w:r>
    </w:p>
    <w:p w14:paraId="402DB6A0" w14:textId="77777777" w:rsidR="00A94B5A" w:rsidRDefault="00A94B5A" w:rsidP="00A94B5A">
      <w:pPr>
        <w:pStyle w:val="Sprotnaopomba-besedilo"/>
        <w:spacing w:line="240" w:lineRule="exact"/>
        <w:jc w:val="both"/>
        <w:rPr>
          <w:rFonts w:cs="Arial"/>
          <w:color w:val="000000" w:themeColor="text1"/>
          <w:sz w:val="16"/>
          <w:szCs w:val="16"/>
        </w:rPr>
      </w:pPr>
      <w:r>
        <w:rPr>
          <w:rFonts w:cs="Arial"/>
          <w:color w:val="000000" w:themeColor="text1"/>
          <w:sz w:val="16"/>
          <w:szCs w:val="16"/>
        </w:rPr>
        <w:t xml:space="preserve">   </w:t>
      </w:r>
      <w:r w:rsidR="00425976" w:rsidRPr="00425976">
        <w:rPr>
          <w:rFonts w:cs="Arial"/>
          <w:color w:val="000000" w:themeColor="text1"/>
          <w:sz w:val="16"/>
          <w:szCs w:val="16"/>
        </w:rPr>
        <w:t xml:space="preserve">–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15" w:tgtFrame="_blank" w:tooltip="Odločba o razveljavitvi drugega odstavka 108. člena Zakona o pravdnem postopku" w:history="1">
        <w:r w:rsidR="00425976" w:rsidRPr="00425976">
          <w:rPr>
            <w:rFonts w:cs="Arial"/>
            <w:color w:val="000000" w:themeColor="text1"/>
            <w:sz w:val="16"/>
            <w:szCs w:val="16"/>
          </w:rPr>
          <w:t>50/10</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16" w:tgtFrame="_blank" w:tooltip="Odločba o razveljavitvi prvega odstavka 282. člena Zakona o pravdnem postopku" w:history="1">
        <w:r w:rsidR="00425976" w:rsidRPr="00425976">
          <w:rPr>
            <w:rFonts w:cs="Arial"/>
            <w:color w:val="000000" w:themeColor="text1"/>
            <w:sz w:val="16"/>
            <w:szCs w:val="16"/>
          </w:rPr>
          <w:t>107/10</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17" w:tgtFrame="_blank" w:tooltip="Odločba o delni razveljavitvi petega odstavka 98. člena Zakona o pravdnem postopku" w:history="1">
        <w:r w:rsidR="00425976" w:rsidRPr="00425976">
          <w:rPr>
            <w:rFonts w:cs="Arial"/>
            <w:color w:val="000000" w:themeColor="text1"/>
            <w:sz w:val="16"/>
            <w:szCs w:val="16"/>
          </w:rPr>
          <w:t>75/12</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18" w:tgtFrame="_blank" w:tooltip="Odločba o razveljavitvi četrtega odstavka 282. člena Zakona o pravdnem postopku in o zavrženju zahteve za oceno ustavnosti petega odstavka 282. člena Zakona o pravdnem postopku" w:history="1">
        <w:r w:rsidR="00425976" w:rsidRPr="00425976">
          <w:rPr>
            <w:rFonts w:cs="Arial"/>
            <w:color w:val="000000" w:themeColor="text1"/>
            <w:sz w:val="16"/>
            <w:szCs w:val="16"/>
          </w:rPr>
          <w:t>40/13</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19" w:tgtFrame="_blank" w:tooltip="Odločba o ugotovitvi, da je Zakon o pravdnem postopku v neskladju z Ustavo" w:history="1">
        <w:r w:rsidR="00425976" w:rsidRPr="00425976">
          <w:rPr>
            <w:rFonts w:cs="Arial"/>
            <w:color w:val="000000" w:themeColor="text1"/>
            <w:sz w:val="16"/>
            <w:szCs w:val="16"/>
          </w:rPr>
          <w:t>92/13</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20" w:tgtFrame="_blank" w:tooltip="Odločba o delni razveljavitvi petega odstavka 98. člena Zakona o pravdnem postopku in o razveljavitvi sklepa Višjega sodišča v Mariboru ter sklepa Okrajnega sodišča v Ljubljani" w:history="1">
        <w:r w:rsidR="00425976" w:rsidRPr="00425976">
          <w:rPr>
            <w:rFonts w:cs="Arial"/>
            <w:color w:val="000000" w:themeColor="text1"/>
            <w:sz w:val="16"/>
            <w:szCs w:val="16"/>
          </w:rPr>
          <w:t>10/14</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21" w:tgtFrame="_blank" w:tooltip="Odločba o razveljavitvi petega odstavka 98. člena in šestega odstavka 324. člena Zakona o pravdnem postopku" w:history="1">
        <w:r w:rsidR="00425976" w:rsidRPr="00425976">
          <w:rPr>
            <w:rFonts w:cs="Arial"/>
            <w:color w:val="000000" w:themeColor="text1"/>
            <w:sz w:val="16"/>
            <w:szCs w:val="16"/>
          </w:rPr>
          <w:t>48/15</w:t>
        </w:r>
      </w:hyperlink>
      <w:r w:rsidR="00425976" w:rsidRPr="00425976">
        <w:rPr>
          <w:rFonts w:cs="Arial"/>
          <w:color w:val="000000" w:themeColor="text1"/>
          <w:sz w:val="16"/>
          <w:szCs w:val="16"/>
        </w:rPr>
        <w:t xml:space="preserve"> </w:t>
      </w:r>
    </w:p>
    <w:p w14:paraId="430CA4A3" w14:textId="4BA5E526" w:rsidR="00425976" w:rsidRPr="00425976" w:rsidRDefault="00A94B5A" w:rsidP="00A94B5A">
      <w:pPr>
        <w:pStyle w:val="Sprotnaopomba-besedilo"/>
        <w:spacing w:line="240" w:lineRule="exact"/>
        <w:jc w:val="both"/>
        <w:rPr>
          <w:color w:val="000000" w:themeColor="text1"/>
          <w:sz w:val="16"/>
          <w:szCs w:val="16"/>
        </w:rPr>
      </w:pPr>
      <w:r>
        <w:rPr>
          <w:rFonts w:cs="Arial"/>
          <w:color w:val="000000" w:themeColor="text1"/>
          <w:sz w:val="16"/>
          <w:szCs w:val="16"/>
        </w:rPr>
        <w:t xml:space="preserve">   </w:t>
      </w:r>
      <w:r w:rsidR="00425976" w:rsidRPr="00425976">
        <w:rPr>
          <w:rFonts w:cs="Arial"/>
          <w:color w:val="000000" w:themeColor="text1"/>
          <w:sz w:val="16"/>
          <w:szCs w:val="16"/>
        </w:rPr>
        <w:t xml:space="preserve">–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22" w:tgtFrame="_blank" w:tooltip="Odločba o delni razveljavitvi tretjega odstavka 406. člena v zvezi s tretjim odstavkom 396. člena Zakona o pravdnem postopku" w:history="1">
        <w:r w:rsidR="00425976" w:rsidRPr="00425976">
          <w:rPr>
            <w:rFonts w:cs="Arial"/>
            <w:color w:val="000000" w:themeColor="text1"/>
            <w:sz w:val="16"/>
            <w:szCs w:val="16"/>
          </w:rPr>
          <w:t>6/17</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xml:space="preserve">. US, </w:t>
      </w:r>
      <w:hyperlink r:id="rId23" w:tgtFrame="_blank" w:tooltip="Zakon o spremembah in dopolnitvah Zakona o pravdnem postopku" w:history="1">
        <w:r w:rsidR="00425976" w:rsidRPr="00425976">
          <w:rPr>
            <w:rFonts w:cs="Arial"/>
            <w:color w:val="000000" w:themeColor="text1"/>
            <w:sz w:val="16"/>
            <w:szCs w:val="16"/>
          </w:rPr>
          <w:t>10/17</w:t>
        </w:r>
      </w:hyperlink>
      <w:r w:rsidR="00425976" w:rsidRPr="00425976">
        <w:rPr>
          <w:rFonts w:cs="Arial"/>
          <w:color w:val="000000" w:themeColor="text1"/>
          <w:sz w:val="16"/>
          <w:szCs w:val="16"/>
        </w:rPr>
        <w:t xml:space="preserve">, </w:t>
      </w:r>
      <w:hyperlink r:id="rId24" w:tgtFrame="_blank" w:tooltip="Zakon o nepravdnem postopku" w:history="1">
        <w:r w:rsidR="00425976" w:rsidRPr="00425976">
          <w:rPr>
            <w:rFonts w:cs="Arial"/>
            <w:color w:val="000000" w:themeColor="text1"/>
            <w:sz w:val="16"/>
            <w:szCs w:val="16"/>
          </w:rPr>
          <w:t>16/19</w:t>
        </w:r>
      </w:hyperlink>
      <w:r w:rsidR="00425976" w:rsidRPr="00425976">
        <w:rPr>
          <w:rFonts w:cs="Arial"/>
          <w:color w:val="000000" w:themeColor="text1"/>
          <w:sz w:val="16"/>
          <w:szCs w:val="16"/>
        </w:rPr>
        <w:t xml:space="preserve"> – ZNP-1 in </w:t>
      </w:r>
      <w:hyperlink r:id="rId25" w:tgtFrame="_blank" w:tooltip="Odločba o ugotovitvi, da je tretji odstavek 396. člena Zakona o pravdnem postopku v zvezi z 9. točko 394. člena Zakona o pravdnem postopku v neskladju z Ustavo" w:history="1">
        <w:r w:rsidR="00425976" w:rsidRPr="00425976">
          <w:rPr>
            <w:rFonts w:cs="Arial"/>
            <w:color w:val="000000" w:themeColor="text1"/>
            <w:sz w:val="16"/>
            <w:szCs w:val="16"/>
          </w:rPr>
          <w:t>70/19</w:t>
        </w:r>
      </w:hyperlink>
      <w:r w:rsidR="00425976" w:rsidRPr="00425976">
        <w:rPr>
          <w:rFonts w:cs="Arial"/>
          <w:color w:val="000000" w:themeColor="text1"/>
          <w:sz w:val="16"/>
          <w:szCs w:val="16"/>
        </w:rPr>
        <w:t xml:space="preserve"> – </w:t>
      </w:r>
      <w:proofErr w:type="spellStart"/>
      <w:r w:rsidR="00425976" w:rsidRPr="00425976">
        <w:rPr>
          <w:rFonts w:cs="Arial"/>
          <w:color w:val="000000" w:themeColor="text1"/>
          <w:sz w:val="16"/>
          <w:szCs w:val="16"/>
        </w:rPr>
        <w:t>odl</w:t>
      </w:r>
      <w:proofErr w:type="spellEnd"/>
      <w:r w:rsidR="00425976" w:rsidRPr="00425976">
        <w:rPr>
          <w:rFonts w:cs="Arial"/>
          <w:color w:val="000000" w:themeColor="text1"/>
          <w:sz w:val="16"/>
          <w:szCs w:val="16"/>
        </w:rPr>
        <w:t>. US</w:t>
      </w:r>
      <w:r>
        <w:rPr>
          <w:rFonts w:cs="Arial"/>
          <w:color w:val="000000" w:themeColor="text1"/>
          <w:sz w:val="16"/>
          <w:szCs w:val="16"/>
        </w:rPr>
        <w:t>-</w:t>
      </w:r>
    </w:p>
  </w:footnote>
  <w:footnote w:id="6">
    <w:p w14:paraId="4E3F0D9D" w14:textId="77777777" w:rsidR="00FA0879" w:rsidRPr="00B9221B" w:rsidRDefault="00FA0879" w:rsidP="00FA0879">
      <w:pPr>
        <w:pStyle w:val="Sprotnaopomba-besedilo"/>
        <w:spacing w:line="240" w:lineRule="exact"/>
        <w:jc w:val="both"/>
        <w:rPr>
          <w:rFonts w:cs="Arial"/>
          <w:sz w:val="16"/>
          <w:szCs w:val="16"/>
        </w:rPr>
      </w:pPr>
      <w:r w:rsidRPr="00B9221B">
        <w:rPr>
          <w:rStyle w:val="Sprotnaopomba-sklic"/>
          <w:rFonts w:cs="Arial"/>
          <w:sz w:val="16"/>
          <w:szCs w:val="16"/>
        </w:rPr>
        <w:footnoteRef/>
      </w:r>
      <w:r w:rsidRPr="00B9221B">
        <w:rPr>
          <w:rFonts w:cs="Arial"/>
          <w:sz w:val="16"/>
          <w:szCs w:val="16"/>
        </w:rPr>
        <w:t xml:space="preserve"> </w:t>
      </w:r>
      <w:r w:rsidRPr="00B9221B">
        <w:rPr>
          <w:rFonts w:cs="Arial"/>
          <w:sz w:val="16"/>
          <w:szCs w:val="16"/>
        </w:rPr>
        <w:t>Sodba Upravnega sodišča RS,</w:t>
      </w:r>
      <w:r w:rsidRPr="00B9221B">
        <w:rPr>
          <w:rFonts w:cs="Arial"/>
          <w:sz w:val="16"/>
          <w:szCs w:val="16"/>
          <w:lang w:eastAsia="sl-SI"/>
        </w:rPr>
        <w:t xml:space="preserve"> I U 1497/2010.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FF5BD2" w:rsidRDefault="00FF5BD2" w:rsidP="00466268">
    <w:pPr>
      <w:pStyle w:val="Glava"/>
      <w:tabs>
        <w:tab w:val="left" w:pos="5112"/>
      </w:tabs>
      <w:spacing w:line="240" w:lineRule="auto"/>
      <w:rPr>
        <w:rFonts w:cs="Arial"/>
        <w:b/>
        <w:bCs/>
        <w:sz w:val="18"/>
        <w:szCs w:val="18"/>
      </w:rPr>
    </w:pPr>
  </w:p>
  <w:p w14:paraId="0A87B19F" w14:textId="10108AE5"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Sektor za transparentnost, integriteto in politični sistem</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129D8702">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87D70"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E58"/>
    <w:multiLevelType w:val="hybridMultilevel"/>
    <w:tmpl w:val="E1867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F7A09"/>
    <w:multiLevelType w:val="hybridMultilevel"/>
    <w:tmpl w:val="13CAAB50"/>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14194"/>
    <w:multiLevelType w:val="hybridMultilevel"/>
    <w:tmpl w:val="B3B0F7BA"/>
    <w:lvl w:ilvl="0" w:tplc="57F4BEA0">
      <w:start w:val="1"/>
      <w:numFmt w:val="decimal"/>
      <w:lvlText w:val="%1."/>
      <w:lvlJc w:val="left"/>
      <w:pPr>
        <w:ind w:left="804" w:hanging="44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5"/>
  </w:num>
  <w:num w:numId="5">
    <w:abstractNumId w:val="7"/>
  </w:num>
  <w:num w:numId="6">
    <w:abstractNumId w:val="6"/>
  </w:num>
  <w:num w:numId="7">
    <w:abstractNumId w:val="8"/>
  </w:num>
  <w:num w:numId="8">
    <w:abstractNumId w:val="2"/>
  </w:num>
  <w:num w:numId="9">
    <w:abstractNumId w:val="4"/>
  </w:num>
  <w:num w:numId="10">
    <w:abstractNumId w:val="14"/>
  </w:num>
  <w:num w:numId="11">
    <w:abstractNumId w:val="17"/>
  </w:num>
  <w:num w:numId="12">
    <w:abstractNumId w:val="22"/>
  </w:num>
  <w:num w:numId="13">
    <w:abstractNumId w:val="18"/>
  </w:num>
  <w:num w:numId="14">
    <w:abstractNumId w:val="3"/>
  </w:num>
  <w:num w:numId="15">
    <w:abstractNumId w:val="23"/>
  </w:num>
  <w:num w:numId="16">
    <w:abstractNumId w:val="15"/>
  </w:num>
  <w:num w:numId="17">
    <w:abstractNumId w:val="12"/>
  </w:num>
  <w:num w:numId="18">
    <w:abstractNumId w:val="21"/>
  </w:num>
  <w:num w:numId="19">
    <w:abstractNumId w:val="10"/>
  </w:num>
  <w:num w:numId="20">
    <w:abstractNumId w:val="16"/>
  </w:num>
  <w:num w:numId="21">
    <w:abstractNumId w:val="9"/>
  </w:num>
  <w:num w:numId="22">
    <w:abstractNumId w:val="0"/>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440"/>
    <w:rsid w:val="00015AE6"/>
    <w:rsid w:val="00022D22"/>
    <w:rsid w:val="00023A88"/>
    <w:rsid w:val="00040ACF"/>
    <w:rsid w:val="000418D5"/>
    <w:rsid w:val="00073260"/>
    <w:rsid w:val="00076BCF"/>
    <w:rsid w:val="00082C8E"/>
    <w:rsid w:val="000913FE"/>
    <w:rsid w:val="00095D4B"/>
    <w:rsid w:val="000A6401"/>
    <w:rsid w:val="000A7238"/>
    <w:rsid w:val="000B04B5"/>
    <w:rsid w:val="000B495F"/>
    <w:rsid w:val="000E1055"/>
    <w:rsid w:val="0010114C"/>
    <w:rsid w:val="0010640C"/>
    <w:rsid w:val="00116119"/>
    <w:rsid w:val="00117C26"/>
    <w:rsid w:val="0012324E"/>
    <w:rsid w:val="00127B86"/>
    <w:rsid w:val="00131ADC"/>
    <w:rsid w:val="001357B2"/>
    <w:rsid w:val="00151E62"/>
    <w:rsid w:val="00162821"/>
    <w:rsid w:val="00164064"/>
    <w:rsid w:val="001668D6"/>
    <w:rsid w:val="0017478F"/>
    <w:rsid w:val="00192833"/>
    <w:rsid w:val="00197E58"/>
    <w:rsid w:val="001A0D04"/>
    <w:rsid w:val="001A3D13"/>
    <w:rsid w:val="001A7E7B"/>
    <w:rsid w:val="001B3F20"/>
    <w:rsid w:val="001B55FA"/>
    <w:rsid w:val="001B7ADF"/>
    <w:rsid w:val="001D078B"/>
    <w:rsid w:val="001D4D00"/>
    <w:rsid w:val="001F4EF0"/>
    <w:rsid w:val="00201E7E"/>
    <w:rsid w:val="00202A77"/>
    <w:rsid w:val="00204D1C"/>
    <w:rsid w:val="00211F11"/>
    <w:rsid w:val="00213793"/>
    <w:rsid w:val="00215617"/>
    <w:rsid w:val="00217047"/>
    <w:rsid w:val="00221F9D"/>
    <w:rsid w:val="00223BFB"/>
    <w:rsid w:val="0023246E"/>
    <w:rsid w:val="0025055D"/>
    <w:rsid w:val="00253D8B"/>
    <w:rsid w:val="00256608"/>
    <w:rsid w:val="00263932"/>
    <w:rsid w:val="00267E56"/>
    <w:rsid w:val="00271C16"/>
    <w:rsid w:val="00271CE5"/>
    <w:rsid w:val="00282020"/>
    <w:rsid w:val="00285235"/>
    <w:rsid w:val="00286E3F"/>
    <w:rsid w:val="00293656"/>
    <w:rsid w:val="00294088"/>
    <w:rsid w:val="00296D0E"/>
    <w:rsid w:val="00297439"/>
    <w:rsid w:val="002A0785"/>
    <w:rsid w:val="002A1B0D"/>
    <w:rsid w:val="002A212E"/>
    <w:rsid w:val="002A2B69"/>
    <w:rsid w:val="002A670E"/>
    <w:rsid w:val="002B5841"/>
    <w:rsid w:val="002C5982"/>
    <w:rsid w:val="002D0A66"/>
    <w:rsid w:val="002D68CE"/>
    <w:rsid w:val="002E6DE7"/>
    <w:rsid w:val="002F233C"/>
    <w:rsid w:val="002F71B0"/>
    <w:rsid w:val="00301198"/>
    <w:rsid w:val="003015A1"/>
    <w:rsid w:val="003172B0"/>
    <w:rsid w:val="00317FC5"/>
    <w:rsid w:val="00334836"/>
    <w:rsid w:val="00334ACA"/>
    <w:rsid w:val="003432C5"/>
    <w:rsid w:val="003636BF"/>
    <w:rsid w:val="00367F70"/>
    <w:rsid w:val="00371442"/>
    <w:rsid w:val="00377E00"/>
    <w:rsid w:val="003845B4"/>
    <w:rsid w:val="00387B1A"/>
    <w:rsid w:val="00396D12"/>
    <w:rsid w:val="003A034B"/>
    <w:rsid w:val="003B32CE"/>
    <w:rsid w:val="003B475F"/>
    <w:rsid w:val="003B6029"/>
    <w:rsid w:val="003C293C"/>
    <w:rsid w:val="003C5EE5"/>
    <w:rsid w:val="003D0527"/>
    <w:rsid w:val="003E1C74"/>
    <w:rsid w:val="003F20EA"/>
    <w:rsid w:val="003F2451"/>
    <w:rsid w:val="003F7B66"/>
    <w:rsid w:val="004002B9"/>
    <w:rsid w:val="00420D5D"/>
    <w:rsid w:val="00421439"/>
    <w:rsid w:val="00425976"/>
    <w:rsid w:val="0043290A"/>
    <w:rsid w:val="00440642"/>
    <w:rsid w:val="00454C0B"/>
    <w:rsid w:val="004657EE"/>
    <w:rsid w:val="00466268"/>
    <w:rsid w:val="00470C4A"/>
    <w:rsid w:val="00482FF5"/>
    <w:rsid w:val="00485212"/>
    <w:rsid w:val="004921A9"/>
    <w:rsid w:val="004B6DDD"/>
    <w:rsid w:val="004B708A"/>
    <w:rsid w:val="004B77B3"/>
    <w:rsid w:val="004C231A"/>
    <w:rsid w:val="004C6EAE"/>
    <w:rsid w:val="004D3596"/>
    <w:rsid w:val="004D3FF4"/>
    <w:rsid w:val="004E5316"/>
    <w:rsid w:val="00506E18"/>
    <w:rsid w:val="005178BE"/>
    <w:rsid w:val="005207C5"/>
    <w:rsid w:val="00526246"/>
    <w:rsid w:val="00534FCF"/>
    <w:rsid w:val="00547179"/>
    <w:rsid w:val="00566E44"/>
    <w:rsid w:val="00567106"/>
    <w:rsid w:val="005719D7"/>
    <w:rsid w:val="00575D0F"/>
    <w:rsid w:val="0059673D"/>
    <w:rsid w:val="005A7513"/>
    <w:rsid w:val="005B4C4F"/>
    <w:rsid w:val="005C6355"/>
    <w:rsid w:val="005E1D3C"/>
    <w:rsid w:val="005E4E2A"/>
    <w:rsid w:val="00601F55"/>
    <w:rsid w:val="0060330A"/>
    <w:rsid w:val="00605AFF"/>
    <w:rsid w:val="00614889"/>
    <w:rsid w:val="00621B61"/>
    <w:rsid w:val="006233D4"/>
    <w:rsid w:val="00625AE6"/>
    <w:rsid w:val="00632253"/>
    <w:rsid w:val="00637B68"/>
    <w:rsid w:val="00642714"/>
    <w:rsid w:val="006427BE"/>
    <w:rsid w:val="006455CE"/>
    <w:rsid w:val="00655841"/>
    <w:rsid w:val="00655E20"/>
    <w:rsid w:val="00655F90"/>
    <w:rsid w:val="006649EC"/>
    <w:rsid w:val="00667A6C"/>
    <w:rsid w:val="0067080B"/>
    <w:rsid w:val="00673A59"/>
    <w:rsid w:val="00674239"/>
    <w:rsid w:val="00674540"/>
    <w:rsid w:val="00691BBB"/>
    <w:rsid w:val="00694ED8"/>
    <w:rsid w:val="00695798"/>
    <w:rsid w:val="006A0042"/>
    <w:rsid w:val="006A16EC"/>
    <w:rsid w:val="006B03B8"/>
    <w:rsid w:val="006B3140"/>
    <w:rsid w:val="006C0715"/>
    <w:rsid w:val="006C218D"/>
    <w:rsid w:val="006C3128"/>
    <w:rsid w:val="006D1527"/>
    <w:rsid w:val="006E10A3"/>
    <w:rsid w:val="006F473B"/>
    <w:rsid w:val="006F5BEA"/>
    <w:rsid w:val="007035E1"/>
    <w:rsid w:val="00712FC7"/>
    <w:rsid w:val="00733017"/>
    <w:rsid w:val="00736BEC"/>
    <w:rsid w:val="00762121"/>
    <w:rsid w:val="00765D67"/>
    <w:rsid w:val="00771070"/>
    <w:rsid w:val="00771173"/>
    <w:rsid w:val="00773A11"/>
    <w:rsid w:val="0078068D"/>
    <w:rsid w:val="00783310"/>
    <w:rsid w:val="007963D6"/>
    <w:rsid w:val="007977B9"/>
    <w:rsid w:val="007A20CF"/>
    <w:rsid w:val="007A4A6D"/>
    <w:rsid w:val="007B7DDD"/>
    <w:rsid w:val="007C1EB8"/>
    <w:rsid w:val="007D1BCF"/>
    <w:rsid w:val="007D30DF"/>
    <w:rsid w:val="007D75CF"/>
    <w:rsid w:val="007E0440"/>
    <w:rsid w:val="007E374B"/>
    <w:rsid w:val="007E57DF"/>
    <w:rsid w:val="007E6DC5"/>
    <w:rsid w:val="0080459E"/>
    <w:rsid w:val="00804729"/>
    <w:rsid w:val="008056EE"/>
    <w:rsid w:val="008101A3"/>
    <w:rsid w:val="0081525C"/>
    <w:rsid w:val="0083347F"/>
    <w:rsid w:val="00841248"/>
    <w:rsid w:val="00864C01"/>
    <w:rsid w:val="00865E30"/>
    <w:rsid w:val="00866E80"/>
    <w:rsid w:val="00877FFC"/>
    <w:rsid w:val="0088043C"/>
    <w:rsid w:val="00882108"/>
    <w:rsid w:val="00884889"/>
    <w:rsid w:val="008869E8"/>
    <w:rsid w:val="00886CFA"/>
    <w:rsid w:val="008874A7"/>
    <w:rsid w:val="00890396"/>
    <w:rsid w:val="008906C9"/>
    <w:rsid w:val="00892625"/>
    <w:rsid w:val="00895396"/>
    <w:rsid w:val="008A4602"/>
    <w:rsid w:val="008C43DB"/>
    <w:rsid w:val="008C5738"/>
    <w:rsid w:val="008C76BD"/>
    <w:rsid w:val="008D04F0"/>
    <w:rsid w:val="008D4AE4"/>
    <w:rsid w:val="008D524E"/>
    <w:rsid w:val="008E0E1D"/>
    <w:rsid w:val="008E65EB"/>
    <w:rsid w:val="008F3500"/>
    <w:rsid w:val="008F5FFC"/>
    <w:rsid w:val="00905E95"/>
    <w:rsid w:val="00915C0D"/>
    <w:rsid w:val="00924E3C"/>
    <w:rsid w:val="00931868"/>
    <w:rsid w:val="00943241"/>
    <w:rsid w:val="00954FFE"/>
    <w:rsid w:val="009612BB"/>
    <w:rsid w:val="0096531E"/>
    <w:rsid w:val="00967C76"/>
    <w:rsid w:val="009703D0"/>
    <w:rsid w:val="009778B3"/>
    <w:rsid w:val="0099437B"/>
    <w:rsid w:val="00994BE5"/>
    <w:rsid w:val="00995B0A"/>
    <w:rsid w:val="00996B35"/>
    <w:rsid w:val="009B2033"/>
    <w:rsid w:val="009B5855"/>
    <w:rsid w:val="009C740A"/>
    <w:rsid w:val="009D099D"/>
    <w:rsid w:val="009D33EE"/>
    <w:rsid w:val="009D5517"/>
    <w:rsid w:val="009E18C2"/>
    <w:rsid w:val="009E468A"/>
    <w:rsid w:val="009E6B50"/>
    <w:rsid w:val="009F12FB"/>
    <w:rsid w:val="009F666F"/>
    <w:rsid w:val="009F70F5"/>
    <w:rsid w:val="00A0099D"/>
    <w:rsid w:val="00A0427B"/>
    <w:rsid w:val="00A10ACB"/>
    <w:rsid w:val="00A10EED"/>
    <w:rsid w:val="00A125C5"/>
    <w:rsid w:val="00A14804"/>
    <w:rsid w:val="00A2451C"/>
    <w:rsid w:val="00A3126E"/>
    <w:rsid w:val="00A352E9"/>
    <w:rsid w:val="00A3667F"/>
    <w:rsid w:val="00A462B9"/>
    <w:rsid w:val="00A51431"/>
    <w:rsid w:val="00A60EB5"/>
    <w:rsid w:val="00A64B00"/>
    <w:rsid w:val="00A65EE7"/>
    <w:rsid w:val="00A66461"/>
    <w:rsid w:val="00A70133"/>
    <w:rsid w:val="00A70668"/>
    <w:rsid w:val="00A770A6"/>
    <w:rsid w:val="00A813B1"/>
    <w:rsid w:val="00A945EE"/>
    <w:rsid w:val="00A94B5A"/>
    <w:rsid w:val="00AB0E91"/>
    <w:rsid w:val="00AB36C4"/>
    <w:rsid w:val="00AB5363"/>
    <w:rsid w:val="00AC275F"/>
    <w:rsid w:val="00AC32B2"/>
    <w:rsid w:val="00AC4786"/>
    <w:rsid w:val="00AD217D"/>
    <w:rsid w:val="00AD775C"/>
    <w:rsid w:val="00AF051B"/>
    <w:rsid w:val="00AF3100"/>
    <w:rsid w:val="00B02359"/>
    <w:rsid w:val="00B152A0"/>
    <w:rsid w:val="00B17141"/>
    <w:rsid w:val="00B17E9B"/>
    <w:rsid w:val="00B20623"/>
    <w:rsid w:val="00B31575"/>
    <w:rsid w:val="00B32D3A"/>
    <w:rsid w:val="00B36B1D"/>
    <w:rsid w:val="00B42EAE"/>
    <w:rsid w:val="00B4421C"/>
    <w:rsid w:val="00B46EFB"/>
    <w:rsid w:val="00B5300E"/>
    <w:rsid w:val="00B543E7"/>
    <w:rsid w:val="00B55078"/>
    <w:rsid w:val="00B7568B"/>
    <w:rsid w:val="00B81C6B"/>
    <w:rsid w:val="00B8547D"/>
    <w:rsid w:val="00B9221B"/>
    <w:rsid w:val="00B95899"/>
    <w:rsid w:val="00BA5353"/>
    <w:rsid w:val="00BA7AE8"/>
    <w:rsid w:val="00BA7BBC"/>
    <w:rsid w:val="00BB7EC1"/>
    <w:rsid w:val="00BC0833"/>
    <w:rsid w:val="00BC39C6"/>
    <w:rsid w:val="00BC6634"/>
    <w:rsid w:val="00BD6BE5"/>
    <w:rsid w:val="00BD6D25"/>
    <w:rsid w:val="00BE3541"/>
    <w:rsid w:val="00BE3803"/>
    <w:rsid w:val="00BE4FA5"/>
    <w:rsid w:val="00BE7BBA"/>
    <w:rsid w:val="00C1055D"/>
    <w:rsid w:val="00C12F5B"/>
    <w:rsid w:val="00C250D5"/>
    <w:rsid w:val="00C30E52"/>
    <w:rsid w:val="00C35666"/>
    <w:rsid w:val="00C37606"/>
    <w:rsid w:val="00C467D1"/>
    <w:rsid w:val="00C47F55"/>
    <w:rsid w:val="00C56E9A"/>
    <w:rsid w:val="00C602F2"/>
    <w:rsid w:val="00C61044"/>
    <w:rsid w:val="00C71699"/>
    <w:rsid w:val="00C722B6"/>
    <w:rsid w:val="00C72BBC"/>
    <w:rsid w:val="00C730EC"/>
    <w:rsid w:val="00C835A6"/>
    <w:rsid w:val="00C92898"/>
    <w:rsid w:val="00C93563"/>
    <w:rsid w:val="00C939E8"/>
    <w:rsid w:val="00CA4340"/>
    <w:rsid w:val="00CA509C"/>
    <w:rsid w:val="00CB2839"/>
    <w:rsid w:val="00CB2D82"/>
    <w:rsid w:val="00CB71FE"/>
    <w:rsid w:val="00CC1A84"/>
    <w:rsid w:val="00CC6632"/>
    <w:rsid w:val="00CD3891"/>
    <w:rsid w:val="00CE1C16"/>
    <w:rsid w:val="00CE2810"/>
    <w:rsid w:val="00CE5238"/>
    <w:rsid w:val="00CE7514"/>
    <w:rsid w:val="00CF0382"/>
    <w:rsid w:val="00D02694"/>
    <w:rsid w:val="00D168A6"/>
    <w:rsid w:val="00D248DE"/>
    <w:rsid w:val="00D27641"/>
    <w:rsid w:val="00D27FA8"/>
    <w:rsid w:val="00D30A45"/>
    <w:rsid w:val="00D31A64"/>
    <w:rsid w:val="00D33F62"/>
    <w:rsid w:val="00D35A34"/>
    <w:rsid w:val="00D36DCD"/>
    <w:rsid w:val="00D42312"/>
    <w:rsid w:val="00D505AB"/>
    <w:rsid w:val="00D723C5"/>
    <w:rsid w:val="00D8542D"/>
    <w:rsid w:val="00D85BD9"/>
    <w:rsid w:val="00D9102F"/>
    <w:rsid w:val="00D9641F"/>
    <w:rsid w:val="00DC360C"/>
    <w:rsid w:val="00DC6A71"/>
    <w:rsid w:val="00DD37B8"/>
    <w:rsid w:val="00DD6237"/>
    <w:rsid w:val="00DE1023"/>
    <w:rsid w:val="00DE27BC"/>
    <w:rsid w:val="00DE4343"/>
    <w:rsid w:val="00DE7006"/>
    <w:rsid w:val="00DF16A2"/>
    <w:rsid w:val="00E0357D"/>
    <w:rsid w:val="00E06B29"/>
    <w:rsid w:val="00E07697"/>
    <w:rsid w:val="00E124C9"/>
    <w:rsid w:val="00E3087B"/>
    <w:rsid w:val="00E461CC"/>
    <w:rsid w:val="00E524EE"/>
    <w:rsid w:val="00E52567"/>
    <w:rsid w:val="00E667AD"/>
    <w:rsid w:val="00E67D1D"/>
    <w:rsid w:val="00E71830"/>
    <w:rsid w:val="00E74CF8"/>
    <w:rsid w:val="00E759EC"/>
    <w:rsid w:val="00E76A2E"/>
    <w:rsid w:val="00EA0413"/>
    <w:rsid w:val="00EC59F2"/>
    <w:rsid w:val="00EC6210"/>
    <w:rsid w:val="00ED176E"/>
    <w:rsid w:val="00ED1C3E"/>
    <w:rsid w:val="00ED2D3E"/>
    <w:rsid w:val="00ED6779"/>
    <w:rsid w:val="00EE2798"/>
    <w:rsid w:val="00EE7C1B"/>
    <w:rsid w:val="00F02654"/>
    <w:rsid w:val="00F070AB"/>
    <w:rsid w:val="00F12341"/>
    <w:rsid w:val="00F240BB"/>
    <w:rsid w:val="00F2440C"/>
    <w:rsid w:val="00F24A15"/>
    <w:rsid w:val="00F2775C"/>
    <w:rsid w:val="00F31FF0"/>
    <w:rsid w:val="00F449DF"/>
    <w:rsid w:val="00F45685"/>
    <w:rsid w:val="00F47863"/>
    <w:rsid w:val="00F57FED"/>
    <w:rsid w:val="00F67E69"/>
    <w:rsid w:val="00F716B4"/>
    <w:rsid w:val="00F72941"/>
    <w:rsid w:val="00F73A6B"/>
    <w:rsid w:val="00F82AE9"/>
    <w:rsid w:val="00F93842"/>
    <w:rsid w:val="00F93A27"/>
    <w:rsid w:val="00FA0879"/>
    <w:rsid w:val="00FA4643"/>
    <w:rsid w:val="00FB6D4B"/>
    <w:rsid w:val="00FC1A54"/>
    <w:rsid w:val="00FD6C47"/>
    <w:rsid w:val="00FD7BF0"/>
    <w:rsid w:val="00FE0194"/>
    <w:rsid w:val="00FE50EB"/>
    <w:rsid w:val="00FF348A"/>
    <w:rsid w:val="00FF5BD2"/>
    <w:rsid w:val="00FF68BC"/>
    <w:rsid w:val="00FF73B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5B4C4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paragraph" w:customStyle="1" w:styleId="lennaslov">
    <w:name w:val="lennaslov"/>
    <w:basedOn w:val="Navaden"/>
    <w:rsid w:val="008F5FFC"/>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9E468A"/>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semiHidden/>
    <w:rsid w:val="005B4C4F"/>
    <w:rPr>
      <w:rFonts w:asciiTheme="majorHAnsi" w:eastAsiaTheme="majorEastAsia" w:hAnsiTheme="majorHAnsi" w:cstheme="majorBidi"/>
      <w:color w:val="1F3763" w:themeColor="accent1" w:themeShade="7F"/>
      <w:sz w:val="24"/>
      <w:szCs w:val="24"/>
      <w:lang w:eastAsia="en-US"/>
    </w:rPr>
  </w:style>
  <w:style w:type="paragraph" w:customStyle="1" w:styleId="odsek1">
    <w:name w:val="odsek1"/>
    <w:basedOn w:val="Navaden"/>
    <w:rsid w:val="00C72BBC"/>
    <w:pPr>
      <w:spacing w:before="480" w:line="240" w:lineRule="atLeast"/>
      <w:jc w:val="center"/>
    </w:pPr>
    <w:rPr>
      <w:rFonts w:cs="Arial"/>
      <w:sz w:val="22"/>
      <w:szCs w:val="22"/>
      <w:lang w:eastAsia="sl-SI"/>
    </w:rPr>
  </w:style>
  <w:style w:type="paragraph" w:customStyle="1" w:styleId="poglavje1">
    <w:name w:val="poglavje1"/>
    <w:basedOn w:val="Navaden"/>
    <w:rsid w:val="00C72BBC"/>
    <w:pPr>
      <w:spacing w:before="480" w:line="240" w:lineRule="auto"/>
      <w:jc w:val="center"/>
    </w:pPr>
    <w:rPr>
      <w:rFonts w:cs="Arial"/>
      <w:sz w:val="22"/>
      <w:szCs w:val="22"/>
      <w:lang w:eastAsia="sl-SI"/>
    </w:rPr>
  </w:style>
  <w:style w:type="paragraph" w:customStyle="1" w:styleId="alineazaodstavkom1">
    <w:name w:val="alineazaodstavkom1"/>
    <w:basedOn w:val="Navaden"/>
    <w:rsid w:val="00C72BBC"/>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3953">
      <w:bodyDiv w:val="1"/>
      <w:marLeft w:val="0"/>
      <w:marRight w:val="0"/>
      <w:marTop w:val="0"/>
      <w:marBottom w:val="0"/>
      <w:divBdr>
        <w:top w:val="none" w:sz="0" w:space="0" w:color="auto"/>
        <w:left w:val="none" w:sz="0" w:space="0" w:color="auto"/>
        <w:bottom w:val="none" w:sz="0" w:space="0" w:color="auto"/>
        <w:right w:val="none" w:sz="0" w:space="0" w:color="auto"/>
      </w:divBdr>
    </w:div>
    <w:div w:id="117188505">
      <w:bodyDiv w:val="1"/>
      <w:marLeft w:val="0"/>
      <w:marRight w:val="0"/>
      <w:marTop w:val="0"/>
      <w:marBottom w:val="0"/>
      <w:divBdr>
        <w:top w:val="none" w:sz="0" w:space="0" w:color="auto"/>
        <w:left w:val="none" w:sz="0" w:space="0" w:color="auto"/>
        <w:bottom w:val="none" w:sz="0" w:space="0" w:color="auto"/>
        <w:right w:val="none" w:sz="0" w:space="0" w:color="auto"/>
      </w:divBdr>
    </w:div>
    <w:div w:id="564923879">
      <w:bodyDiv w:val="1"/>
      <w:marLeft w:val="0"/>
      <w:marRight w:val="0"/>
      <w:marTop w:val="0"/>
      <w:marBottom w:val="0"/>
      <w:divBdr>
        <w:top w:val="none" w:sz="0" w:space="0" w:color="auto"/>
        <w:left w:val="none" w:sz="0" w:space="0" w:color="auto"/>
        <w:bottom w:val="none" w:sz="0" w:space="0" w:color="auto"/>
        <w:right w:val="none" w:sz="0" w:space="0" w:color="auto"/>
      </w:divBdr>
      <w:divsChild>
        <w:div w:id="1744834001">
          <w:marLeft w:val="0"/>
          <w:marRight w:val="0"/>
          <w:marTop w:val="0"/>
          <w:marBottom w:val="0"/>
          <w:divBdr>
            <w:top w:val="none" w:sz="0" w:space="0" w:color="auto"/>
            <w:left w:val="none" w:sz="0" w:space="0" w:color="auto"/>
            <w:bottom w:val="none" w:sz="0" w:space="0" w:color="auto"/>
            <w:right w:val="none" w:sz="0" w:space="0" w:color="auto"/>
          </w:divBdr>
          <w:divsChild>
            <w:div w:id="2027095310">
              <w:marLeft w:val="0"/>
              <w:marRight w:val="0"/>
              <w:marTop w:val="100"/>
              <w:marBottom w:val="100"/>
              <w:divBdr>
                <w:top w:val="none" w:sz="0" w:space="0" w:color="auto"/>
                <w:left w:val="none" w:sz="0" w:space="0" w:color="auto"/>
                <w:bottom w:val="none" w:sz="0" w:space="0" w:color="auto"/>
                <w:right w:val="none" w:sz="0" w:space="0" w:color="auto"/>
              </w:divBdr>
              <w:divsChild>
                <w:div w:id="1439175508">
                  <w:marLeft w:val="0"/>
                  <w:marRight w:val="0"/>
                  <w:marTop w:val="0"/>
                  <w:marBottom w:val="0"/>
                  <w:divBdr>
                    <w:top w:val="none" w:sz="0" w:space="0" w:color="auto"/>
                    <w:left w:val="none" w:sz="0" w:space="0" w:color="auto"/>
                    <w:bottom w:val="none" w:sz="0" w:space="0" w:color="auto"/>
                    <w:right w:val="none" w:sz="0" w:space="0" w:color="auto"/>
                  </w:divBdr>
                  <w:divsChild>
                    <w:div w:id="1276205755">
                      <w:marLeft w:val="0"/>
                      <w:marRight w:val="0"/>
                      <w:marTop w:val="0"/>
                      <w:marBottom w:val="0"/>
                      <w:divBdr>
                        <w:top w:val="none" w:sz="0" w:space="0" w:color="auto"/>
                        <w:left w:val="none" w:sz="0" w:space="0" w:color="auto"/>
                        <w:bottom w:val="none" w:sz="0" w:space="0" w:color="auto"/>
                        <w:right w:val="none" w:sz="0" w:space="0" w:color="auto"/>
                      </w:divBdr>
                      <w:divsChild>
                        <w:div w:id="1371683853">
                          <w:marLeft w:val="0"/>
                          <w:marRight w:val="0"/>
                          <w:marTop w:val="0"/>
                          <w:marBottom w:val="0"/>
                          <w:divBdr>
                            <w:top w:val="none" w:sz="0" w:space="0" w:color="auto"/>
                            <w:left w:val="none" w:sz="0" w:space="0" w:color="auto"/>
                            <w:bottom w:val="none" w:sz="0" w:space="0" w:color="auto"/>
                            <w:right w:val="none" w:sz="0" w:space="0" w:color="auto"/>
                          </w:divBdr>
                          <w:divsChild>
                            <w:div w:id="402339005">
                              <w:marLeft w:val="0"/>
                              <w:marRight w:val="0"/>
                              <w:marTop w:val="0"/>
                              <w:marBottom w:val="0"/>
                              <w:divBdr>
                                <w:top w:val="none" w:sz="0" w:space="0" w:color="auto"/>
                                <w:left w:val="none" w:sz="0" w:space="0" w:color="auto"/>
                                <w:bottom w:val="none" w:sz="0" w:space="0" w:color="auto"/>
                                <w:right w:val="none" w:sz="0" w:space="0" w:color="auto"/>
                              </w:divBdr>
                              <w:divsChild>
                                <w:div w:id="1794204219">
                                  <w:marLeft w:val="0"/>
                                  <w:marRight w:val="0"/>
                                  <w:marTop w:val="0"/>
                                  <w:marBottom w:val="0"/>
                                  <w:divBdr>
                                    <w:top w:val="none" w:sz="0" w:space="0" w:color="auto"/>
                                    <w:left w:val="none" w:sz="0" w:space="0" w:color="auto"/>
                                    <w:bottom w:val="none" w:sz="0" w:space="0" w:color="auto"/>
                                    <w:right w:val="none" w:sz="0" w:space="0" w:color="auto"/>
                                  </w:divBdr>
                                  <w:divsChild>
                                    <w:div w:id="1505124491">
                                      <w:marLeft w:val="0"/>
                                      <w:marRight w:val="0"/>
                                      <w:marTop w:val="0"/>
                                      <w:marBottom w:val="0"/>
                                      <w:divBdr>
                                        <w:top w:val="none" w:sz="0" w:space="0" w:color="auto"/>
                                        <w:left w:val="none" w:sz="0" w:space="0" w:color="auto"/>
                                        <w:bottom w:val="none" w:sz="0" w:space="0" w:color="auto"/>
                                        <w:right w:val="none" w:sz="0" w:space="0" w:color="auto"/>
                                      </w:divBdr>
                                      <w:divsChild>
                                        <w:div w:id="4054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3191818">
      <w:bodyDiv w:val="1"/>
      <w:marLeft w:val="0"/>
      <w:marRight w:val="0"/>
      <w:marTop w:val="0"/>
      <w:marBottom w:val="0"/>
      <w:divBdr>
        <w:top w:val="none" w:sz="0" w:space="0" w:color="auto"/>
        <w:left w:val="none" w:sz="0" w:space="0" w:color="auto"/>
        <w:bottom w:val="none" w:sz="0" w:space="0" w:color="auto"/>
        <w:right w:val="none" w:sz="0" w:space="0" w:color="auto"/>
      </w:divBdr>
      <w:divsChild>
        <w:div w:id="1235164643">
          <w:marLeft w:val="0"/>
          <w:marRight w:val="0"/>
          <w:marTop w:val="0"/>
          <w:marBottom w:val="0"/>
          <w:divBdr>
            <w:top w:val="none" w:sz="0" w:space="0" w:color="auto"/>
            <w:left w:val="none" w:sz="0" w:space="0" w:color="auto"/>
            <w:bottom w:val="none" w:sz="0" w:space="0" w:color="auto"/>
            <w:right w:val="none" w:sz="0" w:space="0" w:color="auto"/>
          </w:divBdr>
          <w:divsChild>
            <w:div w:id="1470439615">
              <w:marLeft w:val="0"/>
              <w:marRight w:val="0"/>
              <w:marTop w:val="100"/>
              <w:marBottom w:val="100"/>
              <w:divBdr>
                <w:top w:val="none" w:sz="0" w:space="0" w:color="auto"/>
                <w:left w:val="none" w:sz="0" w:space="0" w:color="auto"/>
                <w:bottom w:val="none" w:sz="0" w:space="0" w:color="auto"/>
                <w:right w:val="none" w:sz="0" w:space="0" w:color="auto"/>
              </w:divBdr>
              <w:divsChild>
                <w:div w:id="31735978">
                  <w:marLeft w:val="0"/>
                  <w:marRight w:val="0"/>
                  <w:marTop w:val="0"/>
                  <w:marBottom w:val="0"/>
                  <w:divBdr>
                    <w:top w:val="none" w:sz="0" w:space="0" w:color="auto"/>
                    <w:left w:val="none" w:sz="0" w:space="0" w:color="auto"/>
                    <w:bottom w:val="none" w:sz="0" w:space="0" w:color="auto"/>
                    <w:right w:val="none" w:sz="0" w:space="0" w:color="auto"/>
                  </w:divBdr>
                  <w:divsChild>
                    <w:div w:id="574558319">
                      <w:marLeft w:val="0"/>
                      <w:marRight w:val="0"/>
                      <w:marTop w:val="0"/>
                      <w:marBottom w:val="0"/>
                      <w:divBdr>
                        <w:top w:val="none" w:sz="0" w:space="0" w:color="auto"/>
                        <w:left w:val="none" w:sz="0" w:space="0" w:color="auto"/>
                        <w:bottom w:val="none" w:sz="0" w:space="0" w:color="auto"/>
                        <w:right w:val="none" w:sz="0" w:space="0" w:color="auto"/>
                      </w:divBdr>
                      <w:divsChild>
                        <w:div w:id="1922988188">
                          <w:marLeft w:val="0"/>
                          <w:marRight w:val="0"/>
                          <w:marTop w:val="0"/>
                          <w:marBottom w:val="0"/>
                          <w:divBdr>
                            <w:top w:val="none" w:sz="0" w:space="0" w:color="auto"/>
                            <w:left w:val="none" w:sz="0" w:space="0" w:color="auto"/>
                            <w:bottom w:val="none" w:sz="0" w:space="0" w:color="auto"/>
                            <w:right w:val="none" w:sz="0" w:space="0" w:color="auto"/>
                          </w:divBdr>
                          <w:divsChild>
                            <w:div w:id="202983025">
                              <w:marLeft w:val="0"/>
                              <w:marRight w:val="0"/>
                              <w:marTop w:val="0"/>
                              <w:marBottom w:val="0"/>
                              <w:divBdr>
                                <w:top w:val="none" w:sz="0" w:space="0" w:color="auto"/>
                                <w:left w:val="none" w:sz="0" w:space="0" w:color="auto"/>
                                <w:bottom w:val="none" w:sz="0" w:space="0" w:color="auto"/>
                                <w:right w:val="none" w:sz="0" w:space="0" w:color="auto"/>
                              </w:divBdr>
                              <w:divsChild>
                                <w:div w:id="388846965">
                                  <w:marLeft w:val="0"/>
                                  <w:marRight w:val="0"/>
                                  <w:marTop w:val="0"/>
                                  <w:marBottom w:val="0"/>
                                  <w:divBdr>
                                    <w:top w:val="none" w:sz="0" w:space="0" w:color="auto"/>
                                    <w:left w:val="none" w:sz="0" w:space="0" w:color="auto"/>
                                    <w:bottom w:val="none" w:sz="0" w:space="0" w:color="auto"/>
                                    <w:right w:val="none" w:sz="0" w:space="0" w:color="auto"/>
                                  </w:divBdr>
                                  <w:divsChild>
                                    <w:div w:id="1200047583">
                                      <w:marLeft w:val="0"/>
                                      <w:marRight w:val="0"/>
                                      <w:marTop w:val="0"/>
                                      <w:marBottom w:val="0"/>
                                      <w:divBdr>
                                        <w:top w:val="none" w:sz="0" w:space="0" w:color="auto"/>
                                        <w:left w:val="none" w:sz="0" w:space="0" w:color="auto"/>
                                        <w:bottom w:val="none" w:sz="0" w:space="0" w:color="auto"/>
                                        <w:right w:val="none" w:sz="0" w:space="0" w:color="auto"/>
                                      </w:divBdr>
                                      <w:divsChild>
                                        <w:div w:id="141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867863">
      <w:bodyDiv w:val="1"/>
      <w:marLeft w:val="0"/>
      <w:marRight w:val="0"/>
      <w:marTop w:val="0"/>
      <w:marBottom w:val="0"/>
      <w:divBdr>
        <w:top w:val="none" w:sz="0" w:space="0" w:color="auto"/>
        <w:left w:val="none" w:sz="0" w:space="0" w:color="auto"/>
        <w:bottom w:val="none" w:sz="0" w:space="0" w:color="auto"/>
        <w:right w:val="none" w:sz="0" w:space="0" w:color="auto"/>
      </w:divBdr>
    </w:div>
    <w:div w:id="825323444">
      <w:bodyDiv w:val="1"/>
      <w:marLeft w:val="0"/>
      <w:marRight w:val="0"/>
      <w:marTop w:val="0"/>
      <w:marBottom w:val="0"/>
      <w:divBdr>
        <w:top w:val="none" w:sz="0" w:space="0" w:color="auto"/>
        <w:left w:val="none" w:sz="0" w:space="0" w:color="auto"/>
        <w:bottom w:val="none" w:sz="0" w:space="0" w:color="auto"/>
        <w:right w:val="none" w:sz="0" w:space="0" w:color="auto"/>
      </w:divBdr>
      <w:divsChild>
        <w:div w:id="1914850060">
          <w:marLeft w:val="0"/>
          <w:marRight w:val="0"/>
          <w:marTop w:val="0"/>
          <w:marBottom w:val="0"/>
          <w:divBdr>
            <w:top w:val="none" w:sz="0" w:space="0" w:color="auto"/>
            <w:left w:val="none" w:sz="0" w:space="0" w:color="auto"/>
            <w:bottom w:val="none" w:sz="0" w:space="0" w:color="auto"/>
            <w:right w:val="none" w:sz="0" w:space="0" w:color="auto"/>
          </w:divBdr>
          <w:divsChild>
            <w:div w:id="572201945">
              <w:marLeft w:val="0"/>
              <w:marRight w:val="0"/>
              <w:marTop w:val="100"/>
              <w:marBottom w:val="100"/>
              <w:divBdr>
                <w:top w:val="none" w:sz="0" w:space="0" w:color="auto"/>
                <w:left w:val="none" w:sz="0" w:space="0" w:color="auto"/>
                <w:bottom w:val="none" w:sz="0" w:space="0" w:color="auto"/>
                <w:right w:val="none" w:sz="0" w:space="0" w:color="auto"/>
              </w:divBdr>
              <w:divsChild>
                <w:div w:id="2000502202">
                  <w:marLeft w:val="0"/>
                  <w:marRight w:val="0"/>
                  <w:marTop w:val="0"/>
                  <w:marBottom w:val="0"/>
                  <w:divBdr>
                    <w:top w:val="none" w:sz="0" w:space="0" w:color="auto"/>
                    <w:left w:val="none" w:sz="0" w:space="0" w:color="auto"/>
                    <w:bottom w:val="none" w:sz="0" w:space="0" w:color="auto"/>
                    <w:right w:val="none" w:sz="0" w:space="0" w:color="auto"/>
                  </w:divBdr>
                  <w:divsChild>
                    <w:div w:id="999963508">
                      <w:marLeft w:val="0"/>
                      <w:marRight w:val="0"/>
                      <w:marTop w:val="0"/>
                      <w:marBottom w:val="0"/>
                      <w:divBdr>
                        <w:top w:val="none" w:sz="0" w:space="0" w:color="auto"/>
                        <w:left w:val="none" w:sz="0" w:space="0" w:color="auto"/>
                        <w:bottom w:val="none" w:sz="0" w:space="0" w:color="auto"/>
                        <w:right w:val="none" w:sz="0" w:space="0" w:color="auto"/>
                      </w:divBdr>
                      <w:divsChild>
                        <w:div w:id="806826342">
                          <w:marLeft w:val="0"/>
                          <w:marRight w:val="0"/>
                          <w:marTop w:val="0"/>
                          <w:marBottom w:val="0"/>
                          <w:divBdr>
                            <w:top w:val="none" w:sz="0" w:space="0" w:color="auto"/>
                            <w:left w:val="none" w:sz="0" w:space="0" w:color="auto"/>
                            <w:bottom w:val="none" w:sz="0" w:space="0" w:color="auto"/>
                            <w:right w:val="none" w:sz="0" w:space="0" w:color="auto"/>
                          </w:divBdr>
                          <w:divsChild>
                            <w:div w:id="1244145855">
                              <w:marLeft w:val="0"/>
                              <w:marRight w:val="0"/>
                              <w:marTop w:val="0"/>
                              <w:marBottom w:val="0"/>
                              <w:divBdr>
                                <w:top w:val="none" w:sz="0" w:space="0" w:color="auto"/>
                                <w:left w:val="none" w:sz="0" w:space="0" w:color="auto"/>
                                <w:bottom w:val="none" w:sz="0" w:space="0" w:color="auto"/>
                                <w:right w:val="none" w:sz="0" w:space="0" w:color="auto"/>
                              </w:divBdr>
                              <w:divsChild>
                                <w:div w:id="362828100">
                                  <w:marLeft w:val="0"/>
                                  <w:marRight w:val="0"/>
                                  <w:marTop w:val="0"/>
                                  <w:marBottom w:val="0"/>
                                  <w:divBdr>
                                    <w:top w:val="none" w:sz="0" w:space="0" w:color="auto"/>
                                    <w:left w:val="none" w:sz="0" w:space="0" w:color="auto"/>
                                    <w:bottom w:val="none" w:sz="0" w:space="0" w:color="auto"/>
                                    <w:right w:val="none" w:sz="0" w:space="0" w:color="auto"/>
                                  </w:divBdr>
                                  <w:divsChild>
                                    <w:div w:id="1848248581">
                                      <w:marLeft w:val="0"/>
                                      <w:marRight w:val="0"/>
                                      <w:marTop w:val="0"/>
                                      <w:marBottom w:val="0"/>
                                      <w:divBdr>
                                        <w:top w:val="none" w:sz="0" w:space="0" w:color="auto"/>
                                        <w:left w:val="none" w:sz="0" w:space="0" w:color="auto"/>
                                        <w:bottom w:val="none" w:sz="0" w:space="0" w:color="auto"/>
                                        <w:right w:val="none" w:sz="0" w:space="0" w:color="auto"/>
                                      </w:divBdr>
                                      <w:divsChild>
                                        <w:div w:id="21138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7815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729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6-01-3852" TargetMode="External"/><Relationship Id="rId13" Type="http://schemas.openxmlformats.org/officeDocument/2006/relationships/hyperlink" Target="http://www.uradni-list.si/1/objava.jsp?sop=2009-01-2795" TargetMode="External"/><Relationship Id="rId18" Type="http://schemas.openxmlformats.org/officeDocument/2006/relationships/hyperlink" Target="http://www.uradni-list.si/1/objava.jsp?sop=2013-01-1563"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5-01-19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4781" TargetMode="External"/><Relationship Id="rId17" Type="http://schemas.openxmlformats.org/officeDocument/2006/relationships/hyperlink" Target="http://www.uradni-list.si/1/objava.jsp?sop=2012-01-2856" TargetMode="External"/><Relationship Id="rId25" Type="http://schemas.openxmlformats.org/officeDocument/2006/relationships/hyperlink" Target="http://www.uradni-list.si/1/objava.jsp?sop=2019-01-3129"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0-01-5589" TargetMode="External"/><Relationship Id="rId20" Type="http://schemas.openxmlformats.org/officeDocument/2006/relationships/hyperlink" Target="http://www.uradni-list.si/1/objava.jsp?sop=2014-01-0253"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1983" TargetMode="External"/><Relationship Id="rId24" Type="http://schemas.openxmlformats.org/officeDocument/2006/relationships/hyperlink" Target="http://www.uradni-list.si/1/objava.jsp?sop=2019-01-0613"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0-01-2675" TargetMode="External"/><Relationship Id="rId23" Type="http://schemas.openxmlformats.org/officeDocument/2006/relationships/hyperlink" Target="http://www.uradni-list.si/1/objava.jsp?sop=2017-01-0463" TargetMode="External"/><Relationship Id="rId10" Type="http://schemas.openxmlformats.org/officeDocument/2006/relationships/hyperlink" Target="http://www.uradni-list.si/1/objava.jsp?sop=2008-01-1979" TargetMode="External"/><Relationship Id="rId19" Type="http://schemas.openxmlformats.org/officeDocument/2006/relationships/hyperlink" Target="http://www.uradni-list.si/1/objava.jsp?sop=2013-01-3341"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7-01-3965" TargetMode="External"/><Relationship Id="rId14" Type="http://schemas.openxmlformats.org/officeDocument/2006/relationships/hyperlink" Target="http://www.uradni-list.si/1/objava.jsp?sop=2010-01-0481" TargetMode="External"/><Relationship Id="rId22" Type="http://schemas.openxmlformats.org/officeDocument/2006/relationships/hyperlink" Target="http://www.uradni-list.si/1/objava.jsp?sop=2017-01-0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F98CA9-C056-4221-A4CA-715229EE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6078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Seznanitev podatkov v sodnem spisu</dc:title>
  <dc:subject/>
  <dc:creator>Alenka Pšeničnik</dc:creator>
  <cp:keywords/>
  <cp:lastModifiedBy>Alenka Pšeničnik</cp:lastModifiedBy>
  <cp:revision>2</cp:revision>
  <cp:lastPrinted>2012-09-24T10:52:00Z</cp:lastPrinted>
  <dcterms:created xsi:type="dcterms:W3CDTF">2021-09-02T11:49:00Z</dcterms:created>
  <dcterms:modified xsi:type="dcterms:W3CDTF">2021-09-02T11:49:00Z</dcterms:modified>
</cp:coreProperties>
</file>