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91559" w14:textId="75909445" w:rsidR="00A93C37" w:rsidRDefault="00A93C37" w:rsidP="00E40512">
      <w:pPr>
        <w:spacing w:before="240" w:after="240"/>
        <w:jc w:val="center"/>
        <w:rPr>
          <w:rFonts w:ascii="Aptos" w:eastAsia="Aptos" w:hAnsi="Aptos" w:cs="Aptos"/>
          <w:b/>
          <w:bCs/>
          <w:color w:val="3A7C22" w:themeColor="accent6" w:themeShade="BF"/>
          <w:sz w:val="22"/>
          <w:szCs w:val="22"/>
        </w:rPr>
      </w:pPr>
      <w:r w:rsidRPr="00F36EE6">
        <w:rPr>
          <w:noProof/>
        </w:rPr>
        <w:drawing>
          <wp:anchor distT="0" distB="0" distL="114300" distR="114300" simplePos="0" relativeHeight="251658240" behindDoc="0" locked="0" layoutInCell="1" allowOverlap="1" wp14:anchorId="4EBF590B" wp14:editId="04E21089">
            <wp:simplePos x="0" y="0"/>
            <wp:positionH relativeFrom="margin">
              <wp:align>center</wp:align>
            </wp:positionH>
            <wp:positionV relativeFrom="paragraph">
              <wp:posOffset>-308849</wp:posOffset>
            </wp:positionV>
            <wp:extent cx="932942" cy="979715"/>
            <wp:effectExtent l="0" t="0" r="0" b="0"/>
            <wp:wrapNone/>
            <wp:docPr id="2" name="Slika 1">
              <a:extLst xmlns:a="http://schemas.openxmlformats.org/drawingml/2006/main">
                <a:ext uri="{FF2B5EF4-FFF2-40B4-BE49-F238E27FC236}">
                  <a16:creationId xmlns:a16="http://schemas.microsoft.com/office/drawing/2014/main" id="{99DA53CA-EDF7-93CA-955F-C1DE44E83CF5}"/>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a:extLst>
                        <a:ext uri="{FF2B5EF4-FFF2-40B4-BE49-F238E27FC236}">
                          <a16:creationId xmlns:a16="http://schemas.microsoft.com/office/drawing/2014/main" id="{99DA53CA-EDF7-93CA-955F-C1DE44E83CF5}"/>
                        </a:ext>
                        <a:ext uri="{C183D7F6-B498-43B3-948B-1728B52AA6E4}">
                          <adec:decorative xmlns:adec="http://schemas.microsoft.com/office/drawing/2017/decorative" val="1"/>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2942" cy="979715"/>
                    </a:xfrm>
                    <a:prstGeom prst="rect">
                      <a:avLst/>
                    </a:prstGeom>
                  </pic:spPr>
                </pic:pic>
              </a:graphicData>
            </a:graphic>
          </wp:anchor>
        </w:drawing>
      </w:r>
    </w:p>
    <w:p w14:paraId="26AAB96D" w14:textId="4A107CCD" w:rsidR="00343B43" w:rsidRPr="00AA3188" w:rsidRDefault="00343B43" w:rsidP="00E40512">
      <w:pPr>
        <w:spacing w:before="240" w:after="240"/>
        <w:jc w:val="center"/>
        <w:rPr>
          <w:rFonts w:ascii="Aptos" w:eastAsia="Aptos" w:hAnsi="Aptos" w:cs="Aptos"/>
          <w:b/>
          <w:bCs/>
          <w:color w:val="3A7C22" w:themeColor="accent6" w:themeShade="BF"/>
          <w:sz w:val="22"/>
          <w:szCs w:val="22"/>
          <w:highlight w:val="yellow"/>
        </w:rPr>
      </w:pPr>
    </w:p>
    <w:p w14:paraId="713FFFCA" w14:textId="45AAF97E" w:rsidR="008E3A5E" w:rsidRPr="00A16E0E" w:rsidRDefault="00A93C37" w:rsidP="00E40512">
      <w:pPr>
        <w:spacing w:before="240" w:after="240"/>
        <w:jc w:val="center"/>
        <w:rPr>
          <w:rFonts w:ascii="Aptos" w:eastAsia="Aptos" w:hAnsi="Aptos" w:cs="Aptos"/>
          <w:b/>
          <w:bCs/>
          <w:color w:val="3A7C22" w:themeColor="accent6" w:themeShade="BF"/>
          <w:sz w:val="22"/>
          <w:szCs w:val="22"/>
        </w:rPr>
      </w:pPr>
      <w:r w:rsidRPr="00A93C37">
        <w:rPr>
          <w:rFonts w:ascii="Aptos" w:eastAsia="Aptos" w:hAnsi="Aptos" w:cs="Aptos"/>
          <w:b/>
          <w:bCs/>
          <w:color w:val="3A7C22" w:themeColor="accent6" w:themeShade="BF"/>
          <w:sz w:val="22"/>
          <w:szCs w:val="22"/>
        </w:rPr>
        <w:t>PROJEKT PRIPRAVA, OBLIKOVANJE IN UPORABA RAZVOJNIH REŠITEV NA PODROČJU IZBIRE IN RAZVOJA KADROV V ORGANIH DRŽAVNE UPRAVE</w:t>
      </w:r>
      <w:r>
        <w:rPr>
          <w:rFonts w:ascii="Aptos" w:eastAsia="Aptos" w:hAnsi="Aptos" w:cs="Aptos"/>
          <w:b/>
          <w:bCs/>
          <w:color w:val="3A7C22" w:themeColor="accent6" w:themeShade="BF"/>
          <w:sz w:val="22"/>
          <w:szCs w:val="22"/>
        </w:rPr>
        <w:t xml:space="preserve"> </w:t>
      </w:r>
      <w:r w:rsidR="00C91634" w:rsidRPr="00A93C37">
        <w:rPr>
          <w:rFonts w:ascii="Aptos" w:eastAsia="Aptos" w:hAnsi="Aptos" w:cs="Aptos"/>
          <w:b/>
          <w:bCs/>
          <w:color w:val="3A7C22" w:themeColor="accent6" w:themeShade="BF"/>
          <w:sz w:val="22"/>
          <w:szCs w:val="22"/>
        </w:rPr>
        <w:t>- RAZVIJAMO KOMPETENCE PRIHODNOSTI</w:t>
      </w:r>
    </w:p>
    <w:p w14:paraId="7F6DE178" w14:textId="59A111BB" w:rsidR="00343B43" w:rsidRPr="00A16E0E" w:rsidRDefault="00343B43" w:rsidP="000F6CD1">
      <w:pPr>
        <w:spacing w:before="240" w:after="240"/>
        <w:jc w:val="center"/>
        <w:rPr>
          <w:rStyle w:val="normaltextrun"/>
          <w:rFonts w:ascii="Aptos" w:eastAsia="Aptos" w:hAnsi="Aptos" w:cs="Aptos"/>
          <w:b/>
          <w:bCs/>
          <w:color w:val="3A7C22" w:themeColor="accent6" w:themeShade="BF"/>
          <w:sz w:val="22"/>
          <w:szCs w:val="22"/>
        </w:rPr>
      </w:pPr>
      <w:r w:rsidRPr="00A16E0E">
        <w:rPr>
          <w:rFonts w:ascii="Aptos" w:eastAsia="Aptos" w:hAnsi="Aptos" w:cs="Aptos"/>
          <w:b/>
          <w:bCs/>
          <w:color w:val="3A7C22" w:themeColor="accent6" w:themeShade="BF"/>
          <w:sz w:val="22"/>
          <w:szCs w:val="22"/>
        </w:rPr>
        <w:t xml:space="preserve">Strokovni članek, </w:t>
      </w:r>
      <w:r w:rsidR="00AA3188">
        <w:rPr>
          <w:rFonts w:ascii="Aptos" w:eastAsia="Aptos" w:hAnsi="Aptos" w:cs="Aptos"/>
          <w:b/>
          <w:bCs/>
          <w:color w:val="3A7C22" w:themeColor="accent6" w:themeShade="BF"/>
          <w:sz w:val="22"/>
          <w:szCs w:val="22"/>
        </w:rPr>
        <w:t>september</w:t>
      </w:r>
      <w:r w:rsidR="000F6CD1" w:rsidRPr="00A16E0E">
        <w:rPr>
          <w:rFonts w:ascii="Aptos" w:eastAsia="Aptos" w:hAnsi="Aptos" w:cs="Aptos"/>
          <w:b/>
          <w:bCs/>
          <w:color w:val="3A7C22" w:themeColor="accent6" w:themeShade="BF"/>
          <w:sz w:val="22"/>
          <w:szCs w:val="22"/>
        </w:rPr>
        <w:t xml:space="preserve"> </w:t>
      </w:r>
      <w:r w:rsidR="008E3A5E" w:rsidRPr="00A16E0E">
        <w:rPr>
          <w:rFonts w:ascii="Aptos" w:eastAsia="Aptos" w:hAnsi="Aptos" w:cs="Aptos"/>
          <w:b/>
          <w:bCs/>
          <w:color w:val="3A7C22" w:themeColor="accent6" w:themeShade="BF"/>
          <w:sz w:val="22"/>
          <w:szCs w:val="22"/>
        </w:rPr>
        <w:t>202</w:t>
      </w:r>
      <w:r w:rsidR="00DC69CC" w:rsidRPr="00A16E0E">
        <w:rPr>
          <w:rFonts w:ascii="Aptos" w:eastAsia="Aptos" w:hAnsi="Aptos" w:cs="Aptos"/>
          <w:b/>
          <w:bCs/>
          <w:color w:val="3A7C22" w:themeColor="accent6" w:themeShade="BF"/>
          <w:sz w:val="22"/>
          <w:szCs w:val="22"/>
        </w:rPr>
        <w:t>5</w:t>
      </w:r>
    </w:p>
    <w:p w14:paraId="32D8B480" w14:textId="4F9F30ED" w:rsidR="00470F5F" w:rsidRPr="00A16E0E" w:rsidRDefault="00AA3188" w:rsidP="00343B43">
      <w:pPr>
        <w:pStyle w:val="paragraph"/>
        <w:spacing w:before="0" w:after="0"/>
        <w:jc w:val="both"/>
        <w:textAlignment w:val="baseline"/>
        <w:rPr>
          <w:rStyle w:val="normaltextrun"/>
          <w:rFonts w:ascii="Aptos Display" w:hAnsi="Aptos Display" w:cs="Segoe UI"/>
          <w:color w:val="196B24"/>
          <w:sz w:val="40"/>
          <w:szCs w:val="40"/>
        </w:rPr>
      </w:pPr>
      <w:r>
        <w:rPr>
          <w:rStyle w:val="normaltextrun"/>
          <w:rFonts w:ascii="Aptos Display" w:hAnsi="Aptos Display" w:cs="Segoe UI"/>
          <w:color w:val="196B24"/>
          <w:sz w:val="40"/>
          <w:szCs w:val="40"/>
        </w:rPr>
        <w:t>Presoja kompetenc</w:t>
      </w:r>
      <w:r w:rsidR="000F6CD1" w:rsidRPr="00A16E0E">
        <w:rPr>
          <w:rStyle w:val="normaltextrun"/>
          <w:rFonts w:ascii="Aptos Display" w:hAnsi="Aptos Display" w:cs="Segoe UI"/>
          <w:color w:val="196B24"/>
          <w:sz w:val="40"/>
          <w:szCs w:val="40"/>
        </w:rPr>
        <w:t xml:space="preserve"> </w:t>
      </w:r>
      <w:r>
        <w:rPr>
          <w:rStyle w:val="normaltextrun"/>
          <w:rFonts w:ascii="Aptos Display" w:hAnsi="Aptos Display" w:cs="Segoe UI"/>
          <w:color w:val="196B24"/>
          <w:sz w:val="40"/>
          <w:szCs w:val="40"/>
        </w:rPr>
        <w:t>–</w:t>
      </w:r>
      <w:r w:rsidR="000F6CD1" w:rsidRPr="00A16E0E">
        <w:rPr>
          <w:rStyle w:val="normaltextrun"/>
          <w:rFonts w:ascii="Aptos Display" w:hAnsi="Aptos Display" w:cs="Segoe UI"/>
          <w:color w:val="196B24"/>
          <w:sz w:val="40"/>
          <w:szCs w:val="40"/>
        </w:rPr>
        <w:t xml:space="preserve"> </w:t>
      </w:r>
      <w:r>
        <w:rPr>
          <w:rStyle w:val="normaltextrun"/>
          <w:rFonts w:ascii="Aptos Display" w:hAnsi="Aptos Display" w:cs="Segoe UI"/>
          <w:color w:val="196B24"/>
          <w:sz w:val="40"/>
          <w:szCs w:val="40"/>
        </w:rPr>
        <w:t>pasti in dobre prakse</w:t>
      </w:r>
    </w:p>
    <w:p w14:paraId="06D1A146" w14:textId="48ACA911" w:rsidR="00470F5F" w:rsidRDefault="00A93C37" w:rsidP="00343B43">
      <w:pPr>
        <w:pStyle w:val="paragraph"/>
        <w:spacing w:before="0" w:after="0"/>
        <w:jc w:val="both"/>
        <w:textAlignment w:val="baseline"/>
        <w:rPr>
          <w:rStyle w:val="normaltextrun"/>
          <w:rFonts w:ascii="Aptos" w:hAnsi="Aptos" w:cs="Segoe UI"/>
        </w:rPr>
      </w:pPr>
      <w:r>
        <w:rPr>
          <w:rStyle w:val="normaltextrun"/>
          <w:rFonts w:ascii="Aptos" w:hAnsi="Aptos" w:cs="Segoe UI"/>
        </w:rPr>
        <w:t xml:space="preserve">Državna uprava </w:t>
      </w:r>
      <w:r w:rsidR="00EF6869">
        <w:rPr>
          <w:rStyle w:val="normaltextrun"/>
          <w:rFonts w:ascii="Aptos" w:hAnsi="Aptos" w:cs="Segoe UI"/>
        </w:rPr>
        <w:t>je vzpostavila in nadgradila</w:t>
      </w:r>
      <w:r>
        <w:rPr>
          <w:rStyle w:val="normaltextrun"/>
          <w:rFonts w:ascii="Aptos" w:hAnsi="Aptos" w:cs="Segoe UI"/>
        </w:rPr>
        <w:t xml:space="preserve"> </w:t>
      </w:r>
      <w:r w:rsidR="001366E1">
        <w:rPr>
          <w:rStyle w:val="normaltextrun"/>
          <w:rFonts w:ascii="Aptos" w:hAnsi="Aptos" w:cs="Segoe UI"/>
        </w:rPr>
        <w:t>obsežen</w:t>
      </w:r>
      <w:r>
        <w:rPr>
          <w:rStyle w:val="normaltextrun"/>
          <w:rFonts w:ascii="Aptos" w:hAnsi="Aptos" w:cs="Segoe UI"/>
        </w:rPr>
        <w:t xml:space="preserve"> </w:t>
      </w:r>
      <w:r w:rsidR="00470F5F">
        <w:rPr>
          <w:rStyle w:val="normaltextrun"/>
          <w:rFonts w:ascii="Aptos" w:hAnsi="Aptos" w:cs="Segoe UI"/>
        </w:rPr>
        <w:t>kompetenčni model</w:t>
      </w:r>
      <w:r w:rsidR="00A530DD">
        <w:rPr>
          <w:rStyle w:val="normaltextrun"/>
          <w:rFonts w:ascii="Aptos" w:hAnsi="Aptos" w:cs="Segoe UI"/>
        </w:rPr>
        <w:t>, ki vključuje</w:t>
      </w:r>
      <w:r w:rsidR="00470F5F">
        <w:rPr>
          <w:rStyle w:val="normaltextrun"/>
          <w:rFonts w:ascii="Aptos" w:hAnsi="Aptos" w:cs="Segoe UI"/>
        </w:rPr>
        <w:t xml:space="preserve"> temeljne, vodstvene</w:t>
      </w:r>
      <w:r w:rsidR="00A530DD">
        <w:rPr>
          <w:rStyle w:val="normaltextrun"/>
          <w:rFonts w:ascii="Aptos" w:hAnsi="Aptos" w:cs="Segoe UI"/>
        </w:rPr>
        <w:t xml:space="preserve"> in</w:t>
      </w:r>
      <w:r w:rsidR="00470F5F">
        <w:rPr>
          <w:rStyle w:val="normaltextrun"/>
          <w:rFonts w:ascii="Aptos" w:hAnsi="Aptos" w:cs="Segoe UI"/>
        </w:rPr>
        <w:t xml:space="preserve"> delovno specifične</w:t>
      </w:r>
      <w:r w:rsidR="00A530DD">
        <w:rPr>
          <w:rStyle w:val="normaltextrun"/>
          <w:rFonts w:ascii="Aptos" w:hAnsi="Aptos" w:cs="Segoe UI"/>
        </w:rPr>
        <w:t xml:space="preserve"> kompetence</w:t>
      </w:r>
      <w:r w:rsidR="00B44B41">
        <w:rPr>
          <w:rStyle w:val="normaltextrun"/>
          <w:rFonts w:ascii="Aptos" w:hAnsi="Aptos" w:cs="Segoe UI"/>
        </w:rPr>
        <w:t xml:space="preserve"> za </w:t>
      </w:r>
      <w:r>
        <w:rPr>
          <w:rStyle w:val="normaltextrun"/>
          <w:rFonts w:ascii="Aptos" w:hAnsi="Aptos" w:cs="Segoe UI"/>
        </w:rPr>
        <w:t>18 sklopov sorodnih delovnih mest</w:t>
      </w:r>
      <w:r w:rsidR="00A530DD">
        <w:rPr>
          <w:rStyle w:val="normaltextrun"/>
          <w:rFonts w:ascii="Aptos" w:hAnsi="Aptos" w:cs="Segoe UI"/>
        </w:rPr>
        <w:t xml:space="preserve">. Vsaka kompetenca ima svojo </w:t>
      </w:r>
      <w:r w:rsidR="00470F5F">
        <w:rPr>
          <w:rStyle w:val="normaltextrun"/>
          <w:rFonts w:ascii="Aptos" w:hAnsi="Aptos" w:cs="Segoe UI"/>
        </w:rPr>
        <w:t xml:space="preserve">definicijo in </w:t>
      </w:r>
      <w:r w:rsidR="00660AA6">
        <w:rPr>
          <w:rStyle w:val="normaltextrun"/>
          <w:rFonts w:ascii="Aptos" w:hAnsi="Aptos" w:cs="Segoe UI"/>
        </w:rPr>
        <w:t>več izbranih</w:t>
      </w:r>
      <w:r w:rsidR="00A530DD">
        <w:rPr>
          <w:rStyle w:val="normaltextrun"/>
          <w:rFonts w:ascii="Aptos" w:hAnsi="Aptos" w:cs="Segoe UI"/>
        </w:rPr>
        <w:t xml:space="preserve"> vedenjskih trditev</w:t>
      </w:r>
      <w:r w:rsidR="00470F5F">
        <w:rPr>
          <w:rStyle w:val="normaltextrun"/>
          <w:rFonts w:ascii="Aptos" w:hAnsi="Aptos" w:cs="Segoe UI"/>
        </w:rPr>
        <w:t>.</w:t>
      </w:r>
      <w:r w:rsidR="00A530DD">
        <w:rPr>
          <w:rStyle w:val="normaltextrun"/>
          <w:rFonts w:ascii="Aptos" w:hAnsi="Aptos" w:cs="Segoe UI"/>
        </w:rPr>
        <w:t xml:space="preserve"> </w:t>
      </w:r>
      <w:r>
        <w:rPr>
          <w:rStyle w:val="normaltextrun"/>
          <w:rFonts w:ascii="Aptos" w:hAnsi="Aptos" w:cs="Segoe UI"/>
        </w:rPr>
        <w:t>Z nadgradnjo</w:t>
      </w:r>
      <w:r w:rsidR="00B44B41">
        <w:rPr>
          <w:rStyle w:val="normaltextrun"/>
          <w:rFonts w:ascii="Aptos" w:hAnsi="Aptos" w:cs="Segoe UI"/>
        </w:rPr>
        <w:t xml:space="preserve"> modela se pojavljajo vprašanja o njegovi uporabi. »Kje lahko kompetenčni model uporabimo?«,</w:t>
      </w:r>
      <w:r w:rsidR="00470F5F">
        <w:rPr>
          <w:rStyle w:val="normaltextrun"/>
          <w:rFonts w:ascii="Aptos" w:hAnsi="Aptos" w:cs="Segoe UI"/>
        </w:rPr>
        <w:t xml:space="preserve"> </w:t>
      </w:r>
      <w:r w:rsidR="00B44B41">
        <w:rPr>
          <w:rStyle w:val="normaltextrun"/>
          <w:rFonts w:ascii="Aptos" w:hAnsi="Aptos" w:cs="Segoe UI"/>
        </w:rPr>
        <w:t>»</w:t>
      </w:r>
      <w:r w:rsidR="00A530DD">
        <w:rPr>
          <w:rStyle w:val="normaltextrun"/>
          <w:rFonts w:ascii="Aptos" w:hAnsi="Aptos" w:cs="Segoe UI"/>
        </w:rPr>
        <w:t xml:space="preserve">Ali lahko </w:t>
      </w:r>
      <w:r w:rsidR="00806534">
        <w:rPr>
          <w:rStyle w:val="normaltextrun"/>
          <w:rFonts w:ascii="Aptos" w:hAnsi="Aptos" w:cs="Segoe UI"/>
        </w:rPr>
        <w:t>realno presojamo lastne kompetence in kompetence drugih</w:t>
      </w:r>
      <w:r w:rsidR="00660AA6">
        <w:rPr>
          <w:rStyle w:val="normaltextrun"/>
          <w:rFonts w:ascii="Aptos" w:hAnsi="Aptos" w:cs="Segoe UI"/>
        </w:rPr>
        <w:t>?</w:t>
      </w:r>
      <w:r w:rsidR="00B44B41">
        <w:rPr>
          <w:rStyle w:val="normaltextrun"/>
          <w:rFonts w:ascii="Aptos" w:hAnsi="Aptos" w:cs="Segoe UI"/>
        </w:rPr>
        <w:t xml:space="preserve">«, </w:t>
      </w:r>
      <w:r w:rsidR="00470F5F">
        <w:rPr>
          <w:rStyle w:val="normaltextrun"/>
          <w:rFonts w:ascii="Aptos" w:hAnsi="Aptos" w:cs="Segoe UI"/>
        </w:rPr>
        <w:t xml:space="preserve"> </w:t>
      </w:r>
      <w:r w:rsidR="00B44B41">
        <w:rPr>
          <w:rStyle w:val="normaltextrun"/>
          <w:rFonts w:ascii="Aptos" w:hAnsi="Aptos" w:cs="Segoe UI"/>
        </w:rPr>
        <w:t>»Na kaj moramo paziti?«.</w:t>
      </w:r>
    </w:p>
    <w:p w14:paraId="571BE65B" w14:textId="1485741B" w:rsidR="00A530DD" w:rsidRDefault="00A530DD" w:rsidP="00343B43">
      <w:pPr>
        <w:pStyle w:val="paragraph"/>
        <w:spacing w:before="0" w:after="0"/>
        <w:jc w:val="both"/>
        <w:textAlignment w:val="baseline"/>
        <w:rPr>
          <w:rStyle w:val="normaltextrun"/>
          <w:rFonts w:ascii="Aptos" w:hAnsi="Aptos" w:cs="Segoe UI"/>
        </w:rPr>
      </w:pPr>
      <w:r>
        <w:rPr>
          <w:rStyle w:val="normaltextrun"/>
          <w:rFonts w:ascii="Aptos" w:hAnsi="Aptos" w:cs="Segoe UI"/>
        </w:rPr>
        <w:t>V nadaljevanju sledi razlaga</w:t>
      </w:r>
      <w:r w:rsidR="00B44B41">
        <w:rPr>
          <w:rStyle w:val="normaltextrun"/>
          <w:rFonts w:ascii="Aptos" w:hAnsi="Aptos" w:cs="Segoe UI"/>
        </w:rPr>
        <w:t xml:space="preserve"> o dodani vrednosti presoje </w:t>
      </w:r>
      <w:r>
        <w:rPr>
          <w:rStyle w:val="normaltextrun"/>
          <w:rFonts w:ascii="Aptos" w:hAnsi="Aptos" w:cs="Segoe UI"/>
        </w:rPr>
        <w:t xml:space="preserve">kompetenc, </w:t>
      </w:r>
      <w:r w:rsidR="00B44B41">
        <w:rPr>
          <w:rStyle w:val="normaltextrun"/>
          <w:rFonts w:ascii="Aptos" w:hAnsi="Aptos" w:cs="Segoe UI"/>
        </w:rPr>
        <w:t>vlogah</w:t>
      </w:r>
      <w:r>
        <w:rPr>
          <w:rStyle w:val="normaltextrun"/>
          <w:rFonts w:ascii="Aptos" w:hAnsi="Aptos" w:cs="Segoe UI"/>
        </w:rPr>
        <w:t xml:space="preserve"> </w:t>
      </w:r>
      <w:r w:rsidR="00B44B41">
        <w:rPr>
          <w:rStyle w:val="normaltextrun"/>
          <w:rFonts w:ascii="Aptos" w:hAnsi="Aptos" w:cs="Segoe UI"/>
        </w:rPr>
        <w:t>v</w:t>
      </w:r>
      <w:r>
        <w:rPr>
          <w:rStyle w:val="normaltextrun"/>
          <w:rFonts w:ascii="Aptos" w:hAnsi="Aptos" w:cs="Segoe UI"/>
        </w:rPr>
        <w:t xml:space="preserve"> postopku presoje in </w:t>
      </w:r>
      <w:r w:rsidR="00B44B41">
        <w:rPr>
          <w:rStyle w:val="normaltextrun"/>
          <w:rFonts w:ascii="Aptos" w:hAnsi="Aptos" w:cs="Segoe UI"/>
        </w:rPr>
        <w:t>pasteh, v katere</w:t>
      </w:r>
      <w:r>
        <w:rPr>
          <w:rStyle w:val="normaltextrun"/>
          <w:rFonts w:ascii="Aptos" w:hAnsi="Aptos" w:cs="Segoe UI"/>
        </w:rPr>
        <w:t xml:space="preserve"> se lahko </w:t>
      </w:r>
      <w:r w:rsidR="00B44B41">
        <w:rPr>
          <w:rStyle w:val="normaltextrun"/>
          <w:rFonts w:ascii="Aptos" w:hAnsi="Aptos" w:cs="Segoe UI"/>
        </w:rPr>
        <w:t xml:space="preserve">med presojo </w:t>
      </w:r>
      <w:r>
        <w:rPr>
          <w:rStyle w:val="normaltextrun"/>
          <w:rFonts w:ascii="Aptos" w:hAnsi="Aptos" w:cs="Segoe UI"/>
        </w:rPr>
        <w:t xml:space="preserve">ujamemo. Predstavljen je tudi </w:t>
      </w:r>
      <w:r w:rsidR="00B44B41">
        <w:rPr>
          <w:rStyle w:val="normaltextrun"/>
          <w:rFonts w:ascii="Aptos" w:hAnsi="Aptos" w:cs="Segoe UI"/>
        </w:rPr>
        <w:t xml:space="preserve">postopek presoje kompetenc v državni upravi v </w:t>
      </w:r>
      <w:r w:rsidR="00A93C37" w:rsidRPr="00A93C37">
        <w:rPr>
          <w:rStyle w:val="normaltextrun"/>
          <w:rFonts w:ascii="Aptos" w:hAnsi="Aptos" w:cs="Segoe UI"/>
        </w:rPr>
        <w:t>Informacijskem sistemu za upravljanje in razvoj zaposlenih v državni upravi – IS MUZA</w:t>
      </w:r>
      <w:r w:rsidR="00A93C37">
        <w:rPr>
          <w:rStyle w:val="normaltextrun"/>
          <w:rFonts w:ascii="Aptos" w:hAnsi="Aptos" w:cs="Segoe UI"/>
        </w:rPr>
        <w:t xml:space="preserve"> (v nadaljevanju IS MUZA).</w:t>
      </w:r>
    </w:p>
    <w:p w14:paraId="381D814B" w14:textId="72021553" w:rsidR="00470F5F" w:rsidRPr="00470F5F" w:rsidRDefault="00AA3188" w:rsidP="00343B43">
      <w:pPr>
        <w:pStyle w:val="paragraph"/>
        <w:spacing w:before="0" w:beforeAutospacing="0" w:after="0" w:afterAutospacing="0"/>
        <w:textAlignment w:val="baseline"/>
        <w:rPr>
          <w:rFonts w:ascii="Aptos Display" w:hAnsi="Aptos Display" w:cs="Segoe UI"/>
          <w:color w:val="196B24"/>
          <w:sz w:val="32"/>
          <w:szCs w:val="32"/>
        </w:rPr>
      </w:pPr>
      <w:r>
        <w:rPr>
          <w:rStyle w:val="normaltextrun"/>
          <w:rFonts w:ascii="Aptos Display" w:hAnsi="Aptos Display" w:cs="Segoe UI"/>
          <w:color w:val="196B24"/>
          <w:sz w:val="32"/>
          <w:szCs w:val="32"/>
        </w:rPr>
        <w:t>Namen presoje kompetenc</w:t>
      </w:r>
    </w:p>
    <w:p w14:paraId="04599094" w14:textId="6DBBB9AF" w:rsidR="00DB4B6B" w:rsidRPr="00DB4B6B" w:rsidRDefault="00DB4B6B" w:rsidP="00DB4B6B">
      <w:pPr>
        <w:pStyle w:val="paragraph"/>
        <w:spacing w:before="0" w:after="0"/>
        <w:jc w:val="both"/>
        <w:textAlignment w:val="baseline"/>
        <w:rPr>
          <w:rFonts w:ascii="Aptos" w:hAnsi="Aptos" w:cs="Segoe UI"/>
        </w:rPr>
      </w:pPr>
      <w:r w:rsidRPr="00DB4B6B">
        <w:rPr>
          <w:rFonts w:ascii="Aptos" w:hAnsi="Aptos" w:cs="Segoe UI"/>
        </w:rPr>
        <w:t xml:space="preserve">Presojanje kompetenc postaja vse pomembnejši del </w:t>
      </w:r>
      <w:r w:rsidR="00A06CBB" w:rsidRPr="00A06CBB">
        <w:rPr>
          <w:rFonts w:ascii="Aptos" w:hAnsi="Aptos" w:cs="Segoe UI"/>
        </w:rPr>
        <w:t>izbirnih postopkov</w:t>
      </w:r>
      <w:r w:rsidRPr="00DB4B6B">
        <w:rPr>
          <w:rFonts w:ascii="Aptos" w:hAnsi="Aptos" w:cs="Segoe UI"/>
        </w:rPr>
        <w:t>, saj ne ugotavlja le tega, ali kandidat izpolnjuje formalne pogoje, temveč tudi, kako deluje v praksi</w:t>
      </w:r>
      <w:r w:rsidR="008268DF">
        <w:rPr>
          <w:rFonts w:ascii="Aptos" w:hAnsi="Aptos" w:cs="Segoe UI"/>
        </w:rPr>
        <w:t xml:space="preserve">, npr. </w:t>
      </w:r>
      <w:r w:rsidRPr="00DB4B6B">
        <w:rPr>
          <w:rFonts w:ascii="Aptos" w:hAnsi="Aptos" w:cs="Segoe UI"/>
        </w:rPr>
        <w:t>kako komunicira, rešuje težave, sodeluje z drugimi in se odziva na spremembe. Gre torej za vpogled v značilnosti, ki pomembno vplivajo na to, kako uspešno bo posameznik opravljal delo. V primerjavi s tradicionalnimi pristopi, ki so pogosto usmerjeni le v rezultate, je presojanje kompetenc osredotočeno na način delovanja</w:t>
      </w:r>
      <w:r w:rsidR="008268DF">
        <w:rPr>
          <w:rFonts w:ascii="Aptos" w:hAnsi="Aptos" w:cs="Segoe UI"/>
        </w:rPr>
        <w:t xml:space="preserve"> ter </w:t>
      </w:r>
      <w:r w:rsidRPr="00DB4B6B">
        <w:rPr>
          <w:rFonts w:ascii="Aptos" w:hAnsi="Aptos" w:cs="Segoe UI"/>
        </w:rPr>
        <w:t xml:space="preserve">na to, kako nekdo pride do teh rezultatov. Ta pogled je še posebej dragocen v sodobnem, hitro spreminjajočem se delovnem okolju, kjer se ne iščejo le kandidati, ki </w:t>
      </w:r>
      <w:r w:rsidR="000A2AC5">
        <w:rPr>
          <w:rFonts w:ascii="Aptos" w:hAnsi="Aptos" w:cs="Segoe UI"/>
        </w:rPr>
        <w:t>dobro delajo</w:t>
      </w:r>
      <w:r w:rsidRPr="00DB4B6B">
        <w:rPr>
          <w:rFonts w:ascii="Aptos" w:hAnsi="Aptos" w:cs="Segoe UI"/>
        </w:rPr>
        <w:t xml:space="preserve"> danes, temveč tudi taki, ki bodo znali uspešno delovati v prihodnje. S tem organizacija spodbuja kulturo odgovornosti, samoiniciativnosti in stalnega razvoja</w:t>
      </w:r>
      <w:r w:rsidRPr="00A06CBB">
        <w:rPr>
          <w:rFonts w:ascii="Aptos" w:hAnsi="Aptos" w:cs="Segoe UI"/>
        </w:rPr>
        <w:t xml:space="preserve"> (OECD, </w:t>
      </w:r>
      <w:r w:rsidR="00A06CBB">
        <w:rPr>
          <w:rFonts w:ascii="Aptos" w:hAnsi="Aptos" w:cs="Segoe UI"/>
        </w:rPr>
        <w:t>2011)</w:t>
      </w:r>
      <w:r w:rsidRPr="00DB4B6B">
        <w:rPr>
          <w:rFonts w:ascii="Aptos" w:hAnsi="Aptos" w:cs="Segoe UI"/>
        </w:rPr>
        <w:t>.</w:t>
      </w:r>
    </w:p>
    <w:p w14:paraId="1C872CA1" w14:textId="5EBC3636" w:rsidR="00DB4B6B" w:rsidRPr="00DB4B6B" w:rsidRDefault="00DB4B6B" w:rsidP="00DB4B6B">
      <w:pPr>
        <w:pStyle w:val="paragraph"/>
        <w:spacing w:before="0" w:after="0"/>
        <w:jc w:val="both"/>
        <w:textAlignment w:val="baseline"/>
        <w:rPr>
          <w:rFonts w:ascii="Aptos" w:hAnsi="Aptos" w:cs="Segoe UI"/>
        </w:rPr>
      </w:pPr>
      <w:r w:rsidRPr="02AB29C6">
        <w:rPr>
          <w:rFonts w:ascii="Aptos" w:hAnsi="Aptos" w:cs="Segoe UI"/>
        </w:rPr>
        <w:t xml:space="preserve">Presojanje kompetenc ni uporabno le pri izbiri novih sodelavcev, temveč ima pomembno vlogo tudi v vseh drugih kadrovskih procesih. Uporabljamo </w:t>
      </w:r>
      <w:r w:rsidR="19A7CF09" w:rsidRPr="02AB29C6">
        <w:rPr>
          <w:rFonts w:ascii="Aptos" w:hAnsi="Aptos" w:cs="Segoe UI"/>
        </w:rPr>
        <w:t>ga</w:t>
      </w:r>
      <w:r w:rsidRPr="02AB29C6">
        <w:rPr>
          <w:rFonts w:ascii="Aptos" w:hAnsi="Aptos" w:cs="Segoe UI"/>
        </w:rPr>
        <w:t xml:space="preserve"> lahko pri načrtovanju kadrov, kjer nam presoja kompetenc pomaga prepoznati razlike med obstoječimi in potrebnimi znanji ter spretnostmi zaposlenih, kar olajša oblikovanje načrtov razvoja kadrov. Na podlagi istih informacij lahko načrtujemo tudi usposabljanja in pripravljamo </w:t>
      </w:r>
      <w:r w:rsidRPr="02AB29C6">
        <w:rPr>
          <w:rFonts w:ascii="Aptos" w:hAnsi="Aptos" w:cs="Segoe UI"/>
        </w:rPr>
        <w:lastRenderedPageBreak/>
        <w:t xml:space="preserve">osebne razvojne načrte zaposlenih. Kompetenčni okvirji so v pomoč pri ocenjevanju delovne uspešnosti, saj </w:t>
      </w:r>
      <w:r w:rsidR="003C6F90" w:rsidRPr="02AB29C6">
        <w:rPr>
          <w:rFonts w:ascii="Aptos" w:hAnsi="Aptos" w:cs="Segoe UI"/>
        </w:rPr>
        <w:t>vodijo k jasnim pričakovanjem in usmerjenim povratnim informacijam</w:t>
      </w:r>
      <w:r w:rsidRPr="02AB29C6">
        <w:rPr>
          <w:rFonts w:ascii="Aptos" w:hAnsi="Aptos" w:cs="Segoe UI"/>
        </w:rPr>
        <w:t>. Prav tako omogočajo pravičnejše nagrajevanje, saj se nagrajuje ne le rezultat, temveč tudi trud za razvoj kompetenc, ki so ključne za uspeh organizacije. Nazadnje pa kompetence služijo tudi kot temelj za razvoj kariere in načrtovanje nasledstev, saj olajšajo prepoznavanje potenciala zaposlenih in jih usmerjajo k pripravi na zahtevnejše vloge v prihodnosti</w:t>
      </w:r>
      <w:r w:rsidR="00A06CBB" w:rsidRPr="02AB29C6">
        <w:rPr>
          <w:rFonts w:ascii="Aptos" w:hAnsi="Aptos" w:cs="Segoe UI"/>
        </w:rPr>
        <w:t xml:space="preserve"> (Op de Beeck, 2010)</w:t>
      </w:r>
      <w:r w:rsidRPr="02AB29C6">
        <w:rPr>
          <w:rFonts w:ascii="Aptos" w:hAnsi="Aptos" w:cs="Segoe UI"/>
        </w:rPr>
        <w:t>.</w:t>
      </w:r>
    </w:p>
    <w:p w14:paraId="52875281" w14:textId="48F75060" w:rsidR="00343B43" w:rsidRPr="00A16E0E" w:rsidRDefault="00AA3188" w:rsidP="00343B43">
      <w:pPr>
        <w:pStyle w:val="paragraph"/>
        <w:spacing w:before="0" w:beforeAutospacing="0" w:after="0" w:afterAutospacing="0"/>
        <w:textAlignment w:val="baseline"/>
        <w:rPr>
          <w:rFonts w:ascii="Segoe UI" w:hAnsi="Segoe UI" w:cs="Segoe UI"/>
          <w:color w:val="0F4761"/>
          <w:sz w:val="18"/>
          <w:szCs w:val="18"/>
        </w:rPr>
      </w:pPr>
      <w:r>
        <w:rPr>
          <w:rStyle w:val="normaltextrun"/>
          <w:rFonts w:ascii="Aptos Display" w:hAnsi="Aptos Display" w:cs="Segoe UI"/>
          <w:color w:val="196B24"/>
          <w:sz w:val="32"/>
          <w:szCs w:val="32"/>
        </w:rPr>
        <w:t>Vloge v postopku presoje kompetenc</w:t>
      </w:r>
    </w:p>
    <w:p w14:paraId="217326C5" w14:textId="65D987D6" w:rsidR="00B12F39" w:rsidRDefault="00B12F39" w:rsidP="00343B43">
      <w:pPr>
        <w:pStyle w:val="paragraph"/>
        <w:spacing w:before="0" w:after="0"/>
        <w:jc w:val="both"/>
        <w:textAlignment w:val="baseline"/>
        <w:rPr>
          <w:rFonts w:ascii="Aptos" w:hAnsi="Aptos" w:cs="Segoe UI"/>
        </w:rPr>
      </w:pPr>
      <w:r w:rsidRPr="00B12F39">
        <w:rPr>
          <w:rFonts w:ascii="Aptos" w:hAnsi="Aptos" w:cs="Segoe UI"/>
        </w:rPr>
        <w:t xml:space="preserve">V postopku presoje kompetenc v državni upravi praviloma sodelujejo tri ključne vloge: kadrovik, presojani zaposleni in vodja kot presojevalec. Kadrovik ima osrednjo vlogo pri organizaciji presoje. Zaposlenim pojasnjuje pomen presoje, vodjem </w:t>
      </w:r>
      <w:r w:rsidR="00835015" w:rsidRPr="00B12F39">
        <w:rPr>
          <w:rFonts w:ascii="Aptos" w:hAnsi="Aptos" w:cs="Segoe UI"/>
        </w:rPr>
        <w:t xml:space="preserve">pomaga </w:t>
      </w:r>
      <w:r w:rsidRPr="00B12F39">
        <w:rPr>
          <w:rFonts w:ascii="Aptos" w:hAnsi="Aptos" w:cs="Segoe UI"/>
        </w:rPr>
        <w:t xml:space="preserve">izbrati ustrezna orodja, skrbi za objektivnost in zaupnost procesa ter svetuje glede rezultatov in nadaljnjega razvoja zaposlenih. </w:t>
      </w:r>
    </w:p>
    <w:p w14:paraId="5F8874B3" w14:textId="086A4736" w:rsidR="00B12F39" w:rsidRDefault="00B12F39" w:rsidP="00343B43">
      <w:pPr>
        <w:pStyle w:val="paragraph"/>
        <w:spacing w:before="0" w:after="0"/>
        <w:jc w:val="both"/>
        <w:textAlignment w:val="baseline"/>
        <w:rPr>
          <w:rFonts w:ascii="Aptos" w:hAnsi="Aptos" w:cs="Segoe UI"/>
        </w:rPr>
      </w:pPr>
      <w:r w:rsidRPr="00B12F39">
        <w:rPr>
          <w:rFonts w:ascii="Aptos" w:hAnsi="Aptos" w:cs="Segoe UI"/>
        </w:rPr>
        <w:t xml:space="preserve">Presojani zaposleni so osebe, ki jih presojajo vodje, presojajo pa tudi samega sebe. Pri zaposlenih je ključno razumevanje, da gre za konstruktivno povratno informacijo, ki jim lahko pomaga uvideti razlike med samopodobo in zaznavo sodelavcev oziroma vodje. Odločitev o tem, kako bodo uporabili povratne informacije, je </w:t>
      </w:r>
      <w:r w:rsidR="00454861">
        <w:rPr>
          <w:rFonts w:ascii="Aptos" w:hAnsi="Aptos" w:cs="Segoe UI"/>
        </w:rPr>
        <w:t>seveda njihova.</w:t>
      </w:r>
      <w:r w:rsidRPr="00B12F39">
        <w:rPr>
          <w:rFonts w:ascii="Aptos" w:hAnsi="Aptos" w:cs="Segoe UI"/>
        </w:rPr>
        <w:t xml:space="preserve"> </w:t>
      </w:r>
    </w:p>
    <w:p w14:paraId="566A0306" w14:textId="11BECADA" w:rsidR="00B12F39" w:rsidRDefault="00B12F39" w:rsidP="4311A53D">
      <w:pPr>
        <w:pStyle w:val="paragraph"/>
        <w:spacing w:before="0" w:after="0"/>
        <w:jc w:val="both"/>
        <w:textAlignment w:val="baseline"/>
        <w:rPr>
          <w:rFonts w:ascii="Aptos" w:hAnsi="Aptos" w:cs="Segoe UI"/>
        </w:rPr>
      </w:pPr>
      <w:r w:rsidRPr="4311A53D">
        <w:rPr>
          <w:rFonts w:ascii="Aptos" w:hAnsi="Aptos" w:cs="Segoe UI"/>
        </w:rPr>
        <w:t xml:space="preserve">Vodja ima nalogo, da skupaj s kadrovikom predstavi smisel presoje, zaposlene motivira k sodelovanju in poda utemeljene </w:t>
      </w:r>
      <w:r w:rsidR="098DFA60" w:rsidRPr="4311A53D">
        <w:rPr>
          <w:rFonts w:ascii="Aptos" w:hAnsi="Aptos" w:cs="Segoe UI"/>
        </w:rPr>
        <w:t>presoje</w:t>
      </w:r>
      <w:r w:rsidRPr="4311A53D">
        <w:rPr>
          <w:rFonts w:ascii="Aptos" w:hAnsi="Aptos" w:cs="Segoe UI"/>
        </w:rPr>
        <w:t xml:space="preserve"> vedenj, ki jih opazi pri zaposlenem. Poudarek je na objektivni in argumentirani povratni informaciji o presoji kompetenc. Rezultati presoje se uporabijo v razvojnem pogovoru, kjer vodja z zaposlenim načrtuje konkretne korake za nadaljnji razvoj</w:t>
      </w:r>
      <w:r w:rsidR="006221EE" w:rsidRPr="4311A53D">
        <w:rPr>
          <w:rFonts w:ascii="Aptos" w:hAnsi="Aptos" w:cs="Segoe UI"/>
        </w:rPr>
        <w:t xml:space="preserve"> kompetenc</w:t>
      </w:r>
      <w:r w:rsidRPr="4311A53D">
        <w:rPr>
          <w:rFonts w:ascii="Aptos" w:hAnsi="Aptos" w:cs="Segoe UI"/>
        </w:rPr>
        <w:t>. Vodja mora biti vešč podajanja povratnih informacij in pripravljen zaposlenemu ponuditi podporo v obliki spodbud, dostopa do virov in možnosti za usposabljanje. Pomembno je, da zna prepoznati napredek zaposlenega ter ceni vložen trud in čas, saj prav to krepi zaupanje in omogoča kakovostno okolje za razvoj kompetenc.</w:t>
      </w:r>
    </w:p>
    <w:p w14:paraId="21DCDBE1" w14:textId="6B37846C" w:rsidR="00343B43" w:rsidRPr="00A16E0E" w:rsidRDefault="00AA3188" w:rsidP="00343B43">
      <w:pPr>
        <w:pStyle w:val="paragraph"/>
        <w:spacing w:before="0" w:beforeAutospacing="0" w:after="0" w:afterAutospacing="0"/>
        <w:textAlignment w:val="baseline"/>
        <w:rPr>
          <w:rFonts w:ascii="Segoe UI" w:hAnsi="Segoe UI" w:cs="Segoe UI"/>
          <w:color w:val="0F4761"/>
          <w:sz w:val="18"/>
          <w:szCs w:val="18"/>
        </w:rPr>
      </w:pPr>
      <w:r>
        <w:rPr>
          <w:rStyle w:val="normaltextrun"/>
          <w:rFonts w:ascii="Aptos Display" w:hAnsi="Aptos Display" w:cs="Segoe UI"/>
          <w:color w:val="196B24"/>
          <w:sz w:val="32"/>
          <w:szCs w:val="32"/>
        </w:rPr>
        <w:t>Izzivi pri presoji kompetenc</w:t>
      </w:r>
    </w:p>
    <w:p w14:paraId="24B86410" w14:textId="20345282" w:rsidR="00887106" w:rsidRDefault="006221EE" w:rsidP="006221EE">
      <w:pPr>
        <w:pStyle w:val="paragraph"/>
        <w:spacing w:before="0" w:after="0"/>
        <w:jc w:val="both"/>
        <w:textAlignment w:val="baseline"/>
        <w:rPr>
          <w:rFonts w:ascii="Aptos" w:hAnsi="Aptos" w:cs="Segoe UI"/>
        </w:rPr>
      </w:pPr>
      <w:r w:rsidRPr="006221EE">
        <w:rPr>
          <w:rFonts w:ascii="Aptos" w:hAnsi="Aptos" w:cs="Segoe UI"/>
        </w:rPr>
        <w:t xml:space="preserve">Presojanje kompetenc je kompleksen proces, ki zahteva dobro pripravljenost kadrovskih služb in presojevalcev, predvsem pa zavestno prizadevanje za zmanjševanje subjektivnosti. </w:t>
      </w:r>
      <w:r>
        <w:rPr>
          <w:rFonts w:ascii="Aptos" w:hAnsi="Aptos" w:cs="Segoe UI"/>
        </w:rPr>
        <w:t>Pri uporabi kompetenčnega modela in vprašalnikov</w:t>
      </w:r>
      <w:r w:rsidRPr="006221EE">
        <w:rPr>
          <w:rFonts w:ascii="Aptos" w:hAnsi="Aptos" w:cs="Segoe UI"/>
        </w:rPr>
        <w:t xml:space="preserve"> </w:t>
      </w:r>
      <w:r>
        <w:rPr>
          <w:rFonts w:ascii="Aptos" w:hAnsi="Aptos" w:cs="Segoe UI"/>
        </w:rPr>
        <w:t>se pojavljajo</w:t>
      </w:r>
      <w:r w:rsidRPr="006221EE">
        <w:rPr>
          <w:rFonts w:ascii="Aptos" w:hAnsi="Aptos" w:cs="Segoe UI"/>
        </w:rPr>
        <w:t xml:space="preserve"> izzivi, ki jih v praksi ni mogoče povsem odpraviti, jih je pa mogoče blažiti. Vodje se pri presoji pogosto spoprijemajo z miti o nesmiselnosti presoje, z dvomi v lastno presojo ter z občutkom odgovornosti, ki spremlja vrednotenje sodelavcev. Mnenje vodje je</w:t>
      </w:r>
      <w:r>
        <w:rPr>
          <w:rFonts w:ascii="Aptos" w:hAnsi="Aptos" w:cs="Segoe UI"/>
        </w:rPr>
        <w:t xml:space="preserve"> v osnovi </w:t>
      </w:r>
      <w:r w:rsidRPr="006221EE">
        <w:rPr>
          <w:rFonts w:ascii="Aptos" w:hAnsi="Aptos" w:cs="Segoe UI"/>
        </w:rPr>
        <w:t>subjektivno, vendar lahko z ustrezno pripravo, beleženjem opažanj ter razmislekom o tem, kaj posamezno vedenje pomeni, to subjektivnost zmanjš</w:t>
      </w:r>
      <w:r w:rsidR="00CD6295">
        <w:rPr>
          <w:rFonts w:ascii="Aptos" w:hAnsi="Aptos" w:cs="Segoe UI"/>
        </w:rPr>
        <w:t>amo.</w:t>
      </w:r>
    </w:p>
    <w:p w14:paraId="0D7F4D2F" w14:textId="58C835CE" w:rsidR="006221EE" w:rsidRDefault="006221EE" w:rsidP="006221EE">
      <w:pPr>
        <w:pStyle w:val="paragraph"/>
        <w:spacing w:before="0" w:after="0"/>
        <w:jc w:val="both"/>
        <w:textAlignment w:val="baseline"/>
        <w:rPr>
          <w:rFonts w:ascii="Aptos" w:hAnsi="Aptos" w:cs="Segoe UI"/>
        </w:rPr>
      </w:pPr>
      <w:r w:rsidRPr="006221EE">
        <w:rPr>
          <w:rFonts w:ascii="Aptos" w:hAnsi="Aptos" w:cs="Segoe UI"/>
        </w:rPr>
        <w:lastRenderedPageBreak/>
        <w:t xml:space="preserve">Pogosto so </w:t>
      </w:r>
      <w:r w:rsidR="008268DF">
        <w:rPr>
          <w:rFonts w:ascii="Aptos" w:hAnsi="Aptos" w:cs="Segoe UI"/>
        </w:rPr>
        <w:t>izzivi</w:t>
      </w:r>
      <w:r w:rsidR="00887106">
        <w:rPr>
          <w:rFonts w:ascii="Aptos" w:hAnsi="Aptos" w:cs="Segoe UI"/>
        </w:rPr>
        <w:t xml:space="preserve"> pri presojanju</w:t>
      </w:r>
      <w:r w:rsidRPr="006221EE">
        <w:rPr>
          <w:rFonts w:ascii="Aptos" w:hAnsi="Aptos" w:cs="Segoe UI"/>
        </w:rPr>
        <w:t xml:space="preserve"> povezan</w:t>
      </w:r>
      <w:r w:rsidR="008268DF">
        <w:rPr>
          <w:rFonts w:ascii="Aptos" w:hAnsi="Aptos" w:cs="Segoe UI"/>
        </w:rPr>
        <w:t>i</w:t>
      </w:r>
      <w:r w:rsidRPr="006221EE">
        <w:rPr>
          <w:rFonts w:ascii="Aptos" w:hAnsi="Aptos" w:cs="Segoe UI"/>
        </w:rPr>
        <w:t xml:space="preserve"> s težavnim razlikovanjem med zaposlenimi, z nezaupanjem v celoten proces in z občutkom, da je treba spremljati prevelik nabor vedenj. Vse to povečuje verjetnost nenamernih napak, kot so halo učinek, napaka kriterija ali napaka prelivanja. </w:t>
      </w:r>
    </w:p>
    <w:p w14:paraId="667F7734" w14:textId="27FF22CE" w:rsidR="006221EE" w:rsidRDefault="006221EE" w:rsidP="006221EE">
      <w:pPr>
        <w:pStyle w:val="paragraph"/>
        <w:numPr>
          <w:ilvl w:val="0"/>
          <w:numId w:val="6"/>
        </w:numPr>
        <w:spacing w:before="0" w:after="0"/>
        <w:jc w:val="both"/>
        <w:textAlignment w:val="baseline"/>
        <w:rPr>
          <w:rFonts w:ascii="Aptos" w:hAnsi="Aptos" w:cs="Segoe UI"/>
        </w:rPr>
      </w:pPr>
      <w:r>
        <w:rPr>
          <w:rFonts w:ascii="Aptos" w:hAnsi="Aptos" w:cs="Segoe UI"/>
        </w:rPr>
        <w:t xml:space="preserve">Halo učinek: </w:t>
      </w:r>
      <w:r w:rsidR="00887106">
        <w:rPr>
          <w:rFonts w:ascii="Aptos" w:hAnsi="Aptos" w:cs="Segoe UI"/>
        </w:rPr>
        <w:t xml:space="preserve">Presojanje zaposlenega na podlagi splošnega vtisa, kar se odrazi v podobni presoji pri vseh vedenjih. </w:t>
      </w:r>
      <w:r w:rsidR="005C526F">
        <w:rPr>
          <w:rFonts w:ascii="Aptos" w:hAnsi="Aptos" w:cs="Segoe UI"/>
        </w:rPr>
        <w:t xml:space="preserve">Zmanjšamo </w:t>
      </w:r>
      <w:r w:rsidR="00887106">
        <w:rPr>
          <w:rFonts w:ascii="Aptos" w:hAnsi="Aptos" w:cs="Segoe UI"/>
        </w:rPr>
        <w:t xml:space="preserve">ga lahko s presojanjem vseh zaposlenih na </w:t>
      </w:r>
      <w:r w:rsidR="00A117D4">
        <w:rPr>
          <w:rFonts w:ascii="Aptos" w:hAnsi="Aptos" w:cs="Segoe UI"/>
        </w:rPr>
        <w:t xml:space="preserve">določeni </w:t>
      </w:r>
      <w:r w:rsidR="00887106">
        <w:rPr>
          <w:rFonts w:ascii="Aptos" w:hAnsi="Aptos" w:cs="Segoe UI"/>
        </w:rPr>
        <w:t xml:space="preserve"> kompetenci, </w:t>
      </w:r>
      <w:r w:rsidR="00A117D4">
        <w:rPr>
          <w:rFonts w:ascii="Aptos" w:hAnsi="Aptos" w:cs="Segoe UI"/>
        </w:rPr>
        <w:t>nato naredimo enako z</w:t>
      </w:r>
      <w:r w:rsidR="005C526F">
        <w:rPr>
          <w:rFonts w:ascii="Aptos" w:hAnsi="Aptos" w:cs="Segoe UI"/>
        </w:rPr>
        <w:t>a</w:t>
      </w:r>
      <w:r w:rsidR="00A117D4">
        <w:rPr>
          <w:rFonts w:ascii="Aptos" w:hAnsi="Aptos" w:cs="Segoe UI"/>
        </w:rPr>
        <w:t xml:space="preserve"> vsako nadaljnjo kompetenco. </w:t>
      </w:r>
    </w:p>
    <w:p w14:paraId="63CECD82" w14:textId="069A73A9" w:rsidR="006221EE" w:rsidRDefault="006221EE" w:rsidP="006221EE">
      <w:pPr>
        <w:pStyle w:val="paragraph"/>
        <w:numPr>
          <w:ilvl w:val="0"/>
          <w:numId w:val="6"/>
        </w:numPr>
        <w:spacing w:before="0" w:after="0"/>
        <w:jc w:val="both"/>
        <w:textAlignment w:val="baseline"/>
        <w:rPr>
          <w:rFonts w:ascii="Aptos" w:hAnsi="Aptos" w:cs="Segoe UI"/>
        </w:rPr>
      </w:pPr>
      <w:r>
        <w:rPr>
          <w:rFonts w:ascii="Aptos" w:hAnsi="Aptos" w:cs="Segoe UI"/>
        </w:rPr>
        <w:t xml:space="preserve">Napaka kriterija: </w:t>
      </w:r>
      <w:r w:rsidR="00887106">
        <w:rPr>
          <w:rFonts w:ascii="Aptos" w:hAnsi="Aptos" w:cs="Segoe UI"/>
        </w:rPr>
        <w:t>Presojanje vseh zaposlenih na podoben način</w:t>
      </w:r>
      <w:r w:rsidRPr="006221EE">
        <w:rPr>
          <w:rFonts w:ascii="Aptos" w:hAnsi="Aptos" w:cs="Segoe UI"/>
        </w:rPr>
        <w:t>. Prevladujejo pozitivne ali srednje vrednosti.</w:t>
      </w:r>
      <w:r w:rsidR="00887106">
        <w:rPr>
          <w:rFonts w:ascii="Aptos" w:hAnsi="Aptos" w:cs="Segoe UI"/>
        </w:rPr>
        <w:t xml:space="preserve"> Verjetnost napak zmanjšamo z jasnim komuniciranjem o razvojnem namenu presojanja.</w:t>
      </w:r>
    </w:p>
    <w:p w14:paraId="42E9270E" w14:textId="3C0F0BC0" w:rsidR="006221EE" w:rsidRDefault="006221EE" w:rsidP="006221EE">
      <w:pPr>
        <w:pStyle w:val="paragraph"/>
        <w:numPr>
          <w:ilvl w:val="0"/>
          <w:numId w:val="6"/>
        </w:numPr>
        <w:spacing w:before="0" w:after="0"/>
        <w:jc w:val="both"/>
        <w:textAlignment w:val="baseline"/>
        <w:rPr>
          <w:rFonts w:ascii="Aptos" w:hAnsi="Aptos" w:cs="Segoe UI"/>
        </w:rPr>
      </w:pPr>
      <w:r>
        <w:rPr>
          <w:rFonts w:ascii="Aptos" w:hAnsi="Aptos" w:cs="Segoe UI"/>
        </w:rPr>
        <w:t xml:space="preserve">Napaka prelivanja: </w:t>
      </w:r>
      <w:r w:rsidRPr="006221EE">
        <w:rPr>
          <w:rFonts w:ascii="Aptos" w:hAnsi="Aptos" w:cs="Segoe UI"/>
        </w:rPr>
        <w:t>V različnih letih se vrednosti pri istem zaposlenem ponavljajo. Ta napaka je pogosta v kolektivih, ki so dolgo skupaj.</w:t>
      </w:r>
      <w:r w:rsidR="00887106">
        <w:rPr>
          <w:rFonts w:ascii="Aptos" w:hAnsi="Aptos" w:cs="Segoe UI"/>
        </w:rPr>
        <w:t xml:space="preserve"> </w:t>
      </w:r>
      <w:r w:rsidR="008268DF">
        <w:rPr>
          <w:rFonts w:ascii="Aptos" w:hAnsi="Aptos" w:cs="Segoe UI"/>
        </w:rPr>
        <w:t>V tovrstnih primerih je pomembno</w:t>
      </w:r>
      <w:r w:rsidR="00887106">
        <w:rPr>
          <w:rFonts w:ascii="Aptos" w:hAnsi="Aptos" w:cs="Segoe UI"/>
        </w:rPr>
        <w:t xml:space="preserve">, da v navodilih poudarimo in natančno določimo obdobje presojanja. </w:t>
      </w:r>
    </w:p>
    <w:p w14:paraId="5742FD13" w14:textId="733A040D" w:rsidR="00887106" w:rsidRDefault="008268DF" w:rsidP="006221EE">
      <w:pPr>
        <w:pStyle w:val="paragraph"/>
        <w:spacing w:before="0" w:after="0"/>
        <w:jc w:val="both"/>
        <w:textAlignment w:val="baseline"/>
        <w:rPr>
          <w:rFonts w:ascii="Aptos" w:hAnsi="Aptos" w:cs="Segoe UI"/>
        </w:rPr>
      </w:pPr>
      <w:r w:rsidRPr="2950DE51">
        <w:rPr>
          <w:rFonts w:ascii="Aptos" w:hAnsi="Aptos" w:cs="Segoe UI"/>
        </w:rPr>
        <w:t>N</w:t>
      </w:r>
      <w:r w:rsidR="006221EE" w:rsidRPr="2950DE51">
        <w:rPr>
          <w:rFonts w:ascii="Aptos" w:hAnsi="Aptos" w:cs="Segoe UI"/>
        </w:rPr>
        <w:t>apake niso zgolj posledica nepozornosti, temveč odražajo</w:t>
      </w:r>
      <w:r w:rsidRPr="2950DE51">
        <w:rPr>
          <w:rFonts w:ascii="Aptos" w:hAnsi="Aptos" w:cs="Segoe UI"/>
        </w:rPr>
        <w:t xml:space="preserve"> tudi</w:t>
      </w:r>
      <w:r w:rsidR="006221EE" w:rsidRPr="2950DE51">
        <w:rPr>
          <w:rFonts w:ascii="Aptos" w:hAnsi="Aptos" w:cs="Segoe UI"/>
        </w:rPr>
        <w:t xml:space="preserve"> </w:t>
      </w:r>
      <w:r w:rsidR="0034319C">
        <w:rPr>
          <w:rFonts w:ascii="Aptos" w:hAnsi="Aptos" w:cs="Segoe UI"/>
        </w:rPr>
        <w:t xml:space="preserve">druge </w:t>
      </w:r>
      <w:r w:rsidR="006221EE" w:rsidRPr="2950DE51">
        <w:rPr>
          <w:rFonts w:ascii="Aptos" w:hAnsi="Aptos" w:cs="Segoe UI"/>
        </w:rPr>
        <w:t xml:space="preserve">omejitve presojevalcev, kot so težave z ohranjanjem objektivnosti, z zanesljivim priklicem opažanj ali z ločevanjem posameznih kompetenc. </w:t>
      </w:r>
      <w:r w:rsidR="00887106" w:rsidRPr="2950DE51">
        <w:rPr>
          <w:rFonts w:ascii="Aptos" w:hAnsi="Aptos" w:cs="Segoe UI"/>
        </w:rPr>
        <w:t>Zmanjšamo jih lahko s sprotnim beleženjem vedenj in zapisovanjem ključnih dogodkov s časovnimi zaznamki</w:t>
      </w:r>
      <w:r w:rsidR="33E55F26" w:rsidRPr="2950DE51">
        <w:rPr>
          <w:rFonts w:ascii="Aptos" w:hAnsi="Aptos" w:cs="Segoe UI"/>
        </w:rPr>
        <w:t xml:space="preserve">, kar je </w:t>
      </w:r>
      <w:r w:rsidR="0034319C">
        <w:rPr>
          <w:rFonts w:ascii="Aptos" w:hAnsi="Aptos" w:cs="Segoe UI"/>
        </w:rPr>
        <w:t xml:space="preserve">v državni upravi </w:t>
      </w:r>
      <w:r w:rsidR="33E55F26" w:rsidRPr="2950DE51">
        <w:rPr>
          <w:rFonts w:ascii="Aptos" w:hAnsi="Aptos" w:cs="Segoe UI"/>
        </w:rPr>
        <w:t>možno narediti v IS MUZA</w:t>
      </w:r>
      <w:r w:rsidR="00887106" w:rsidRPr="2950DE51">
        <w:rPr>
          <w:rFonts w:ascii="Aptos" w:hAnsi="Aptos" w:cs="Segoe UI"/>
        </w:rPr>
        <w:t xml:space="preserve">. </w:t>
      </w:r>
    </w:p>
    <w:p w14:paraId="59EBEC9F" w14:textId="281CA417" w:rsidR="006221EE" w:rsidRPr="006221EE" w:rsidRDefault="006221EE" w:rsidP="006221EE">
      <w:pPr>
        <w:pStyle w:val="paragraph"/>
        <w:spacing w:before="0" w:after="0"/>
        <w:jc w:val="both"/>
        <w:textAlignment w:val="baseline"/>
        <w:rPr>
          <w:rFonts w:ascii="Aptos" w:hAnsi="Aptos" w:cs="Segoe UI"/>
        </w:rPr>
      </w:pPr>
      <w:r w:rsidRPr="006221EE">
        <w:rPr>
          <w:rFonts w:ascii="Aptos" w:hAnsi="Aptos" w:cs="Segoe UI"/>
        </w:rPr>
        <w:t xml:space="preserve">Dodatno tveganje za izkrivljeno presojo nastopi, kadar se rezultati presoje uporabijo za nagrajevanje, saj se lahko vodje zavestno odločijo za </w:t>
      </w:r>
      <w:r w:rsidR="005C526F">
        <w:rPr>
          <w:rFonts w:ascii="Aptos" w:hAnsi="Aptos" w:cs="Segoe UI"/>
        </w:rPr>
        <w:t>blago</w:t>
      </w:r>
      <w:r w:rsidR="005C526F" w:rsidRPr="006221EE">
        <w:rPr>
          <w:rFonts w:ascii="Aptos" w:hAnsi="Aptos" w:cs="Segoe UI"/>
        </w:rPr>
        <w:t xml:space="preserve"> </w:t>
      </w:r>
      <w:r w:rsidRPr="006221EE">
        <w:rPr>
          <w:rFonts w:ascii="Aptos" w:hAnsi="Aptos" w:cs="Segoe UI"/>
        </w:rPr>
        <w:t>ocenjevanje. Zato je eden ključnih izzivov, kako v organizacijsko kulturo vpeljati presojo kot razvojno priložnost, ne kot orodje nadzora ali kaznovanja.</w:t>
      </w:r>
      <w:r w:rsidR="00887106">
        <w:rPr>
          <w:rFonts w:ascii="Aptos" w:hAnsi="Aptos" w:cs="Segoe UI"/>
        </w:rPr>
        <w:t xml:space="preserve"> </w:t>
      </w:r>
    </w:p>
    <w:p w14:paraId="5BAB944C" w14:textId="270944D4" w:rsidR="00343B43" w:rsidRPr="00A16E0E" w:rsidRDefault="00AA3188" w:rsidP="00343B43">
      <w:pPr>
        <w:pStyle w:val="paragraph"/>
        <w:spacing w:before="0" w:beforeAutospacing="0" w:after="0" w:afterAutospacing="0"/>
        <w:textAlignment w:val="baseline"/>
        <w:rPr>
          <w:rFonts w:ascii="Segoe UI" w:hAnsi="Segoe UI" w:cs="Segoe UI"/>
          <w:color w:val="0F4761"/>
          <w:sz w:val="18"/>
          <w:szCs w:val="18"/>
        </w:rPr>
      </w:pPr>
      <w:r>
        <w:rPr>
          <w:rStyle w:val="normaltextrun"/>
          <w:rFonts w:ascii="Aptos Display" w:hAnsi="Aptos Display" w:cs="Segoe UI"/>
          <w:color w:val="196B24" w:themeColor="accent3"/>
          <w:sz w:val="32"/>
          <w:szCs w:val="32"/>
        </w:rPr>
        <w:t>Presoja kompetenc v državni upravi</w:t>
      </w:r>
    </w:p>
    <w:p w14:paraId="163A53B2" w14:textId="67673B21" w:rsidR="005B697D" w:rsidRPr="005B697D" w:rsidRDefault="005B697D" w:rsidP="005B697D">
      <w:pPr>
        <w:pStyle w:val="paragraph"/>
        <w:spacing w:before="0" w:after="0"/>
        <w:jc w:val="both"/>
        <w:textAlignment w:val="baseline"/>
        <w:rPr>
          <w:rFonts w:ascii="Aptos" w:hAnsi="Aptos" w:cs="Segoe UI"/>
        </w:rPr>
      </w:pPr>
      <w:r w:rsidRPr="2950DE51">
        <w:rPr>
          <w:rFonts w:ascii="Aptos" w:hAnsi="Aptos" w:cs="Segoe UI"/>
        </w:rPr>
        <w:t>Presoja kompetenc v državni upravi se izvaja kot sestavni del razvojnega pogovora in poteka znotraj digitalnega okolja IS MUZA, ki celoten postopek strukturira, beleži in podpira z analitiko. Postopek se začne z vzpostavitvijo razvojnega cikl</w:t>
      </w:r>
      <w:r w:rsidR="6B7AB25F" w:rsidRPr="2950DE51">
        <w:rPr>
          <w:rFonts w:ascii="Aptos" w:hAnsi="Aptos" w:cs="Segoe UI"/>
        </w:rPr>
        <w:t>usa</w:t>
      </w:r>
      <w:r w:rsidRPr="2950DE51">
        <w:rPr>
          <w:rFonts w:ascii="Aptos" w:hAnsi="Aptos" w:cs="Segoe UI"/>
        </w:rPr>
        <w:t>, za katerega poskrbi kadrovska služba organa. Ta med drugim določi, ali bo v posameznem ciklu</w:t>
      </w:r>
      <w:r w:rsidR="77F9092C" w:rsidRPr="2950DE51">
        <w:rPr>
          <w:rFonts w:ascii="Aptos" w:hAnsi="Aptos" w:cs="Segoe UI"/>
        </w:rPr>
        <w:t>su</w:t>
      </w:r>
      <w:r w:rsidRPr="2950DE51">
        <w:rPr>
          <w:rFonts w:ascii="Aptos" w:hAnsi="Aptos" w:cs="Segoe UI"/>
        </w:rPr>
        <w:t xml:space="preserve"> vključena tudi presoja kompetenc ter kakšna bo privzeta vrsta presoje (na primer 180°). Ko je cik</w:t>
      </w:r>
      <w:r w:rsidR="45598465" w:rsidRPr="2950DE51">
        <w:rPr>
          <w:rFonts w:ascii="Aptos" w:hAnsi="Aptos" w:cs="Segoe UI"/>
        </w:rPr>
        <w:t>lus</w:t>
      </w:r>
      <w:r w:rsidRPr="2950DE51">
        <w:rPr>
          <w:rFonts w:ascii="Aptos" w:hAnsi="Aptos" w:cs="Segoe UI"/>
        </w:rPr>
        <w:t xml:space="preserve"> pripravljen, vodja organizira razvojni pogovor za vsakega zaposlenega, pri čemer preveri privzete nastavitve glede presoje kompetenc in določi nabor kompetenc za presojo. Temeljne kompetence so v vprašalnik vedno vključene že privzeto, vodja pa jih lahko dopolni z vodstvenimi ali delovno specifičnimi kompetencami, odvisno od delovnega mesta zaposlenega. Sam nabor kompetenc je organiziran po sklopih sorodnih delovnih mest, kar vodji olajša izbiro najbolj relevantnih vedenj za presojo.</w:t>
      </w:r>
    </w:p>
    <w:p w14:paraId="3F25D69C" w14:textId="77777777" w:rsidR="005B697D" w:rsidRDefault="005B697D" w:rsidP="005B697D">
      <w:pPr>
        <w:pStyle w:val="paragraph"/>
        <w:spacing w:before="0" w:after="0"/>
        <w:jc w:val="both"/>
        <w:textAlignment w:val="baseline"/>
        <w:rPr>
          <w:rFonts w:ascii="Aptos" w:hAnsi="Aptos" w:cs="Segoe UI"/>
        </w:rPr>
      </w:pPr>
      <w:r w:rsidRPr="005B697D">
        <w:rPr>
          <w:rFonts w:ascii="Aptos" w:hAnsi="Aptos" w:cs="Segoe UI"/>
        </w:rPr>
        <w:t xml:space="preserve">Po potrditvi organizacije pogovora sistem avtomatsko pošlje elektronska obvestila vodji in zaposlenemu, v katerih je povezava do obrazca razvojnega pogovora. V okviru tega </w:t>
      </w:r>
      <w:r w:rsidRPr="005B697D">
        <w:rPr>
          <w:rFonts w:ascii="Aptos" w:hAnsi="Aptos" w:cs="Segoe UI"/>
        </w:rPr>
        <w:lastRenderedPageBreak/>
        <w:t xml:space="preserve">obrazca se nahaja tudi vprašalnik za presojo oz. samopresojo kompetenc. Oba lahko obrazec izpolnjujeta vzporedno in pri tem uporabljata beležke, ki sta jih v preteklem obdobju vpisovala v IS MUZA. Vprašalnik je strukturiran po zavihkih, vsak z naborom vedenj za posamezno kompetenco, presoja pa poteka s pomočjo opisane 5-stopenjske lestvice, ki vključuje orientacijske odstotke pogostosti vedenj v zadnjih 12 mesecih. </w:t>
      </w:r>
    </w:p>
    <w:p w14:paraId="441C1A6F" w14:textId="5178CC56" w:rsidR="005B697D" w:rsidRPr="005B697D" w:rsidRDefault="005B697D" w:rsidP="005B697D">
      <w:pPr>
        <w:pStyle w:val="paragraph"/>
        <w:spacing w:before="0" w:after="0"/>
        <w:jc w:val="both"/>
        <w:textAlignment w:val="baseline"/>
        <w:rPr>
          <w:rFonts w:ascii="Aptos" w:hAnsi="Aptos" w:cs="Segoe UI"/>
        </w:rPr>
      </w:pPr>
      <w:r w:rsidRPr="2950DE51">
        <w:rPr>
          <w:rFonts w:ascii="Aptos" w:hAnsi="Aptos" w:cs="Segoe UI"/>
        </w:rPr>
        <w:t>Po zaključeni izpolnitvi vprašalnikov sistem avtomatsko generira poročilo o presoji kompetenc, ki vsebuje grafični prikaz rezultatov, vključno z morebitnimi razlikami med samo</w:t>
      </w:r>
      <w:r w:rsidR="478B3AFF" w:rsidRPr="2950DE51">
        <w:rPr>
          <w:rFonts w:ascii="Aptos" w:hAnsi="Aptos" w:cs="Segoe UI"/>
        </w:rPr>
        <w:t>presojo</w:t>
      </w:r>
      <w:r w:rsidRPr="2950DE51">
        <w:rPr>
          <w:rFonts w:ascii="Aptos" w:hAnsi="Aptos" w:cs="Segoe UI"/>
        </w:rPr>
        <w:t xml:space="preserve"> in presojo vodje. Pred pogovorom vodja preuči ta odstopanja in si zabeleži vprašanja ter primere, ki bodo vodili pogovor. Med razvojnim pogovorom se vodja in zaposleni osredotočita na analizo kompetenčnega profila, razpravljata o opažanjih in se dogovorita o konkretnih razvojnih ukrepih, ki jih tudi časovno in vsebinsko opredelita. Zaključeni obrazec se nato zaklene, omogočeno pa je dodajanje zasebnih opomb, ki služijo kot opomniki za prihodnje pogovore. IS MUZA na tej podlagi samodejno oblikuje statistične analize, ki kadrovskim službam omogočajo sistematično spremljanje razvoja kompetenc na ravni organizacijskih enot.</w:t>
      </w:r>
    </w:p>
    <w:p w14:paraId="1918249A" w14:textId="707B525E" w:rsidR="00886E29" w:rsidRPr="00A16E0E" w:rsidRDefault="00886E29" w:rsidP="00343B43">
      <w:pPr>
        <w:pStyle w:val="paragraph"/>
        <w:spacing w:before="0" w:after="0"/>
        <w:jc w:val="both"/>
        <w:textAlignment w:val="baseline"/>
        <w:rPr>
          <w:rFonts w:ascii="-webkit-standard" w:eastAsiaTheme="minorEastAsia" w:hAnsi="-webkit-standard" w:cstheme="minorBidi"/>
          <w:color w:val="000000" w:themeColor="text1"/>
          <w:sz w:val="27"/>
          <w:szCs w:val="27"/>
          <w:lang w:eastAsia="en-US"/>
        </w:rPr>
      </w:pPr>
      <w:r w:rsidRPr="005B697D">
        <w:rPr>
          <w:rStyle w:val="normaltextrun"/>
          <w:rFonts w:ascii="Aptos" w:hAnsi="Aptos" w:cs="Segoe UI"/>
        </w:rPr>
        <w:t xml:space="preserve">V poročilu </w:t>
      </w:r>
      <w:r w:rsidRPr="005B697D">
        <w:rPr>
          <w:rStyle w:val="normaltextrun"/>
          <w:rFonts w:ascii="Aptos" w:hAnsi="Aptos" w:cs="Segoe UI"/>
          <w:i/>
          <w:iCs/>
        </w:rPr>
        <w:t xml:space="preserve">Public Employment and Management 2023: Towards a </w:t>
      </w:r>
      <w:r w:rsidR="005B697D">
        <w:rPr>
          <w:rStyle w:val="normaltextrun"/>
          <w:rFonts w:ascii="Aptos" w:hAnsi="Aptos" w:cs="Segoe UI"/>
          <w:i/>
          <w:iCs/>
        </w:rPr>
        <w:t>M</w:t>
      </w:r>
      <w:r w:rsidRPr="005B697D">
        <w:rPr>
          <w:rStyle w:val="normaltextrun"/>
          <w:rFonts w:ascii="Aptos" w:hAnsi="Aptos" w:cs="Segoe UI"/>
          <w:i/>
          <w:iCs/>
        </w:rPr>
        <w:t xml:space="preserve">ore </w:t>
      </w:r>
      <w:r w:rsidR="005B697D">
        <w:rPr>
          <w:rStyle w:val="normaltextrun"/>
          <w:rFonts w:ascii="Aptos" w:hAnsi="Aptos" w:cs="Segoe UI"/>
          <w:i/>
          <w:iCs/>
        </w:rPr>
        <w:t>F</w:t>
      </w:r>
      <w:r w:rsidRPr="005B697D">
        <w:rPr>
          <w:rStyle w:val="normaltextrun"/>
          <w:rFonts w:ascii="Aptos" w:hAnsi="Aptos" w:cs="Segoe UI"/>
          <w:i/>
          <w:iCs/>
        </w:rPr>
        <w:t xml:space="preserve">lexible </w:t>
      </w:r>
      <w:r w:rsidR="005B697D">
        <w:rPr>
          <w:rStyle w:val="normaltextrun"/>
          <w:rFonts w:ascii="Aptos" w:hAnsi="Aptos" w:cs="Segoe UI"/>
          <w:i/>
          <w:iCs/>
        </w:rPr>
        <w:t>P</w:t>
      </w:r>
      <w:r w:rsidRPr="005B697D">
        <w:rPr>
          <w:rStyle w:val="normaltextrun"/>
          <w:rFonts w:ascii="Aptos" w:hAnsi="Aptos" w:cs="Segoe UI"/>
          <w:i/>
          <w:iCs/>
        </w:rPr>
        <w:t xml:space="preserve">ublic </w:t>
      </w:r>
      <w:r w:rsidR="005B697D">
        <w:rPr>
          <w:rStyle w:val="normaltextrun"/>
          <w:rFonts w:ascii="Aptos" w:hAnsi="Aptos" w:cs="Segoe UI"/>
          <w:i/>
          <w:iCs/>
        </w:rPr>
        <w:t>S</w:t>
      </w:r>
      <w:r w:rsidRPr="005B697D">
        <w:rPr>
          <w:rStyle w:val="normaltextrun"/>
          <w:rFonts w:ascii="Aptos" w:hAnsi="Aptos" w:cs="Segoe UI"/>
          <w:i/>
          <w:iCs/>
        </w:rPr>
        <w:t>ervice</w:t>
      </w:r>
      <w:r w:rsidRPr="005B697D">
        <w:rPr>
          <w:rStyle w:val="normaltextrun"/>
          <w:rFonts w:ascii="Aptos" w:hAnsi="Aptos" w:cs="Segoe UI"/>
        </w:rPr>
        <w:t xml:space="preserve">, je OECD izpostavil IS MUZA kot primer prilagodljivega informacijskega orodja, ki olajšuje in izboljšuje kadrovske procese v </w:t>
      </w:r>
      <w:r w:rsidR="000324EF">
        <w:rPr>
          <w:rStyle w:val="normaltextrun"/>
          <w:rFonts w:ascii="Aptos" w:hAnsi="Aptos" w:cs="Segoe UI"/>
        </w:rPr>
        <w:t xml:space="preserve">slovenski </w:t>
      </w:r>
      <w:r w:rsidRPr="005B697D">
        <w:rPr>
          <w:rStyle w:val="normaltextrun"/>
          <w:rFonts w:ascii="Aptos" w:hAnsi="Aptos" w:cs="Segoe UI"/>
        </w:rPr>
        <w:t>javni upravi.</w:t>
      </w:r>
    </w:p>
    <w:p w14:paraId="590D3610" w14:textId="77777777" w:rsidR="00C45FC4" w:rsidRPr="00A16E0E" w:rsidRDefault="00220F37" w:rsidP="00343B43">
      <w:pPr>
        <w:pStyle w:val="paragraph"/>
        <w:spacing w:before="0" w:beforeAutospacing="0" w:after="0" w:afterAutospacing="0"/>
        <w:textAlignment w:val="baseline"/>
        <w:rPr>
          <w:rFonts w:ascii="Segoe UI" w:hAnsi="Segoe UI" w:cs="Segoe UI"/>
          <w:color w:val="0F4761"/>
          <w:sz w:val="18"/>
          <w:szCs w:val="18"/>
        </w:rPr>
      </w:pPr>
      <w:r w:rsidRPr="00A16E0E">
        <w:rPr>
          <w:rStyle w:val="normaltextrun"/>
          <w:rFonts w:ascii="Aptos Display" w:hAnsi="Aptos Display" w:cs="Segoe UI"/>
          <w:color w:val="196B24"/>
          <w:sz w:val="32"/>
          <w:szCs w:val="32"/>
        </w:rPr>
        <w:t>Zaključek</w:t>
      </w:r>
    </w:p>
    <w:p w14:paraId="294A0136" w14:textId="77777777" w:rsidR="00C45FC4" w:rsidRPr="00A16E0E" w:rsidRDefault="00C45FC4" w:rsidP="00343B43">
      <w:pPr>
        <w:pStyle w:val="paragraph"/>
        <w:spacing w:before="0" w:beforeAutospacing="0" w:after="0" w:afterAutospacing="0"/>
        <w:textAlignment w:val="baseline"/>
        <w:rPr>
          <w:rFonts w:ascii="Segoe UI" w:hAnsi="Segoe UI" w:cs="Segoe UI"/>
          <w:color w:val="0F4761"/>
          <w:sz w:val="18"/>
          <w:szCs w:val="18"/>
        </w:rPr>
      </w:pPr>
    </w:p>
    <w:p w14:paraId="378D36E3" w14:textId="1DD15428" w:rsidR="00EE1F22" w:rsidRPr="00EE1F22" w:rsidRDefault="00EE1F22" w:rsidP="00EE1F22">
      <w:pPr>
        <w:pStyle w:val="paragraph"/>
        <w:spacing w:before="0" w:beforeAutospacing="0" w:after="0" w:afterAutospacing="0"/>
        <w:jc w:val="both"/>
        <w:textAlignment w:val="baseline"/>
        <w:rPr>
          <w:rFonts w:ascii="Aptos" w:hAnsi="Aptos" w:cs="Segoe UI"/>
        </w:rPr>
      </w:pPr>
      <w:r w:rsidRPr="00EE1F22">
        <w:rPr>
          <w:rFonts w:ascii="Aptos" w:hAnsi="Aptos" w:cs="Segoe UI"/>
        </w:rPr>
        <w:t>Presoja kompetenc v državni upravi predstavlja pomemben del sodobnega kadrovskega upravljanja, saj omogoča sistematično spremljanje in podpiranje razvoja zaposlenih.</w:t>
      </w:r>
      <w:r>
        <w:rPr>
          <w:rFonts w:ascii="Aptos" w:hAnsi="Aptos" w:cs="Segoe UI"/>
        </w:rPr>
        <w:t xml:space="preserve"> </w:t>
      </w:r>
      <w:r w:rsidRPr="00EE1F22">
        <w:rPr>
          <w:rFonts w:ascii="Aptos" w:hAnsi="Aptos" w:cs="Segoe UI"/>
        </w:rPr>
        <w:t>Prispeva k večji preglednosti pričakovanj, spodbuja kakovostno povratno informacijo ter pomaga prepoznati priložnosti za učenje in napredek. Dodana vrednost se kaže v tem, da omogoča boljše razumevanje delovanja posameznikov in s tem boljše odločitve, tako pri vsakodnevnem vodenju kot pri dolgoročnem kadrovskem načrtovanju.</w:t>
      </w:r>
    </w:p>
    <w:p w14:paraId="4259DB2B" w14:textId="77777777" w:rsidR="00C45FC4" w:rsidRPr="00A16E0E" w:rsidRDefault="00C45FC4" w:rsidP="00343B43">
      <w:pPr>
        <w:pStyle w:val="paragraph"/>
        <w:spacing w:before="0" w:beforeAutospacing="0" w:after="0" w:afterAutospacing="0"/>
        <w:textAlignment w:val="baseline"/>
        <w:rPr>
          <w:rFonts w:ascii="Segoe UI" w:hAnsi="Segoe UI" w:cs="Segoe UI"/>
          <w:color w:val="0F4761"/>
          <w:sz w:val="18"/>
          <w:szCs w:val="18"/>
        </w:rPr>
      </w:pPr>
    </w:p>
    <w:p w14:paraId="2DFB0A5F" w14:textId="6D037DB8" w:rsidR="00343B43" w:rsidRPr="00A16E0E" w:rsidRDefault="00343B43" w:rsidP="00343B43">
      <w:pPr>
        <w:pStyle w:val="paragraph"/>
        <w:spacing w:before="0" w:beforeAutospacing="0" w:after="0" w:afterAutospacing="0"/>
        <w:textAlignment w:val="baseline"/>
        <w:rPr>
          <w:rFonts w:ascii="Segoe UI" w:hAnsi="Segoe UI" w:cs="Segoe UI"/>
          <w:color w:val="0F4761"/>
          <w:sz w:val="18"/>
          <w:szCs w:val="18"/>
        </w:rPr>
      </w:pPr>
      <w:r w:rsidRPr="00A16E0E">
        <w:rPr>
          <w:rStyle w:val="normaltextrun"/>
          <w:rFonts w:ascii="Aptos Display" w:hAnsi="Aptos Display" w:cs="Segoe UI"/>
          <w:color w:val="196B24"/>
          <w:sz w:val="32"/>
          <w:szCs w:val="32"/>
        </w:rPr>
        <w:t>Literatura</w:t>
      </w:r>
      <w:r w:rsidRPr="00A16E0E">
        <w:rPr>
          <w:rStyle w:val="eop"/>
          <w:rFonts w:ascii="Aptos Display" w:hAnsi="Aptos Display" w:cs="Segoe UI"/>
          <w:color w:val="196B24"/>
          <w:sz w:val="32"/>
          <w:szCs w:val="32"/>
        </w:rPr>
        <w:t> </w:t>
      </w:r>
    </w:p>
    <w:p w14:paraId="6EA512A5" w14:textId="163A9439" w:rsidR="00CA3F45" w:rsidRPr="005B697D" w:rsidRDefault="003D6D57" w:rsidP="00342EBA">
      <w:pPr>
        <w:pStyle w:val="paragraph"/>
        <w:spacing w:before="0" w:after="0"/>
        <w:ind w:firstLine="705"/>
        <w:textAlignment w:val="baseline"/>
      </w:pPr>
      <w:r w:rsidRPr="005B697D">
        <w:rPr>
          <w:rFonts w:ascii="Aptos" w:hAnsi="Aptos" w:cs="Segoe UI"/>
        </w:rPr>
        <w:t xml:space="preserve">Arzenšek, A., Boben, D., Juričko, A., Lepoša, P., Mrdaković, V., Potočnik, K., Rusiti, E., </w:t>
      </w:r>
      <w:r w:rsidR="00E35B40" w:rsidRPr="005B697D">
        <w:rPr>
          <w:rFonts w:ascii="Aptos" w:hAnsi="Aptos" w:cs="Segoe UI"/>
        </w:rPr>
        <w:t>in</w:t>
      </w:r>
      <w:r w:rsidRPr="005B697D">
        <w:rPr>
          <w:rFonts w:ascii="Aptos" w:hAnsi="Aptos" w:cs="Segoe UI"/>
        </w:rPr>
        <w:t xml:space="preserve"> Legnar, M. (2019). </w:t>
      </w:r>
      <w:r w:rsidRPr="005B697D">
        <w:rPr>
          <w:rFonts w:ascii="Aptos" w:hAnsi="Aptos" w:cs="Segoe UI"/>
          <w:i/>
          <w:iCs/>
        </w:rPr>
        <w:t>Priročnik za presojanje in razvoj kompetenc: pripomoček za uporabo modela kompetenc za kadrovike v državni upravi</w:t>
      </w:r>
      <w:r w:rsidRPr="005B697D">
        <w:rPr>
          <w:rFonts w:ascii="Aptos" w:hAnsi="Aptos" w:cs="Segoe UI"/>
        </w:rPr>
        <w:t xml:space="preserve">. Skupina Primera, celovite kadrovske rešitve. </w:t>
      </w:r>
      <w:hyperlink r:id="rId11" w:history="1">
        <w:r w:rsidRPr="005B697D">
          <w:rPr>
            <w:rStyle w:val="Hiperpovezava"/>
            <w:rFonts w:ascii="Aptos" w:hAnsi="Aptos" w:cs="Segoe UI"/>
          </w:rPr>
          <w:t>https://www.gov.si/assets/ministrstva/MJU/SUKV/VKM/Prirocnik-za-uporabo-kompetencnega-modela-ter-presojanje-in-razvoj-kompetenc-za-kadrovike.pdf</w:t>
        </w:r>
      </w:hyperlink>
    </w:p>
    <w:p w14:paraId="6A37ACA6" w14:textId="5E98411D" w:rsidR="00A06CBB" w:rsidRDefault="00A06CBB" w:rsidP="00A06CBB">
      <w:pPr>
        <w:pStyle w:val="paragraph"/>
        <w:ind w:firstLine="705"/>
        <w:textAlignment w:val="baseline"/>
        <w:rPr>
          <w:rFonts w:ascii="Aptos" w:hAnsi="Aptos" w:cs="Segoe UI"/>
          <w:i/>
          <w:iCs/>
        </w:rPr>
      </w:pPr>
      <w:r w:rsidRPr="00A06CBB">
        <w:rPr>
          <w:rFonts w:ascii="Aptos" w:hAnsi="Aptos" w:cs="Segoe UI"/>
        </w:rPr>
        <w:t xml:space="preserve">OECD (2011), </w:t>
      </w:r>
      <w:r w:rsidRPr="00A06CBB">
        <w:rPr>
          <w:rFonts w:ascii="Aptos" w:hAnsi="Aptos" w:cs="Segoe UI"/>
          <w:i/>
          <w:iCs/>
        </w:rPr>
        <w:t>Public Servants as Partners for Growth: Toward a Stronger, Leaner and More Equitable</w:t>
      </w:r>
      <w:r>
        <w:rPr>
          <w:rFonts w:ascii="Aptos" w:hAnsi="Aptos" w:cs="Segoe UI"/>
          <w:i/>
          <w:iCs/>
        </w:rPr>
        <w:t xml:space="preserve"> </w:t>
      </w:r>
      <w:r w:rsidRPr="00A06CBB">
        <w:rPr>
          <w:rFonts w:ascii="Aptos" w:hAnsi="Aptos" w:cs="Segoe UI"/>
          <w:i/>
          <w:iCs/>
        </w:rPr>
        <w:t>Workforce</w:t>
      </w:r>
      <w:r w:rsidRPr="00A06CBB">
        <w:rPr>
          <w:rFonts w:ascii="Aptos" w:hAnsi="Aptos" w:cs="Segoe UI"/>
        </w:rPr>
        <w:t>, OECD Publishing.</w:t>
      </w:r>
      <w:r>
        <w:rPr>
          <w:rFonts w:ascii="Aptos" w:hAnsi="Aptos" w:cs="Segoe UI"/>
          <w:i/>
          <w:iCs/>
        </w:rPr>
        <w:t xml:space="preserve"> </w:t>
      </w:r>
      <w:hyperlink r:id="rId12" w:history="1">
        <w:r w:rsidRPr="00D55BE7">
          <w:rPr>
            <w:rStyle w:val="Hiperpovezava"/>
            <w:rFonts w:ascii="Aptos" w:hAnsi="Aptos" w:cs="Segoe UI"/>
            <w:i/>
            <w:iCs/>
          </w:rPr>
          <w:t>http://dx.doi.org/10.1787/9789264166707-en</w:t>
        </w:r>
      </w:hyperlink>
    </w:p>
    <w:p w14:paraId="032E418D" w14:textId="073A7F70" w:rsidR="005B697D" w:rsidRPr="005B697D" w:rsidRDefault="005B697D" w:rsidP="00342EBA">
      <w:pPr>
        <w:pStyle w:val="paragraph"/>
        <w:spacing w:before="0" w:after="0"/>
        <w:ind w:firstLine="705"/>
        <w:textAlignment w:val="baseline"/>
        <w:rPr>
          <w:rFonts w:ascii="Aptos" w:hAnsi="Aptos" w:cs="Segoe UI"/>
        </w:rPr>
      </w:pPr>
      <w:r w:rsidRPr="005B697D">
        <w:rPr>
          <w:rFonts w:ascii="Aptos" w:hAnsi="Aptos" w:cs="Segoe UI"/>
        </w:rPr>
        <w:lastRenderedPageBreak/>
        <w:t>OECD. (2023).</w:t>
      </w:r>
      <w:r w:rsidRPr="005B697D">
        <w:rPr>
          <w:rFonts w:ascii="Aptos" w:hAnsi="Aptos" w:cs="Segoe UI"/>
          <w:i/>
          <w:iCs/>
        </w:rPr>
        <w:t xml:space="preserve"> Public </w:t>
      </w:r>
      <w:r>
        <w:rPr>
          <w:rFonts w:ascii="Aptos" w:hAnsi="Aptos" w:cs="Segoe UI"/>
          <w:i/>
          <w:iCs/>
        </w:rPr>
        <w:t>E</w:t>
      </w:r>
      <w:r w:rsidRPr="005B697D">
        <w:rPr>
          <w:rFonts w:ascii="Aptos" w:hAnsi="Aptos" w:cs="Segoe UI"/>
          <w:i/>
          <w:iCs/>
        </w:rPr>
        <w:t xml:space="preserve">mployment and </w:t>
      </w:r>
      <w:r>
        <w:rPr>
          <w:rFonts w:ascii="Aptos" w:hAnsi="Aptos" w:cs="Segoe UI"/>
          <w:i/>
          <w:iCs/>
        </w:rPr>
        <w:t>M</w:t>
      </w:r>
      <w:r w:rsidRPr="005B697D">
        <w:rPr>
          <w:rFonts w:ascii="Aptos" w:hAnsi="Aptos" w:cs="Segoe UI"/>
          <w:i/>
          <w:iCs/>
        </w:rPr>
        <w:t xml:space="preserve">anagement 2023: Towards a </w:t>
      </w:r>
      <w:r>
        <w:rPr>
          <w:rFonts w:ascii="Aptos" w:hAnsi="Aptos" w:cs="Segoe UI"/>
          <w:i/>
          <w:iCs/>
        </w:rPr>
        <w:t>M</w:t>
      </w:r>
      <w:r w:rsidRPr="005B697D">
        <w:rPr>
          <w:rFonts w:ascii="Aptos" w:hAnsi="Aptos" w:cs="Segoe UI"/>
          <w:i/>
          <w:iCs/>
        </w:rPr>
        <w:t xml:space="preserve">ore </w:t>
      </w:r>
      <w:r>
        <w:rPr>
          <w:rFonts w:ascii="Aptos" w:hAnsi="Aptos" w:cs="Segoe UI"/>
          <w:i/>
          <w:iCs/>
        </w:rPr>
        <w:t>F</w:t>
      </w:r>
      <w:r w:rsidRPr="005B697D">
        <w:rPr>
          <w:rFonts w:ascii="Aptos" w:hAnsi="Aptos" w:cs="Segoe UI"/>
          <w:i/>
          <w:iCs/>
        </w:rPr>
        <w:t xml:space="preserve">lexible </w:t>
      </w:r>
      <w:r>
        <w:rPr>
          <w:rFonts w:ascii="Aptos" w:hAnsi="Aptos" w:cs="Segoe UI"/>
          <w:i/>
          <w:iCs/>
        </w:rPr>
        <w:t>P</w:t>
      </w:r>
      <w:r w:rsidRPr="005B697D">
        <w:rPr>
          <w:rFonts w:ascii="Aptos" w:hAnsi="Aptos" w:cs="Segoe UI"/>
          <w:i/>
          <w:iCs/>
        </w:rPr>
        <w:t xml:space="preserve">ublic </w:t>
      </w:r>
      <w:r>
        <w:rPr>
          <w:rFonts w:ascii="Aptos" w:hAnsi="Aptos" w:cs="Segoe UI"/>
          <w:i/>
          <w:iCs/>
        </w:rPr>
        <w:t>S</w:t>
      </w:r>
      <w:r w:rsidRPr="005B697D">
        <w:rPr>
          <w:rFonts w:ascii="Aptos" w:hAnsi="Aptos" w:cs="Segoe UI"/>
          <w:i/>
          <w:iCs/>
        </w:rPr>
        <w:t xml:space="preserve">ervice. </w:t>
      </w:r>
      <w:r w:rsidRPr="005B697D">
        <w:rPr>
          <w:rFonts w:ascii="Aptos" w:hAnsi="Aptos" w:cs="Segoe UI"/>
        </w:rPr>
        <w:t xml:space="preserve">OECD Publishing. </w:t>
      </w:r>
      <w:hyperlink r:id="rId13" w:history="1">
        <w:r w:rsidRPr="005B697D">
          <w:rPr>
            <w:rStyle w:val="Hiperpovezava"/>
            <w:rFonts w:ascii="Aptos" w:hAnsi="Aptos" w:cs="Segoe UI"/>
          </w:rPr>
          <w:t>https://www.oecd.org/content/dam/oecd/en/publications/reports/2023/05/public-employment-and-management-2023_a8f17605/5b378e11-en.pdf</w:t>
        </w:r>
      </w:hyperlink>
    </w:p>
    <w:p w14:paraId="7C8F9C8B" w14:textId="762DB4F0" w:rsidR="00886E29" w:rsidRDefault="00A06CBB" w:rsidP="00342EBA">
      <w:pPr>
        <w:pStyle w:val="paragraph"/>
        <w:spacing w:before="0" w:after="0"/>
        <w:ind w:firstLine="705"/>
        <w:textAlignment w:val="baseline"/>
        <w:rPr>
          <w:rFonts w:ascii="Aptos" w:hAnsi="Aptos" w:cs="Segoe UI"/>
        </w:rPr>
      </w:pPr>
      <w:r w:rsidRPr="00A06CBB">
        <w:rPr>
          <w:rFonts w:ascii="Aptos" w:hAnsi="Aptos" w:cs="Segoe UI"/>
        </w:rPr>
        <w:t xml:space="preserve">Op de Beeck, S. (2010). </w:t>
      </w:r>
      <w:r w:rsidRPr="00A06CBB">
        <w:rPr>
          <w:rFonts w:ascii="Aptos" w:hAnsi="Aptos" w:cs="Segoe UI"/>
          <w:i/>
          <w:iCs/>
        </w:rPr>
        <w:t xml:space="preserve">Competency </w:t>
      </w:r>
      <w:r>
        <w:rPr>
          <w:rFonts w:ascii="Aptos" w:hAnsi="Aptos" w:cs="Segoe UI"/>
          <w:i/>
          <w:iCs/>
        </w:rPr>
        <w:t>M</w:t>
      </w:r>
      <w:r w:rsidRPr="00A06CBB">
        <w:rPr>
          <w:rFonts w:ascii="Aptos" w:hAnsi="Aptos" w:cs="Segoe UI"/>
          <w:i/>
          <w:iCs/>
        </w:rPr>
        <w:t xml:space="preserve">anagement in </w:t>
      </w:r>
      <w:r>
        <w:rPr>
          <w:rFonts w:ascii="Aptos" w:hAnsi="Aptos" w:cs="Segoe UI"/>
          <w:i/>
          <w:iCs/>
        </w:rPr>
        <w:t>t</w:t>
      </w:r>
      <w:r w:rsidRPr="00A06CBB">
        <w:rPr>
          <w:rFonts w:ascii="Aptos" w:hAnsi="Aptos" w:cs="Segoe UI"/>
          <w:i/>
          <w:iCs/>
        </w:rPr>
        <w:t xml:space="preserve">he </w:t>
      </w:r>
      <w:r>
        <w:rPr>
          <w:rFonts w:ascii="Aptos" w:hAnsi="Aptos" w:cs="Segoe UI"/>
          <w:i/>
          <w:iCs/>
        </w:rPr>
        <w:t>P</w:t>
      </w:r>
      <w:r w:rsidRPr="00A06CBB">
        <w:rPr>
          <w:rFonts w:ascii="Aptos" w:hAnsi="Aptos" w:cs="Segoe UI"/>
          <w:i/>
          <w:iCs/>
        </w:rPr>
        <w:t xml:space="preserve">ublic </w:t>
      </w:r>
      <w:r>
        <w:rPr>
          <w:rFonts w:ascii="Aptos" w:hAnsi="Aptos" w:cs="Segoe UI"/>
          <w:i/>
          <w:iCs/>
        </w:rPr>
        <w:t>S</w:t>
      </w:r>
      <w:r w:rsidRPr="00A06CBB">
        <w:rPr>
          <w:rFonts w:ascii="Aptos" w:hAnsi="Aptos" w:cs="Segoe UI"/>
          <w:i/>
          <w:iCs/>
        </w:rPr>
        <w:t xml:space="preserve">ector: Three </w:t>
      </w:r>
      <w:r>
        <w:rPr>
          <w:rFonts w:ascii="Aptos" w:hAnsi="Aptos" w:cs="Segoe UI"/>
          <w:i/>
          <w:iCs/>
        </w:rPr>
        <w:t>D</w:t>
      </w:r>
      <w:r w:rsidRPr="00A06CBB">
        <w:rPr>
          <w:rFonts w:ascii="Aptos" w:hAnsi="Aptos" w:cs="Segoe UI"/>
          <w:i/>
          <w:iCs/>
        </w:rPr>
        <w:t xml:space="preserve">imensions of </w:t>
      </w:r>
      <w:r>
        <w:rPr>
          <w:rFonts w:ascii="Aptos" w:hAnsi="Aptos" w:cs="Segoe UI"/>
          <w:i/>
          <w:iCs/>
        </w:rPr>
        <w:t>I</w:t>
      </w:r>
      <w:r w:rsidRPr="00A06CBB">
        <w:rPr>
          <w:rFonts w:ascii="Aptos" w:hAnsi="Aptos" w:cs="Segoe UI"/>
          <w:i/>
          <w:iCs/>
        </w:rPr>
        <w:t>ntegration</w:t>
      </w:r>
      <w:r w:rsidRPr="00A06CBB">
        <w:rPr>
          <w:rFonts w:ascii="Aptos" w:hAnsi="Aptos" w:cs="Segoe UI"/>
        </w:rPr>
        <w:t xml:space="preserve">. Public Management Institute, KU Leuven. </w:t>
      </w:r>
      <w:hyperlink r:id="rId14" w:history="1">
        <w:r w:rsidRPr="00D55BE7">
          <w:rPr>
            <w:rStyle w:val="Hiperpovezava"/>
            <w:rFonts w:ascii="Aptos" w:hAnsi="Aptos" w:cs="Segoe UI"/>
          </w:rPr>
          <w:t>https://soc.kuleuven.be/io/pubpdf/IO06060041_OpdeBeeckSophie_20100407_IRSPM.pdf</w:t>
        </w:r>
      </w:hyperlink>
    </w:p>
    <w:p w14:paraId="5548AA90" w14:textId="77777777" w:rsidR="00A06CBB" w:rsidRPr="00A16E0E" w:rsidRDefault="00A06CBB" w:rsidP="00342EBA">
      <w:pPr>
        <w:pStyle w:val="paragraph"/>
        <w:spacing w:before="0" w:after="0"/>
        <w:ind w:firstLine="705"/>
        <w:textAlignment w:val="baseline"/>
        <w:rPr>
          <w:rFonts w:ascii="Aptos" w:hAnsi="Aptos" w:cs="Segoe UI"/>
        </w:rPr>
      </w:pPr>
    </w:p>
    <w:sectPr w:rsidR="00A06CBB" w:rsidRPr="00A16E0E">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68FFF" w14:textId="77777777" w:rsidR="00EA7DE2" w:rsidRDefault="00EA7DE2" w:rsidP="0044585B">
      <w:pPr>
        <w:spacing w:after="0" w:line="240" w:lineRule="auto"/>
      </w:pPr>
      <w:r>
        <w:separator/>
      </w:r>
    </w:p>
  </w:endnote>
  <w:endnote w:type="continuationSeparator" w:id="0">
    <w:p w14:paraId="312EBEF6" w14:textId="77777777" w:rsidR="00EA7DE2" w:rsidRDefault="00EA7DE2" w:rsidP="0044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webkit-standard">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28B43" w14:textId="77777777" w:rsidR="00EA7DE2" w:rsidRDefault="00EA7DE2" w:rsidP="0044585B">
      <w:pPr>
        <w:spacing w:after="0" w:line="240" w:lineRule="auto"/>
      </w:pPr>
      <w:bookmarkStart w:id="0" w:name="_Hlk187677830"/>
      <w:bookmarkEnd w:id="0"/>
      <w:r>
        <w:separator/>
      </w:r>
    </w:p>
  </w:footnote>
  <w:footnote w:type="continuationSeparator" w:id="0">
    <w:p w14:paraId="5291065C" w14:textId="77777777" w:rsidR="00EA7DE2" w:rsidRDefault="00EA7DE2" w:rsidP="0044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32DC9" w14:textId="0458F48D" w:rsidR="002E2803" w:rsidRDefault="00343B43" w:rsidP="0B9FC4D0">
    <w:pPr>
      <w:pStyle w:val="Glava"/>
    </w:pPr>
    <w:r>
      <w:rPr>
        <w:rFonts w:ascii="Arial" w:hAnsi="Arial" w:cs="Arial"/>
        <w:noProof/>
      </w:rPr>
      <w:drawing>
        <wp:anchor distT="0" distB="0" distL="114300" distR="114300" simplePos="0" relativeHeight="251658241" behindDoc="0" locked="0" layoutInCell="1" allowOverlap="1" wp14:anchorId="77E9638E" wp14:editId="310E62FF">
          <wp:simplePos x="0" y="0"/>
          <wp:positionH relativeFrom="column">
            <wp:posOffset>4495800</wp:posOffset>
          </wp:positionH>
          <wp:positionV relativeFrom="paragraph">
            <wp:posOffset>-284480</wp:posOffset>
          </wp:positionV>
          <wp:extent cx="1876425" cy="361950"/>
          <wp:effectExtent l="0" t="0" r="9525" b="0"/>
          <wp:wrapThrough wrapText="bothSides">
            <wp:wrapPolygon edited="0">
              <wp:start x="0" y="0"/>
              <wp:lineTo x="0" y="20463"/>
              <wp:lineTo x="21490" y="20463"/>
              <wp:lineTo x="21490" y="0"/>
              <wp:lineTo x="0" y="0"/>
            </wp:wrapPolygon>
          </wp:wrapThrough>
          <wp:docPr id="1890390136" name="Slika 1" descr="Logotip NOO - Načrt za okrevanje in odporn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90136" name="Slika 1" descr="Logotip NOO - Načrt za okrevanje in odpornos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7642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E2803">
      <w:rPr>
        <w:rFonts w:ascii="Arial" w:hAnsi="Arial" w:cs="Arial"/>
        <w:noProof/>
      </w:rPr>
      <w:drawing>
        <wp:anchor distT="0" distB="0" distL="114300" distR="114300" simplePos="0" relativeHeight="251658240" behindDoc="0" locked="0" layoutInCell="1" allowOverlap="1" wp14:anchorId="1B723566" wp14:editId="7238FFB6">
          <wp:simplePos x="0" y="0"/>
          <wp:positionH relativeFrom="column">
            <wp:posOffset>4457700</wp:posOffset>
          </wp:positionH>
          <wp:positionV relativeFrom="paragraph">
            <wp:posOffset>168910</wp:posOffset>
          </wp:positionV>
          <wp:extent cx="1466850" cy="447675"/>
          <wp:effectExtent l="0" t="0" r="0" b="9525"/>
          <wp:wrapThrough wrapText="bothSides">
            <wp:wrapPolygon edited="0">
              <wp:start x="0" y="0"/>
              <wp:lineTo x="0" y="21140"/>
              <wp:lineTo x="21319" y="21140"/>
              <wp:lineTo x="21319" y="0"/>
              <wp:lineTo x="0" y="0"/>
            </wp:wrapPolygon>
          </wp:wrapThrough>
          <wp:docPr id="74424299" name="Slika 2" descr="Logotip z zastavo EU, ki sporoča, da projekt financira Evropska u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24299" name="Slika 2" descr="Logotip z zastavo EU, ki sporoča, da projekt financira Evropska unija."/>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46685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E2803">
      <w:rPr>
        <w:rFonts w:ascii="Arial" w:hAnsi="Arial" w:cs="Arial"/>
        <w:noProof/>
      </w:rPr>
      <w:drawing>
        <wp:anchor distT="0" distB="0" distL="114300" distR="114300" simplePos="0" relativeHeight="251658242" behindDoc="1" locked="0" layoutInCell="1" allowOverlap="1" wp14:anchorId="5C893089" wp14:editId="300179D2">
          <wp:simplePos x="0" y="0"/>
          <wp:positionH relativeFrom="column">
            <wp:posOffset>-904875</wp:posOffset>
          </wp:positionH>
          <wp:positionV relativeFrom="paragraph">
            <wp:posOffset>-471805</wp:posOffset>
          </wp:positionV>
          <wp:extent cx="5064125" cy="1511535"/>
          <wp:effectExtent l="0" t="0" r="3175" b="0"/>
          <wp:wrapNone/>
          <wp:docPr id="2047208447" name="Picture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208447" name="Picture 73">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64125" cy="15115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3897AF0" w14:textId="5C5541CD" w:rsidR="002E2803" w:rsidRDefault="002E2803" w:rsidP="0B9FC4D0">
    <w:pPr>
      <w:pStyle w:val="Glava"/>
    </w:pPr>
  </w:p>
  <w:p w14:paraId="12158BCB" w14:textId="65E5BB30" w:rsidR="002E2803" w:rsidRDefault="002E2803" w:rsidP="0B9FC4D0">
    <w:pPr>
      <w:pStyle w:val="Glava"/>
    </w:pPr>
  </w:p>
  <w:p w14:paraId="31BA2D2C" w14:textId="394B1840" w:rsidR="002E2803" w:rsidRDefault="00343B43" w:rsidP="002E2803">
    <w:pPr>
      <w:pStyle w:val="Glava"/>
      <w:tabs>
        <w:tab w:val="clear" w:pos="4536"/>
        <w:tab w:val="clear" w:pos="9072"/>
        <w:tab w:val="left" w:pos="5895"/>
      </w:tabs>
    </w:pPr>
    <w:r>
      <w:rPr>
        <w:rFonts w:ascii="Aptos" w:hAnsi="Aptos" w:cs="Segoe UI"/>
        <w:noProof/>
      </w:rPr>
      <w:drawing>
        <wp:anchor distT="0" distB="0" distL="114300" distR="114300" simplePos="0" relativeHeight="251658243" behindDoc="1" locked="0" layoutInCell="1" allowOverlap="1" wp14:anchorId="733BA6EC" wp14:editId="50653F6D">
          <wp:simplePos x="0" y="0"/>
          <wp:positionH relativeFrom="column">
            <wp:posOffset>4406265</wp:posOffset>
          </wp:positionH>
          <wp:positionV relativeFrom="paragraph">
            <wp:posOffset>54464</wp:posOffset>
          </wp:positionV>
          <wp:extent cx="1969135" cy="472440"/>
          <wp:effectExtent l="0" t="0" r="0" b="0"/>
          <wp:wrapTight wrapText="bothSides">
            <wp:wrapPolygon edited="0">
              <wp:start x="0" y="0"/>
              <wp:lineTo x="0" y="20903"/>
              <wp:lineTo x="21454" y="20903"/>
              <wp:lineTo x="21454" y="0"/>
              <wp:lineTo x="0" y="0"/>
            </wp:wrapPolygon>
          </wp:wrapTight>
          <wp:docPr id="223646355"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223262" name="Picture 1" descr="A close up of a sign&#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1969135" cy="472440"/>
                  </a:xfrm>
                  <a:prstGeom prst="rect">
                    <a:avLst/>
                  </a:prstGeom>
                </pic:spPr>
              </pic:pic>
            </a:graphicData>
          </a:graphic>
          <wp14:sizeRelH relativeFrom="page">
            <wp14:pctWidth>0</wp14:pctWidth>
          </wp14:sizeRelH>
          <wp14:sizeRelV relativeFrom="page">
            <wp14:pctHeight>0</wp14:pctHeight>
          </wp14:sizeRelV>
        </wp:anchor>
      </w:drawing>
    </w:r>
    <w:r w:rsidR="002E2803">
      <w:tab/>
    </w:r>
  </w:p>
  <w:p w14:paraId="02FD796E" w14:textId="6E7B0BEB" w:rsidR="0B9FC4D0" w:rsidRDefault="0B9FC4D0" w:rsidP="0B9FC4D0">
    <w:pPr>
      <w:pStyle w:val="Glava"/>
    </w:pPr>
  </w:p>
  <w:p w14:paraId="65F61878" w14:textId="77777777" w:rsidR="002E2803" w:rsidRDefault="002E2803" w:rsidP="0B9FC4D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5A9DF"/>
    <w:multiLevelType w:val="hybridMultilevel"/>
    <w:tmpl w:val="77880EF2"/>
    <w:lvl w:ilvl="0" w:tplc="C4ACB71A">
      <w:start w:val="1"/>
      <w:numFmt w:val="bullet"/>
      <w:lvlText w:val=""/>
      <w:lvlJc w:val="left"/>
      <w:pPr>
        <w:ind w:left="720" w:hanging="360"/>
      </w:pPr>
      <w:rPr>
        <w:rFonts w:ascii="Symbol" w:hAnsi="Symbol" w:hint="default"/>
      </w:rPr>
    </w:lvl>
    <w:lvl w:ilvl="1" w:tplc="ED1AC2B8">
      <w:start w:val="1"/>
      <w:numFmt w:val="bullet"/>
      <w:lvlText w:val="o"/>
      <w:lvlJc w:val="left"/>
      <w:pPr>
        <w:ind w:left="1440" w:hanging="360"/>
      </w:pPr>
      <w:rPr>
        <w:rFonts w:ascii="Courier New" w:hAnsi="Courier New" w:hint="default"/>
      </w:rPr>
    </w:lvl>
    <w:lvl w:ilvl="2" w:tplc="BEA432D4">
      <w:start w:val="1"/>
      <w:numFmt w:val="bullet"/>
      <w:lvlText w:val=""/>
      <w:lvlJc w:val="left"/>
      <w:pPr>
        <w:ind w:left="2160" w:hanging="360"/>
      </w:pPr>
      <w:rPr>
        <w:rFonts w:ascii="Wingdings" w:hAnsi="Wingdings" w:hint="default"/>
      </w:rPr>
    </w:lvl>
    <w:lvl w:ilvl="3" w:tplc="6DE20CAA">
      <w:start w:val="1"/>
      <w:numFmt w:val="bullet"/>
      <w:lvlText w:val=""/>
      <w:lvlJc w:val="left"/>
      <w:pPr>
        <w:ind w:left="2880" w:hanging="360"/>
      </w:pPr>
      <w:rPr>
        <w:rFonts w:ascii="Symbol" w:hAnsi="Symbol" w:hint="default"/>
      </w:rPr>
    </w:lvl>
    <w:lvl w:ilvl="4" w:tplc="35AC593C">
      <w:start w:val="1"/>
      <w:numFmt w:val="bullet"/>
      <w:lvlText w:val="o"/>
      <w:lvlJc w:val="left"/>
      <w:pPr>
        <w:ind w:left="3600" w:hanging="360"/>
      </w:pPr>
      <w:rPr>
        <w:rFonts w:ascii="Courier New" w:hAnsi="Courier New" w:hint="default"/>
      </w:rPr>
    </w:lvl>
    <w:lvl w:ilvl="5" w:tplc="E604D7F6">
      <w:start w:val="1"/>
      <w:numFmt w:val="bullet"/>
      <w:lvlText w:val=""/>
      <w:lvlJc w:val="left"/>
      <w:pPr>
        <w:ind w:left="4320" w:hanging="360"/>
      </w:pPr>
      <w:rPr>
        <w:rFonts w:ascii="Wingdings" w:hAnsi="Wingdings" w:hint="default"/>
      </w:rPr>
    </w:lvl>
    <w:lvl w:ilvl="6" w:tplc="8C24AFA4">
      <w:start w:val="1"/>
      <w:numFmt w:val="bullet"/>
      <w:lvlText w:val=""/>
      <w:lvlJc w:val="left"/>
      <w:pPr>
        <w:ind w:left="5040" w:hanging="360"/>
      </w:pPr>
      <w:rPr>
        <w:rFonts w:ascii="Symbol" w:hAnsi="Symbol" w:hint="default"/>
      </w:rPr>
    </w:lvl>
    <w:lvl w:ilvl="7" w:tplc="A26C8E06">
      <w:start w:val="1"/>
      <w:numFmt w:val="bullet"/>
      <w:lvlText w:val="o"/>
      <w:lvlJc w:val="left"/>
      <w:pPr>
        <w:ind w:left="5760" w:hanging="360"/>
      </w:pPr>
      <w:rPr>
        <w:rFonts w:ascii="Courier New" w:hAnsi="Courier New" w:hint="default"/>
      </w:rPr>
    </w:lvl>
    <w:lvl w:ilvl="8" w:tplc="12C0BCEC">
      <w:start w:val="1"/>
      <w:numFmt w:val="bullet"/>
      <w:lvlText w:val=""/>
      <w:lvlJc w:val="left"/>
      <w:pPr>
        <w:ind w:left="6480" w:hanging="360"/>
      </w:pPr>
      <w:rPr>
        <w:rFonts w:ascii="Wingdings" w:hAnsi="Wingdings" w:hint="default"/>
      </w:rPr>
    </w:lvl>
  </w:abstractNum>
  <w:abstractNum w:abstractNumId="1" w15:restartNumberingAfterBreak="0">
    <w:nsid w:val="166B3DD0"/>
    <w:multiLevelType w:val="hybridMultilevel"/>
    <w:tmpl w:val="488C9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233560"/>
    <w:multiLevelType w:val="hybridMultilevel"/>
    <w:tmpl w:val="FDAECAC0"/>
    <w:lvl w:ilvl="0" w:tplc="B39622B0">
      <w:start w:val="1"/>
      <w:numFmt w:val="bullet"/>
      <w:lvlText w:val="-"/>
      <w:lvlJc w:val="left"/>
      <w:pPr>
        <w:ind w:left="720" w:hanging="360"/>
      </w:pPr>
      <w:rPr>
        <w:rFonts w:ascii="Aptos" w:eastAsia="Times New Roman" w:hAnsi="Aptos" w:cs="Segoe U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D97567C"/>
    <w:multiLevelType w:val="hybridMultilevel"/>
    <w:tmpl w:val="C6F09C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242561E"/>
    <w:multiLevelType w:val="hybridMultilevel"/>
    <w:tmpl w:val="2F9CF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E2DA33"/>
    <w:multiLevelType w:val="hybridMultilevel"/>
    <w:tmpl w:val="9C6C4E24"/>
    <w:lvl w:ilvl="0" w:tplc="20967A60">
      <w:start w:val="1"/>
      <w:numFmt w:val="decimal"/>
      <w:lvlText w:val="%1."/>
      <w:lvlJc w:val="left"/>
      <w:pPr>
        <w:ind w:left="720" w:hanging="360"/>
      </w:pPr>
    </w:lvl>
    <w:lvl w:ilvl="1" w:tplc="21529166">
      <w:start w:val="1"/>
      <w:numFmt w:val="lowerLetter"/>
      <w:lvlText w:val="%2."/>
      <w:lvlJc w:val="left"/>
      <w:pPr>
        <w:ind w:left="1440" w:hanging="360"/>
      </w:pPr>
    </w:lvl>
    <w:lvl w:ilvl="2" w:tplc="8C48261E">
      <w:start w:val="1"/>
      <w:numFmt w:val="lowerRoman"/>
      <w:lvlText w:val="%3."/>
      <w:lvlJc w:val="right"/>
      <w:pPr>
        <w:ind w:left="2160" w:hanging="180"/>
      </w:pPr>
    </w:lvl>
    <w:lvl w:ilvl="3" w:tplc="90CE9DE6">
      <w:start w:val="1"/>
      <w:numFmt w:val="decimal"/>
      <w:lvlText w:val="%4."/>
      <w:lvlJc w:val="left"/>
      <w:pPr>
        <w:ind w:left="2880" w:hanging="360"/>
      </w:pPr>
    </w:lvl>
    <w:lvl w:ilvl="4" w:tplc="0CCAE650">
      <w:start w:val="1"/>
      <w:numFmt w:val="lowerLetter"/>
      <w:lvlText w:val="%5."/>
      <w:lvlJc w:val="left"/>
      <w:pPr>
        <w:ind w:left="3600" w:hanging="360"/>
      </w:pPr>
    </w:lvl>
    <w:lvl w:ilvl="5" w:tplc="3886C844">
      <w:start w:val="1"/>
      <w:numFmt w:val="lowerRoman"/>
      <w:lvlText w:val="%6."/>
      <w:lvlJc w:val="right"/>
      <w:pPr>
        <w:ind w:left="4320" w:hanging="180"/>
      </w:pPr>
    </w:lvl>
    <w:lvl w:ilvl="6" w:tplc="6628A810">
      <w:start w:val="1"/>
      <w:numFmt w:val="decimal"/>
      <w:lvlText w:val="%7."/>
      <w:lvlJc w:val="left"/>
      <w:pPr>
        <w:ind w:left="5040" w:hanging="360"/>
      </w:pPr>
    </w:lvl>
    <w:lvl w:ilvl="7" w:tplc="1ED8C74C">
      <w:start w:val="1"/>
      <w:numFmt w:val="lowerLetter"/>
      <w:lvlText w:val="%8."/>
      <w:lvlJc w:val="left"/>
      <w:pPr>
        <w:ind w:left="5760" w:hanging="360"/>
      </w:pPr>
    </w:lvl>
    <w:lvl w:ilvl="8" w:tplc="6914B172">
      <w:start w:val="1"/>
      <w:numFmt w:val="lowerRoman"/>
      <w:lvlText w:val="%9."/>
      <w:lvlJc w:val="right"/>
      <w:pPr>
        <w:ind w:left="6480" w:hanging="180"/>
      </w:pPr>
    </w:lvl>
  </w:abstractNum>
  <w:num w:numId="1" w16cid:durableId="790830032">
    <w:abstractNumId w:val="5"/>
  </w:num>
  <w:num w:numId="2" w16cid:durableId="2127849612">
    <w:abstractNumId w:val="4"/>
  </w:num>
  <w:num w:numId="3" w16cid:durableId="1375882899">
    <w:abstractNumId w:val="1"/>
  </w:num>
  <w:num w:numId="4" w16cid:durableId="1775636603">
    <w:abstractNumId w:val="0"/>
  </w:num>
  <w:num w:numId="5" w16cid:durableId="1327588647">
    <w:abstractNumId w:val="2"/>
  </w:num>
  <w:num w:numId="6" w16cid:durableId="946737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21DF0E"/>
    <w:rsid w:val="0000571D"/>
    <w:rsid w:val="0001701C"/>
    <w:rsid w:val="000314F2"/>
    <w:rsid w:val="00031BDA"/>
    <w:rsid w:val="000324EF"/>
    <w:rsid w:val="00050534"/>
    <w:rsid w:val="00066783"/>
    <w:rsid w:val="000856E7"/>
    <w:rsid w:val="000A2AC5"/>
    <w:rsid w:val="000B6CEF"/>
    <w:rsid w:val="000C014F"/>
    <w:rsid w:val="000D2ADA"/>
    <w:rsid w:val="000E69A3"/>
    <w:rsid w:val="000F1B36"/>
    <w:rsid w:val="000F6CD1"/>
    <w:rsid w:val="00102A4F"/>
    <w:rsid w:val="001366E1"/>
    <w:rsid w:val="001410C5"/>
    <w:rsid w:val="00144FF7"/>
    <w:rsid w:val="001643E7"/>
    <w:rsid w:val="00165261"/>
    <w:rsid w:val="00187712"/>
    <w:rsid w:val="001B5A6C"/>
    <w:rsid w:val="001C2A80"/>
    <w:rsid w:val="001D2AFC"/>
    <w:rsid w:val="001F53CD"/>
    <w:rsid w:val="00220F37"/>
    <w:rsid w:val="002258C5"/>
    <w:rsid w:val="00234294"/>
    <w:rsid w:val="00247875"/>
    <w:rsid w:val="002528B9"/>
    <w:rsid w:val="00277CDA"/>
    <w:rsid w:val="00281A72"/>
    <w:rsid w:val="00283017"/>
    <w:rsid w:val="00287147"/>
    <w:rsid w:val="002B39E3"/>
    <w:rsid w:val="002E0798"/>
    <w:rsid w:val="002E2803"/>
    <w:rsid w:val="002F4EDA"/>
    <w:rsid w:val="003105B5"/>
    <w:rsid w:val="003122C4"/>
    <w:rsid w:val="00333D93"/>
    <w:rsid w:val="00342EBA"/>
    <w:rsid w:val="0034319C"/>
    <w:rsid w:val="00343B43"/>
    <w:rsid w:val="00344CD9"/>
    <w:rsid w:val="003501CC"/>
    <w:rsid w:val="00364045"/>
    <w:rsid w:val="003750F0"/>
    <w:rsid w:val="00390CE2"/>
    <w:rsid w:val="003953A5"/>
    <w:rsid w:val="003B6CF1"/>
    <w:rsid w:val="003C6F90"/>
    <w:rsid w:val="003D4248"/>
    <w:rsid w:val="003D6D57"/>
    <w:rsid w:val="003F3359"/>
    <w:rsid w:val="00401357"/>
    <w:rsid w:val="004238C4"/>
    <w:rsid w:val="00425111"/>
    <w:rsid w:val="00426814"/>
    <w:rsid w:val="0044585B"/>
    <w:rsid w:val="00450533"/>
    <w:rsid w:val="00454861"/>
    <w:rsid w:val="00456940"/>
    <w:rsid w:val="00467109"/>
    <w:rsid w:val="00470F5F"/>
    <w:rsid w:val="00471D68"/>
    <w:rsid w:val="004B77A2"/>
    <w:rsid w:val="004C6B55"/>
    <w:rsid w:val="004D4BB2"/>
    <w:rsid w:val="00517156"/>
    <w:rsid w:val="00517840"/>
    <w:rsid w:val="00521659"/>
    <w:rsid w:val="0053363F"/>
    <w:rsid w:val="00544A3B"/>
    <w:rsid w:val="00563808"/>
    <w:rsid w:val="005A30F4"/>
    <w:rsid w:val="005B2820"/>
    <w:rsid w:val="005B5E49"/>
    <w:rsid w:val="005B697D"/>
    <w:rsid w:val="005C526F"/>
    <w:rsid w:val="00601E57"/>
    <w:rsid w:val="00610226"/>
    <w:rsid w:val="006221EE"/>
    <w:rsid w:val="00646B61"/>
    <w:rsid w:val="00660AA6"/>
    <w:rsid w:val="006630ED"/>
    <w:rsid w:val="00666CF0"/>
    <w:rsid w:val="00673B8A"/>
    <w:rsid w:val="00673F76"/>
    <w:rsid w:val="00676B8A"/>
    <w:rsid w:val="00681B91"/>
    <w:rsid w:val="00692A0B"/>
    <w:rsid w:val="006A0CCF"/>
    <w:rsid w:val="006B0DC8"/>
    <w:rsid w:val="006B5659"/>
    <w:rsid w:val="006C53B6"/>
    <w:rsid w:val="006E5C69"/>
    <w:rsid w:val="006F1504"/>
    <w:rsid w:val="006F28B7"/>
    <w:rsid w:val="006F403F"/>
    <w:rsid w:val="006F5EBF"/>
    <w:rsid w:val="00704246"/>
    <w:rsid w:val="007200F4"/>
    <w:rsid w:val="00726834"/>
    <w:rsid w:val="00736C63"/>
    <w:rsid w:val="007557E8"/>
    <w:rsid w:val="00760571"/>
    <w:rsid w:val="00761172"/>
    <w:rsid w:val="00776F7E"/>
    <w:rsid w:val="0078062A"/>
    <w:rsid w:val="007B0685"/>
    <w:rsid w:val="007B0F8B"/>
    <w:rsid w:val="007B2862"/>
    <w:rsid w:val="007D3601"/>
    <w:rsid w:val="007E7EEB"/>
    <w:rsid w:val="00806534"/>
    <w:rsid w:val="008268DF"/>
    <w:rsid w:val="00835015"/>
    <w:rsid w:val="0083519C"/>
    <w:rsid w:val="008400A4"/>
    <w:rsid w:val="00873066"/>
    <w:rsid w:val="008868FB"/>
    <w:rsid w:val="00886E29"/>
    <w:rsid w:val="00887106"/>
    <w:rsid w:val="00892839"/>
    <w:rsid w:val="008A0F27"/>
    <w:rsid w:val="008A733F"/>
    <w:rsid w:val="008A7947"/>
    <w:rsid w:val="008D1BA2"/>
    <w:rsid w:val="008E002D"/>
    <w:rsid w:val="008E3A5E"/>
    <w:rsid w:val="008F0837"/>
    <w:rsid w:val="00910793"/>
    <w:rsid w:val="00926E16"/>
    <w:rsid w:val="00980026"/>
    <w:rsid w:val="00991427"/>
    <w:rsid w:val="009A1913"/>
    <w:rsid w:val="009C0592"/>
    <w:rsid w:val="009C5085"/>
    <w:rsid w:val="009F0720"/>
    <w:rsid w:val="009F0831"/>
    <w:rsid w:val="00A06CBB"/>
    <w:rsid w:val="00A07D0F"/>
    <w:rsid w:val="00A117D4"/>
    <w:rsid w:val="00A124EC"/>
    <w:rsid w:val="00A15478"/>
    <w:rsid w:val="00A16E0E"/>
    <w:rsid w:val="00A36CE1"/>
    <w:rsid w:val="00A530DD"/>
    <w:rsid w:val="00A93C37"/>
    <w:rsid w:val="00AA3188"/>
    <w:rsid w:val="00AA40C0"/>
    <w:rsid w:val="00AB1967"/>
    <w:rsid w:val="00AB37CC"/>
    <w:rsid w:val="00AD0467"/>
    <w:rsid w:val="00AE6DF5"/>
    <w:rsid w:val="00AF5071"/>
    <w:rsid w:val="00B10E57"/>
    <w:rsid w:val="00B1110C"/>
    <w:rsid w:val="00B1187A"/>
    <w:rsid w:val="00B12B07"/>
    <w:rsid w:val="00B12F39"/>
    <w:rsid w:val="00B179D7"/>
    <w:rsid w:val="00B21A85"/>
    <w:rsid w:val="00B321B0"/>
    <w:rsid w:val="00B3306C"/>
    <w:rsid w:val="00B44B41"/>
    <w:rsid w:val="00B5025C"/>
    <w:rsid w:val="00B630D4"/>
    <w:rsid w:val="00B8797D"/>
    <w:rsid w:val="00BB3997"/>
    <w:rsid w:val="00BC47F4"/>
    <w:rsid w:val="00BE7912"/>
    <w:rsid w:val="00C017D5"/>
    <w:rsid w:val="00C45FC4"/>
    <w:rsid w:val="00C46F2F"/>
    <w:rsid w:val="00C47FD7"/>
    <w:rsid w:val="00C612A2"/>
    <w:rsid w:val="00C621F2"/>
    <w:rsid w:val="00C71FBA"/>
    <w:rsid w:val="00C73925"/>
    <w:rsid w:val="00C87714"/>
    <w:rsid w:val="00C91634"/>
    <w:rsid w:val="00CA1D6F"/>
    <w:rsid w:val="00CA3518"/>
    <w:rsid w:val="00CA3765"/>
    <w:rsid w:val="00CA3F45"/>
    <w:rsid w:val="00CB0DA4"/>
    <w:rsid w:val="00CD6295"/>
    <w:rsid w:val="00D04F0A"/>
    <w:rsid w:val="00D05B63"/>
    <w:rsid w:val="00D1064D"/>
    <w:rsid w:val="00D130E8"/>
    <w:rsid w:val="00D365B6"/>
    <w:rsid w:val="00D42830"/>
    <w:rsid w:val="00D729C3"/>
    <w:rsid w:val="00D87401"/>
    <w:rsid w:val="00DA1EE3"/>
    <w:rsid w:val="00DA4CE7"/>
    <w:rsid w:val="00DB0682"/>
    <w:rsid w:val="00DB4B6B"/>
    <w:rsid w:val="00DC1974"/>
    <w:rsid w:val="00DC69CC"/>
    <w:rsid w:val="00DE533D"/>
    <w:rsid w:val="00E073EF"/>
    <w:rsid w:val="00E26269"/>
    <w:rsid w:val="00E35B40"/>
    <w:rsid w:val="00E40512"/>
    <w:rsid w:val="00E504D4"/>
    <w:rsid w:val="00E64814"/>
    <w:rsid w:val="00E74DDE"/>
    <w:rsid w:val="00E94F48"/>
    <w:rsid w:val="00EA7DE2"/>
    <w:rsid w:val="00EC47FC"/>
    <w:rsid w:val="00EC6F87"/>
    <w:rsid w:val="00EE1F22"/>
    <w:rsid w:val="00EE2CD7"/>
    <w:rsid w:val="00EF60A0"/>
    <w:rsid w:val="00EF6869"/>
    <w:rsid w:val="00F028EE"/>
    <w:rsid w:val="00F061C6"/>
    <w:rsid w:val="00F12309"/>
    <w:rsid w:val="00F12677"/>
    <w:rsid w:val="00F227CE"/>
    <w:rsid w:val="00F3020B"/>
    <w:rsid w:val="00F35733"/>
    <w:rsid w:val="00F36861"/>
    <w:rsid w:val="00F479DA"/>
    <w:rsid w:val="00FA2CB1"/>
    <w:rsid w:val="00FA4DC3"/>
    <w:rsid w:val="00FB2DFB"/>
    <w:rsid w:val="00FD5105"/>
    <w:rsid w:val="00FF15A5"/>
    <w:rsid w:val="00FF5CFD"/>
    <w:rsid w:val="02AB29C6"/>
    <w:rsid w:val="033BD7F3"/>
    <w:rsid w:val="03D98ED1"/>
    <w:rsid w:val="05638858"/>
    <w:rsid w:val="098DFA60"/>
    <w:rsid w:val="0A5E299D"/>
    <w:rsid w:val="0B9FC4D0"/>
    <w:rsid w:val="0CBB4083"/>
    <w:rsid w:val="102124BC"/>
    <w:rsid w:val="17B6BA42"/>
    <w:rsid w:val="19A7CF09"/>
    <w:rsid w:val="19BC7733"/>
    <w:rsid w:val="1A2F8052"/>
    <w:rsid w:val="1A8553F6"/>
    <w:rsid w:val="1B3C569A"/>
    <w:rsid w:val="1F0616F3"/>
    <w:rsid w:val="23CB0F0D"/>
    <w:rsid w:val="253307A3"/>
    <w:rsid w:val="27DB8C33"/>
    <w:rsid w:val="2950DE51"/>
    <w:rsid w:val="33E55F26"/>
    <w:rsid w:val="3698CF4B"/>
    <w:rsid w:val="4055697D"/>
    <w:rsid w:val="41194481"/>
    <w:rsid w:val="4311A53D"/>
    <w:rsid w:val="434BDA9B"/>
    <w:rsid w:val="4453D877"/>
    <w:rsid w:val="44BA5AF8"/>
    <w:rsid w:val="4506D493"/>
    <w:rsid w:val="45598465"/>
    <w:rsid w:val="4653DE4E"/>
    <w:rsid w:val="478B3AFF"/>
    <w:rsid w:val="483A1FA4"/>
    <w:rsid w:val="496CFD59"/>
    <w:rsid w:val="497531A8"/>
    <w:rsid w:val="4D8661C6"/>
    <w:rsid w:val="4F4F69A3"/>
    <w:rsid w:val="50EE80AB"/>
    <w:rsid w:val="5221DF0E"/>
    <w:rsid w:val="56B2642D"/>
    <w:rsid w:val="57C80284"/>
    <w:rsid w:val="5A9ADA5C"/>
    <w:rsid w:val="5AC2B54E"/>
    <w:rsid w:val="5E982610"/>
    <w:rsid w:val="61CD247E"/>
    <w:rsid w:val="654A8C2C"/>
    <w:rsid w:val="657EB412"/>
    <w:rsid w:val="66397D31"/>
    <w:rsid w:val="66EE4AEE"/>
    <w:rsid w:val="66EF6BB8"/>
    <w:rsid w:val="674E3BE4"/>
    <w:rsid w:val="6882DDBC"/>
    <w:rsid w:val="6B7AB25F"/>
    <w:rsid w:val="6DB1C550"/>
    <w:rsid w:val="6DF507C5"/>
    <w:rsid w:val="710504E3"/>
    <w:rsid w:val="71B88434"/>
    <w:rsid w:val="72320D5D"/>
    <w:rsid w:val="760077CB"/>
    <w:rsid w:val="77F9092C"/>
    <w:rsid w:val="78C44D6B"/>
    <w:rsid w:val="79F0FF87"/>
    <w:rsid w:val="7C3866D9"/>
    <w:rsid w:val="7E7233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1DF0E"/>
  <w15:chartTrackingRefBased/>
  <w15:docId w15:val="{6EDB2B17-5B29-4579-BBBA-6DF9ED61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l-SI"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23CB0F0D"/>
    <w:pPr>
      <w:ind w:left="720"/>
      <w:contextualSpacing/>
    </w:pPr>
  </w:style>
  <w:style w:type="paragraph" w:styleId="Glava">
    <w:name w:val="header"/>
    <w:basedOn w:val="Navaden"/>
    <w:link w:val="GlavaZnak"/>
    <w:uiPriority w:val="99"/>
    <w:unhideWhenUsed/>
    <w:rsid w:val="0044585B"/>
    <w:pPr>
      <w:tabs>
        <w:tab w:val="center" w:pos="4536"/>
        <w:tab w:val="right" w:pos="9072"/>
      </w:tabs>
      <w:spacing w:after="0" w:line="240" w:lineRule="auto"/>
    </w:pPr>
  </w:style>
  <w:style w:type="character" w:customStyle="1" w:styleId="GlavaZnak">
    <w:name w:val="Glava Znak"/>
    <w:basedOn w:val="Privzetapisavaodstavka"/>
    <w:link w:val="Glava"/>
    <w:uiPriority w:val="99"/>
    <w:rsid w:val="0044585B"/>
  </w:style>
  <w:style w:type="paragraph" w:styleId="Noga">
    <w:name w:val="footer"/>
    <w:basedOn w:val="Navaden"/>
    <w:link w:val="NogaZnak"/>
    <w:uiPriority w:val="99"/>
    <w:unhideWhenUsed/>
    <w:rsid w:val="0044585B"/>
    <w:pPr>
      <w:tabs>
        <w:tab w:val="center" w:pos="4536"/>
        <w:tab w:val="right" w:pos="9072"/>
      </w:tabs>
      <w:spacing w:after="0" w:line="240" w:lineRule="auto"/>
    </w:pPr>
  </w:style>
  <w:style w:type="character" w:customStyle="1" w:styleId="NogaZnak">
    <w:name w:val="Noga Znak"/>
    <w:basedOn w:val="Privzetapisavaodstavka"/>
    <w:link w:val="Noga"/>
    <w:uiPriority w:val="99"/>
    <w:rsid w:val="0044585B"/>
  </w:style>
  <w:style w:type="table" w:styleId="Tabelamrea">
    <w:name w:val="Table Grid"/>
    <w:basedOn w:val="Navadnatabe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zija">
    <w:name w:val="Revision"/>
    <w:hidden/>
    <w:uiPriority w:val="99"/>
    <w:semiHidden/>
    <w:rsid w:val="003501CC"/>
    <w:pPr>
      <w:spacing w:after="0" w:line="240" w:lineRule="auto"/>
    </w:pPr>
  </w:style>
  <w:style w:type="character" w:styleId="Hiperpovezava">
    <w:name w:val="Hyperlink"/>
    <w:basedOn w:val="Privzetapisavaodstavka"/>
    <w:uiPriority w:val="99"/>
    <w:unhideWhenUsed/>
    <w:rsid w:val="00344CD9"/>
    <w:rPr>
      <w:color w:val="467886" w:themeColor="hyperlink"/>
      <w:u w:val="single"/>
    </w:rPr>
  </w:style>
  <w:style w:type="character" w:styleId="Nerazreenaomemba">
    <w:name w:val="Unresolved Mention"/>
    <w:basedOn w:val="Privzetapisavaodstavka"/>
    <w:uiPriority w:val="99"/>
    <w:semiHidden/>
    <w:unhideWhenUsed/>
    <w:rsid w:val="00344CD9"/>
    <w:rPr>
      <w:color w:val="605E5C"/>
      <w:shd w:val="clear" w:color="auto" w:fill="E1DFDD"/>
    </w:rPr>
  </w:style>
  <w:style w:type="paragraph" w:customStyle="1" w:styleId="paragraph">
    <w:name w:val="paragraph"/>
    <w:basedOn w:val="Navaden"/>
    <w:rsid w:val="00343B43"/>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Privzetapisavaodstavka"/>
    <w:rsid w:val="00343B43"/>
  </w:style>
  <w:style w:type="character" w:customStyle="1" w:styleId="eop">
    <w:name w:val="eop"/>
    <w:basedOn w:val="Privzetapisavaodstavka"/>
    <w:rsid w:val="00343B43"/>
  </w:style>
  <w:style w:type="character" w:styleId="SledenaHiperpovezava">
    <w:name w:val="FollowedHyperlink"/>
    <w:basedOn w:val="Privzetapisavaodstavka"/>
    <w:uiPriority w:val="99"/>
    <w:semiHidden/>
    <w:unhideWhenUsed/>
    <w:rsid w:val="00E35B40"/>
    <w:rPr>
      <w:color w:val="96607D" w:themeColor="followedHyperlink"/>
      <w:u w:val="single"/>
    </w:rPr>
  </w:style>
  <w:style w:type="character" w:styleId="Pripombasklic">
    <w:name w:val="annotation reference"/>
    <w:basedOn w:val="Privzetapisavaodstavka"/>
    <w:uiPriority w:val="99"/>
    <w:semiHidden/>
    <w:unhideWhenUsed/>
    <w:rsid w:val="00470F5F"/>
    <w:rPr>
      <w:sz w:val="16"/>
      <w:szCs w:val="16"/>
    </w:rPr>
  </w:style>
  <w:style w:type="paragraph" w:styleId="Pripombabesedilo">
    <w:name w:val="annotation text"/>
    <w:basedOn w:val="Navaden"/>
    <w:link w:val="PripombabesediloZnak"/>
    <w:uiPriority w:val="99"/>
    <w:unhideWhenUsed/>
    <w:rsid w:val="00470F5F"/>
    <w:pPr>
      <w:spacing w:line="240" w:lineRule="auto"/>
    </w:pPr>
    <w:rPr>
      <w:sz w:val="20"/>
      <w:szCs w:val="20"/>
    </w:rPr>
  </w:style>
  <w:style w:type="character" w:customStyle="1" w:styleId="PripombabesediloZnak">
    <w:name w:val="Pripomba – besedilo Znak"/>
    <w:basedOn w:val="Privzetapisavaodstavka"/>
    <w:link w:val="Pripombabesedilo"/>
    <w:uiPriority w:val="99"/>
    <w:rsid w:val="00470F5F"/>
    <w:rPr>
      <w:sz w:val="20"/>
      <w:szCs w:val="20"/>
    </w:rPr>
  </w:style>
  <w:style w:type="paragraph" w:styleId="Zadevapripombe">
    <w:name w:val="annotation subject"/>
    <w:basedOn w:val="Pripombabesedilo"/>
    <w:next w:val="Pripombabesedilo"/>
    <w:link w:val="ZadevapripombeZnak"/>
    <w:uiPriority w:val="99"/>
    <w:semiHidden/>
    <w:unhideWhenUsed/>
    <w:rsid w:val="00470F5F"/>
    <w:rPr>
      <w:b/>
      <w:bCs/>
    </w:rPr>
  </w:style>
  <w:style w:type="character" w:customStyle="1" w:styleId="ZadevapripombeZnak">
    <w:name w:val="Zadeva pripombe Znak"/>
    <w:basedOn w:val="PripombabesediloZnak"/>
    <w:link w:val="Zadevapripombe"/>
    <w:uiPriority w:val="99"/>
    <w:semiHidden/>
    <w:rsid w:val="00470F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61077">
      <w:bodyDiv w:val="1"/>
      <w:marLeft w:val="0"/>
      <w:marRight w:val="0"/>
      <w:marTop w:val="0"/>
      <w:marBottom w:val="0"/>
      <w:divBdr>
        <w:top w:val="none" w:sz="0" w:space="0" w:color="auto"/>
        <w:left w:val="none" w:sz="0" w:space="0" w:color="auto"/>
        <w:bottom w:val="none" w:sz="0" w:space="0" w:color="auto"/>
        <w:right w:val="none" w:sz="0" w:space="0" w:color="auto"/>
      </w:divBdr>
      <w:divsChild>
        <w:div w:id="899632653">
          <w:marLeft w:val="0"/>
          <w:marRight w:val="0"/>
          <w:marTop w:val="0"/>
          <w:marBottom w:val="0"/>
          <w:divBdr>
            <w:top w:val="none" w:sz="0" w:space="0" w:color="auto"/>
            <w:left w:val="none" w:sz="0" w:space="0" w:color="auto"/>
            <w:bottom w:val="none" w:sz="0" w:space="0" w:color="auto"/>
            <w:right w:val="none" w:sz="0" w:space="0" w:color="auto"/>
          </w:divBdr>
        </w:div>
        <w:div w:id="1834252963">
          <w:marLeft w:val="0"/>
          <w:marRight w:val="0"/>
          <w:marTop w:val="0"/>
          <w:marBottom w:val="0"/>
          <w:divBdr>
            <w:top w:val="none" w:sz="0" w:space="0" w:color="auto"/>
            <w:left w:val="none" w:sz="0" w:space="0" w:color="auto"/>
            <w:bottom w:val="none" w:sz="0" w:space="0" w:color="auto"/>
            <w:right w:val="none" w:sz="0" w:space="0" w:color="auto"/>
          </w:divBdr>
        </w:div>
        <w:div w:id="1701324154">
          <w:marLeft w:val="0"/>
          <w:marRight w:val="0"/>
          <w:marTop w:val="0"/>
          <w:marBottom w:val="0"/>
          <w:divBdr>
            <w:top w:val="none" w:sz="0" w:space="0" w:color="auto"/>
            <w:left w:val="none" w:sz="0" w:space="0" w:color="auto"/>
            <w:bottom w:val="none" w:sz="0" w:space="0" w:color="auto"/>
            <w:right w:val="none" w:sz="0" w:space="0" w:color="auto"/>
          </w:divBdr>
        </w:div>
        <w:div w:id="1596396942">
          <w:marLeft w:val="0"/>
          <w:marRight w:val="0"/>
          <w:marTop w:val="0"/>
          <w:marBottom w:val="0"/>
          <w:divBdr>
            <w:top w:val="none" w:sz="0" w:space="0" w:color="auto"/>
            <w:left w:val="none" w:sz="0" w:space="0" w:color="auto"/>
            <w:bottom w:val="none" w:sz="0" w:space="0" w:color="auto"/>
            <w:right w:val="none" w:sz="0" w:space="0" w:color="auto"/>
          </w:divBdr>
        </w:div>
        <w:div w:id="2099670593">
          <w:marLeft w:val="0"/>
          <w:marRight w:val="0"/>
          <w:marTop w:val="0"/>
          <w:marBottom w:val="0"/>
          <w:divBdr>
            <w:top w:val="none" w:sz="0" w:space="0" w:color="auto"/>
            <w:left w:val="none" w:sz="0" w:space="0" w:color="auto"/>
            <w:bottom w:val="none" w:sz="0" w:space="0" w:color="auto"/>
            <w:right w:val="none" w:sz="0" w:space="0" w:color="auto"/>
          </w:divBdr>
        </w:div>
        <w:div w:id="1370372665">
          <w:marLeft w:val="0"/>
          <w:marRight w:val="0"/>
          <w:marTop w:val="0"/>
          <w:marBottom w:val="0"/>
          <w:divBdr>
            <w:top w:val="none" w:sz="0" w:space="0" w:color="auto"/>
            <w:left w:val="none" w:sz="0" w:space="0" w:color="auto"/>
            <w:bottom w:val="none" w:sz="0" w:space="0" w:color="auto"/>
            <w:right w:val="none" w:sz="0" w:space="0" w:color="auto"/>
          </w:divBdr>
        </w:div>
        <w:div w:id="614867433">
          <w:marLeft w:val="0"/>
          <w:marRight w:val="0"/>
          <w:marTop w:val="0"/>
          <w:marBottom w:val="0"/>
          <w:divBdr>
            <w:top w:val="none" w:sz="0" w:space="0" w:color="auto"/>
            <w:left w:val="none" w:sz="0" w:space="0" w:color="auto"/>
            <w:bottom w:val="none" w:sz="0" w:space="0" w:color="auto"/>
            <w:right w:val="none" w:sz="0" w:space="0" w:color="auto"/>
          </w:divBdr>
        </w:div>
        <w:div w:id="188183774">
          <w:marLeft w:val="0"/>
          <w:marRight w:val="0"/>
          <w:marTop w:val="0"/>
          <w:marBottom w:val="0"/>
          <w:divBdr>
            <w:top w:val="none" w:sz="0" w:space="0" w:color="auto"/>
            <w:left w:val="none" w:sz="0" w:space="0" w:color="auto"/>
            <w:bottom w:val="none" w:sz="0" w:space="0" w:color="auto"/>
            <w:right w:val="none" w:sz="0" w:space="0" w:color="auto"/>
          </w:divBdr>
        </w:div>
        <w:div w:id="412557077">
          <w:marLeft w:val="0"/>
          <w:marRight w:val="0"/>
          <w:marTop w:val="0"/>
          <w:marBottom w:val="0"/>
          <w:divBdr>
            <w:top w:val="none" w:sz="0" w:space="0" w:color="auto"/>
            <w:left w:val="none" w:sz="0" w:space="0" w:color="auto"/>
            <w:bottom w:val="none" w:sz="0" w:space="0" w:color="auto"/>
            <w:right w:val="none" w:sz="0" w:space="0" w:color="auto"/>
          </w:divBdr>
        </w:div>
        <w:div w:id="1837458162">
          <w:marLeft w:val="0"/>
          <w:marRight w:val="0"/>
          <w:marTop w:val="0"/>
          <w:marBottom w:val="0"/>
          <w:divBdr>
            <w:top w:val="none" w:sz="0" w:space="0" w:color="auto"/>
            <w:left w:val="none" w:sz="0" w:space="0" w:color="auto"/>
            <w:bottom w:val="none" w:sz="0" w:space="0" w:color="auto"/>
            <w:right w:val="none" w:sz="0" w:space="0" w:color="auto"/>
          </w:divBdr>
        </w:div>
        <w:div w:id="141822976">
          <w:marLeft w:val="0"/>
          <w:marRight w:val="0"/>
          <w:marTop w:val="0"/>
          <w:marBottom w:val="0"/>
          <w:divBdr>
            <w:top w:val="none" w:sz="0" w:space="0" w:color="auto"/>
            <w:left w:val="none" w:sz="0" w:space="0" w:color="auto"/>
            <w:bottom w:val="none" w:sz="0" w:space="0" w:color="auto"/>
            <w:right w:val="none" w:sz="0" w:space="0" w:color="auto"/>
          </w:divBdr>
        </w:div>
        <w:div w:id="2026513510">
          <w:marLeft w:val="0"/>
          <w:marRight w:val="0"/>
          <w:marTop w:val="0"/>
          <w:marBottom w:val="0"/>
          <w:divBdr>
            <w:top w:val="none" w:sz="0" w:space="0" w:color="auto"/>
            <w:left w:val="none" w:sz="0" w:space="0" w:color="auto"/>
            <w:bottom w:val="none" w:sz="0" w:space="0" w:color="auto"/>
            <w:right w:val="none" w:sz="0" w:space="0" w:color="auto"/>
          </w:divBdr>
        </w:div>
        <w:div w:id="2058045554">
          <w:marLeft w:val="0"/>
          <w:marRight w:val="0"/>
          <w:marTop w:val="0"/>
          <w:marBottom w:val="0"/>
          <w:divBdr>
            <w:top w:val="none" w:sz="0" w:space="0" w:color="auto"/>
            <w:left w:val="none" w:sz="0" w:space="0" w:color="auto"/>
            <w:bottom w:val="none" w:sz="0" w:space="0" w:color="auto"/>
            <w:right w:val="none" w:sz="0" w:space="0" w:color="auto"/>
          </w:divBdr>
        </w:div>
        <w:div w:id="1447581272">
          <w:marLeft w:val="0"/>
          <w:marRight w:val="0"/>
          <w:marTop w:val="0"/>
          <w:marBottom w:val="0"/>
          <w:divBdr>
            <w:top w:val="none" w:sz="0" w:space="0" w:color="auto"/>
            <w:left w:val="none" w:sz="0" w:space="0" w:color="auto"/>
            <w:bottom w:val="none" w:sz="0" w:space="0" w:color="auto"/>
            <w:right w:val="none" w:sz="0" w:space="0" w:color="auto"/>
          </w:divBdr>
        </w:div>
        <w:div w:id="243690376">
          <w:marLeft w:val="0"/>
          <w:marRight w:val="0"/>
          <w:marTop w:val="0"/>
          <w:marBottom w:val="0"/>
          <w:divBdr>
            <w:top w:val="none" w:sz="0" w:space="0" w:color="auto"/>
            <w:left w:val="none" w:sz="0" w:space="0" w:color="auto"/>
            <w:bottom w:val="none" w:sz="0" w:space="0" w:color="auto"/>
            <w:right w:val="none" w:sz="0" w:space="0" w:color="auto"/>
          </w:divBdr>
        </w:div>
        <w:div w:id="2007200697">
          <w:marLeft w:val="0"/>
          <w:marRight w:val="0"/>
          <w:marTop w:val="0"/>
          <w:marBottom w:val="0"/>
          <w:divBdr>
            <w:top w:val="none" w:sz="0" w:space="0" w:color="auto"/>
            <w:left w:val="none" w:sz="0" w:space="0" w:color="auto"/>
            <w:bottom w:val="none" w:sz="0" w:space="0" w:color="auto"/>
            <w:right w:val="none" w:sz="0" w:space="0" w:color="auto"/>
          </w:divBdr>
        </w:div>
        <w:div w:id="845243736">
          <w:marLeft w:val="0"/>
          <w:marRight w:val="0"/>
          <w:marTop w:val="0"/>
          <w:marBottom w:val="0"/>
          <w:divBdr>
            <w:top w:val="none" w:sz="0" w:space="0" w:color="auto"/>
            <w:left w:val="none" w:sz="0" w:space="0" w:color="auto"/>
            <w:bottom w:val="none" w:sz="0" w:space="0" w:color="auto"/>
            <w:right w:val="none" w:sz="0" w:space="0" w:color="auto"/>
          </w:divBdr>
        </w:div>
        <w:div w:id="2022537345">
          <w:marLeft w:val="0"/>
          <w:marRight w:val="0"/>
          <w:marTop w:val="0"/>
          <w:marBottom w:val="0"/>
          <w:divBdr>
            <w:top w:val="none" w:sz="0" w:space="0" w:color="auto"/>
            <w:left w:val="none" w:sz="0" w:space="0" w:color="auto"/>
            <w:bottom w:val="none" w:sz="0" w:space="0" w:color="auto"/>
            <w:right w:val="none" w:sz="0" w:space="0" w:color="auto"/>
          </w:divBdr>
        </w:div>
        <w:div w:id="320500022">
          <w:marLeft w:val="0"/>
          <w:marRight w:val="0"/>
          <w:marTop w:val="0"/>
          <w:marBottom w:val="0"/>
          <w:divBdr>
            <w:top w:val="none" w:sz="0" w:space="0" w:color="auto"/>
            <w:left w:val="none" w:sz="0" w:space="0" w:color="auto"/>
            <w:bottom w:val="none" w:sz="0" w:space="0" w:color="auto"/>
            <w:right w:val="none" w:sz="0" w:space="0" w:color="auto"/>
          </w:divBdr>
        </w:div>
        <w:div w:id="1181050280">
          <w:marLeft w:val="0"/>
          <w:marRight w:val="0"/>
          <w:marTop w:val="0"/>
          <w:marBottom w:val="0"/>
          <w:divBdr>
            <w:top w:val="none" w:sz="0" w:space="0" w:color="auto"/>
            <w:left w:val="none" w:sz="0" w:space="0" w:color="auto"/>
            <w:bottom w:val="none" w:sz="0" w:space="0" w:color="auto"/>
            <w:right w:val="none" w:sz="0" w:space="0" w:color="auto"/>
          </w:divBdr>
        </w:div>
        <w:div w:id="24446342">
          <w:marLeft w:val="0"/>
          <w:marRight w:val="0"/>
          <w:marTop w:val="0"/>
          <w:marBottom w:val="0"/>
          <w:divBdr>
            <w:top w:val="none" w:sz="0" w:space="0" w:color="auto"/>
            <w:left w:val="none" w:sz="0" w:space="0" w:color="auto"/>
            <w:bottom w:val="none" w:sz="0" w:space="0" w:color="auto"/>
            <w:right w:val="none" w:sz="0" w:space="0" w:color="auto"/>
          </w:divBdr>
        </w:div>
        <w:div w:id="2147042661">
          <w:marLeft w:val="0"/>
          <w:marRight w:val="0"/>
          <w:marTop w:val="0"/>
          <w:marBottom w:val="0"/>
          <w:divBdr>
            <w:top w:val="none" w:sz="0" w:space="0" w:color="auto"/>
            <w:left w:val="none" w:sz="0" w:space="0" w:color="auto"/>
            <w:bottom w:val="none" w:sz="0" w:space="0" w:color="auto"/>
            <w:right w:val="none" w:sz="0" w:space="0" w:color="auto"/>
          </w:divBdr>
        </w:div>
        <w:div w:id="1260871022">
          <w:marLeft w:val="0"/>
          <w:marRight w:val="0"/>
          <w:marTop w:val="0"/>
          <w:marBottom w:val="0"/>
          <w:divBdr>
            <w:top w:val="none" w:sz="0" w:space="0" w:color="auto"/>
            <w:left w:val="none" w:sz="0" w:space="0" w:color="auto"/>
            <w:bottom w:val="none" w:sz="0" w:space="0" w:color="auto"/>
            <w:right w:val="none" w:sz="0" w:space="0" w:color="auto"/>
          </w:divBdr>
        </w:div>
        <w:div w:id="1680544793">
          <w:marLeft w:val="0"/>
          <w:marRight w:val="0"/>
          <w:marTop w:val="0"/>
          <w:marBottom w:val="0"/>
          <w:divBdr>
            <w:top w:val="none" w:sz="0" w:space="0" w:color="auto"/>
            <w:left w:val="none" w:sz="0" w:space="0" w:color="auto"/>
            <w:bottom w:val="none" w:sz="0" w:space="0" w:color="auto"/>
            <w:right w:val="none" w:sz="0" w:space="0" w:color="auto"/>
          </w:divBdr>
        </w:div>
        <w:div w:id="402682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ecd.org/content/dam/oecd/en/publications/reports/2023/05/public-employment-and-management-2023_a8f17605/5b378e11-en.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dx.doi.org/10.1787/9789264166707-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i/assets/ministrstva/MJU/SUKV/VKM/Prirocnik-za-uporabo-kompetencnega-modela-ter-presojanje-in-razvoj-kompetenc-za-kadrovike.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oc.kuleuven.be/io/pubpdf/IO06060041_OpdeBeeckSophie_20100407_IRSPM.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2.jpg@01DB6752.1DC43A20" TargetMode="External"/><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image" Target="media/image4.jpeg"/><Relationship Id="rId4" Type="http://schemas.openxmlformats.org/officeDocument/2006/relationships/image" Target="cid:image001.png@01DB6752.1DC43A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58F1379ADF6E48A6EE5BC6565A8651" ma:contentTypeVersion="13" ma:contentTypeDescription="Create a new document." ma:contentTypeScope="" ma:versionID="f2aa70572a956d74baf313a01822a884">
  <xsd:schema xmlns:xsd="http://www.w3.org/2001/XMLSchema" xmlns:xs="http://www.w3.org/2001/XMLSchema" xmlns:p="http://schemas.microsoft.com/office/2006/metadata/properties" xmlns:ns2="39cdf624-3664-4d71-8fd9-df6106b3a3f2" xmlns:ns3="03c61128-1d90-4aa8-a6ab-2231e8943c71" targetNamespace="http://schemas.microsoft.com/office/2006/metadata/properties" ma:root="true" ma:fieldsID="db99f9d9156343844a61276132f3435b" ns2:_="" ns3:_="">
    <xsd:import namespace="39cdf624-3664-4d71-8fd9-df6106b3a3f2"/>
    <xsd:import namespace="03c61128-1d90-4aa8-a6ab-2231e8943c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df624-3664-4d71-8fd9-df6106b3a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71ee408-f3aa-436f-b9de-51d3cc51a99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c61128-1d90-4aa8-a6ab-2231e8943c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0ed577-e6b8-47cb-a3f4-94ffca8f22d7}" ma:internalName="TaxCatchAll" ma:showField="CatchAllData" ma:web="03c61128-1d90-4aa8-a6ab-2231e8943c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cdf624-3664-4d71-8fd9-df6106b3a3f2">
      <Terms xmlns="http://schemas.microsoft.com/office/infopath/2007/PartnerControls"/>
    </lcf76f155ced4ddcb4097134ff3c332f>
    <TaxCatchAll xmlns="03c61128-1d90-4aa8-a6ab-2231e8943c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D51688-237F-4E53-B6A5-96EA9AD3D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df624-3664-4d71-8fd9-df6106b3a3f2"/>
    <ds:schemaRef ds:uri="03c61128-1d90-4aa8-a6ab-2231e8943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D47D37-EE56-489D-B610-D1CD31785251}">
  <ds:schemaRefs>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39cdf624-3664-4d71-8fd9-df6106b3a3f2"/>
    <ds:schemaRef ds:uri="03c61128-1d90-4aa8-a6ab-2231e8943c71"/>
    <ds:schemaRef ds:uri="http://purl.org/dc/dcmitype/"/>
  </ds:schemaRefs>
</ds:datastoreItem>
</file>

<file path=customXml/itemProps3.xml><?xml version="1.0" encoding="utf-8"?>
<ds:datastoreItem xmlns:ds="http://schemas.openxmlformats.org/officeDocument/2006/customXml" ds:itemID="{A5BCCC1E-2798-4BC5-B94E-4EAF42215F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1445</Words>
  <Characters>9803</Characters>
  <Application>Microsoft Office Word</Application>
  <DocSecurity>0</DocSecurity>
  <Lines>81</Lines>
  <Paragraphs>22</Paragraphs>
  <ScaleCrop>false</ScaleCrop>
  <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Babič</dc:creator>
  <cp:keywords/>
  <dc:description/>
  <cp:lastModifiedBy>Eva Calligaro</cp:lastModifiedBy>
  <cp:revision>3</cp:revision>
  <dcterms:created xsi:type="dcterms:W3CDTF">2025-09-05T06:00:00Z</dcterms:created>
  <dcterms:modified xsi:type="dcterms:W3CDTF">2025-09-05T11:24:00Z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0x0101003758F1379ADF6E48A6EE5BC6565A8651</vt:lpwstr>
  </property>
  <property fmtid="{D5CDD505-2E9C-101B-9397-08002B2CF9AE}" pid="3" name="MediaServiceImageTags">
    <vt:lpwstr/>
  </property>
  <property fmtid="{D5CDD505-2E9C-101B-9397-08002B2CF9AE}" pid="4" name="GrammarlyDocumentId">
    <vt:lpwstr>f444de15-99ba-475c-94f6-55d533f0399f</vt:lpwstr>
  </property>
</Properties>
</file>