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FCDD" w14:textId="77777777" w:rsidR="00011135" w:rsidRPr="008F56FB" w:rsidRDefault="00011135" w:rsidP="00235692">
      <w:pPr>
        <w:rPr>
          <w:rFonts w:ascii="Arial" w:hAnsi="Arial" w:cs="Arial"/>
          <w:sz w:val="20"/>
          <w:szCs w:val="20"/>
        </w:rPr>
      </w:pPr>
      <w:bookmarkStart w:id="0" w:name="_Hlk511813823"/>
    </w:p>
    <w:p w14:paraId="5173D2FE" w14:textId="77777777" w:rsidR="00056CF8" w:rsidRDefault="00056CF8" w:rsidP="006D0D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26224847"/>
    </w:p>
    <w:p w14:paraId="727F036B" w14:textId="23ECE0AB" w:rsidR="006D0D38" w:rsidRPr="008F56FB" w:rsidRDefault="006D0D38" w:rsidP="006D0D3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8F56FB">
        <w:rPr>
          <w:rFonts w:ascii="Arial" w:hAnsi="Arial" w:cs="Arial"/>
          <w:b/>
          <w:bCs/>
          <w:sz w:val="20"/>
          <w:szCs w:val="20"/>
        </w:rPr>
        <w:t xml:space="preserve">Javni razpis za krepitev aktivnih državljanskih pravic in </w:t>
      </w:r>
      <w:proofErr w:type="spellStart"/>
      <w:r w:rsidRPr="008F56FB">
        <w:rPr>
          <w:rFonts w:ascii="Arial" w:hAnsi="Arial" w:cs="Arial"/>
          <w:b/>
          <w:bCs/>
          <w:sz w:val="20"/>
          <w:szCs w:val="20"/>
        </w:rPr>
        <w:t>opolnomočenje</w:t>
      </w:r>
      <w:proofErr w:type="spellEnd"/>
      <w:r w:rsidRPr="008F56FB">
        <w:rPr>
          <w:rFonts w:ascii="Arial" w:hAnsi="Arial" w:cs="Arial"/>
          <w:b/>
          <w:bCs/>
          <w:sz w:val="20"/>
          <w:szCs w:val="20"/>
        </w:rPr>
        <w:t xml:space="preserve"> nevladnih organizacij na tem področju</w:t>
      </w:r>
    </w:p>
    <w:bookmarkEnd w:id="1"/>
    <w:p w14:paraId="31725C08" w14:textId="0EAE3747" w:rsidR="000B55B6" w:rsidRDefault="000B55B6" w:rsidP="0023569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56FB">
        <w:rPr>
          <w:rFonts w:ascii="Arial" w:hAnsi="Arial" w:cs="Arial"/>
          <w:b/>
          <w:bCs/>
          <w:sz w:val="20"/>
          <w:szCs w:val="20"/>
        </w:rPr>
        <w:t>V P R A Š A N J A  I N  O D G O V O R I</w:t>
      </w:r>
    </w:p>
    <w:p w14:paraId="4C8B59FC" w14:textId="3664B5B5" w:rsidR="00F76A0F" w:rsidRPr="00F76A0F" w:rsidRDefault="00F76A0F" w:rsidP="00F76A0F">
      <w:pPr>
        <w:pStyle w:val="Odstavekseznam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(18. 4. 2023, 4. 5. 2023)</w:t>
      </w:r>
    </w:p>
    <w:bookmarkEnd w:id="0"/>
    <w:p w14:paraId="0B4173F4" w14:textId="77777777" w:rsidR="000B55B6" w:rsidRPr="008F56FB" w:rsidRDefault="000B55B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28"/>
        <w:gridCol w:w="3060"/>
        <w:gridCol w:w="1270"/>
        <w:gridCol w:w="4814"/>
      </w:tblGrid>
      <w:tr w:rsidR="00127B36" w:rsidRPr="008F56FB" w14:paraId="3A6F4D08" w14:textId="77777777" w:rsidTr="00220975">
        <w:tc>
          <w:tcPr>
            <w:tcW w:w="321" w:type="pct"/>
            <w:shd w:val="clear" w:color="auto" w:fill="EDEDED" w:themeFill="accent3" w:themeFillTint="33"/>
          </w:tcPr>
          <w:p w14:paraId="4F883D06" w14:textId="3E84D374" w:rsidR="00127B36" w:rsidRPr="008F56FB" w:rsidRDefault="00127B36" w:rsidP="00127B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5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</w:t>
            </w:r>
            <w:proofErr w:type="spellEnd"/>
            <w:r w:rsidRPr="008F5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1566" w:type="pct"/>
            <w:shd w:val="clear" w:color="auto" w:fill="EDEDED" w:themeFill="accent3" w:themeFillTint="33"/>
          </w:tcPr>
          <w:p w14:paraId="3899E1C0" w14:textId="37C038CE" w:rsidR="00127B36" w:rsidRPr="008F56FB" w:rsidRDefault="00127B36" w:rsidP="00127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Vprašanje</w:t>
            </w:r>
          </w:p>
        </w:tc>
        <w:tc>
          <w:tcPr>
            <w:tcW w:w="650" w:type="pct"/>
            <w:shd w:val="clear" w:color="auto" w:fill="EDEDED" w:themeFill="accent3" w:themeFillTint="33"/>
          </w:tcPr>
          <w:p w14:paraId="02766309" w14:textId="03F0704E" w:rsidR="00127B36" w:rsidRPr="008F56FB" w:rsidRDefault="00127B36" w:rsidP="00127B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Sklop</w:t>
            </w:r>
          </w:p>
        </w:tc>
        <w:tc>
          <w:tcPr>
            <w:tcW w:w="2463" w:type="pct"/>
            <w:shd w:val="clear" w:color="auto" w:fill="EDEDED" w:themeFill="accent3" w:themeFillTint="33"/>
          </w:tcPr>
          <w:p w14:paraId="12C21369" w14:textId="1A0BB569" w:rsidR="00127B36" w:rsidRPr="008F56FB" w:rsidRDefault="00127B36" w:rsidP="00127B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Odgovor</w:t>
            </w:r>
          </w:p>
        </w:tc>
      </w:tr>
      <w:tr w:rsidR="00127B36" w:rsidRPr="008F56FB" w14:paraId="54E647D1" w14:textId="1602E15D" w:rsidTr="00220975">
        <w:tc>
          <w:tcPr>
            <w:tcW w:w="321" w:type="pct"/>
          </w:tcPr>
          <w:p w14:paraId="690A1155" w14:textId="77777777" w:rsidR="00127B36" w:rsidRPr="008F56FB" w:rsidRDefault="00127B36" w:rsidP="000B55B6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6" w:type="pct"/>
          </w:tcPr>
          <w:p w14:paraId="5B22C25A" w14:textId="3C640BF9" w:rsidR="00127B36" w:rsidRPr="008F56FB" w:rsidRDefault="00127B36" w:rsidP="00127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Želimo se prijaviti na SKLOP E. Letni prihodki za 2022 so presegli 150.000. V razpisu smo torej za sklop E uvrščeni med dobro razvite nevladne organizacije. Glede na to, da je naš fokus delovanja v občini in si na lokalnem nivoju prizadevamo za dvig participacije vseh občanov, seveda nimamo namena projekta izvajati na nacionalni ravni. Ali lahko organizacija, ki sodi v kategorijo »dobro razvita organizacija« izvaja projekt samo na lokalni ravni?</w:t>
            </w:r>
          </w:p>
        </w:tc>
        <w:tc>
          <w:tcPr>
            <w:tcW w:w="650" w:type="pct"/>
          </w:tcPr>
          <w:p w14:paraId="5F86E404" w14:textId="4368B9B3" w:rsidR="00127B36" w:rsidRPr="008F56FB" w:rsidRDefault="00127B36" w:rsidP="00127B3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 </w:t>
            </w:r>
          </w:p>
        </w:tc>
        <w:tc>
          <w:tcPr>
            <w:tcW w:w="2463" w:type="pct"/>
          </w:tcPr>
          <w:p w14:paraId="0404B9F2" w14:textId="77777777" w:rsidR="00127B36" w:rsidRPr="008F56FB" w:rsidRDefault="00127B36" w:rsidP="00127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31420041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V okviru SKLOPA E se sofinancirajo 48-mesečni programi in ne projekti. Za SKLOP E2 se predvideva usmerjenost na nacionalno raven, zato v okviru predmetnega javnega razpisa dobro razvita organizacija ne more prejeti sofinanciranja za izvedbo programa, ki bi se izvajal samo na lokalni ravni.</w:t>
            </w:r>
          </w:p>
          <w:bookmarkEnd w:id="2"/>
          <w:p w14:paraId="078C70F9" w14:textId="77777777" w:rsidR="00127B36" w:rsidRPr="008F56FB" w:rsidRDefault="00127B36" w:rsidP="00127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B36" w:rsidRPr="008F56FB" w14:paraId="0DACDDC9" w14:textId="31D6BF2C" w:rsidTr="00220975">
        <w:tc>
          <w:tcPr>
            <w:tcW w:w="321" w:type="pct"/>
          </w:tcPr>
          <w:p w14:paraId="215DF904" w14:textId="7C28116B" w:rsidR="00127B36" w:rsidRPr="008F56FB" w:rsidRDefault="00127B36" w:rsidP="000B55B6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6" w:type="pct"/>
          </w:tcPr>
          <w:p w14:paraId="4446697C" w14:textId="0E4253B8" w:rsidR="00127B36" w:rsidRPr="008F56FB" w:rsidRDefault="00127B36" w:rsidP="006B26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Ali se za kombinirano usposabljanje upošteva tudi primer, ko prijavitelj izvede eno usposabljanje samo on-line in drugo usposabljanje v obliki študijskega obiska? Pri čemer gre pri obeh delih za dva različna "izvajalca". Teoretični del bi izvajala organizacija iz Irske (samo on line), študijski obisk pa bi izvedli v Avstriji?</w:t>
            </w:r>
          </w:p>
        </w:tc>
        <w:tc>
          <w:tcPr>
            <w:tcW w:w="650" w:type="pct"/>
          </w:tcPr>
          <w:p w14:paraId="5C499383" w14:textId="23A8CEE9" w:rsidR="00127B36" w:rsidRPr="008F56FB" w:rsidRDefault="00127B36" w:rsidP="006B263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463" w:type="pct"/>
          </w:tcPr>
          <w:p w14:paraId="1670D61A" w14:textId="5C9529D2" w:rsidR="00127B36" w:rsidRPr="008F56FB" w:rsidRDefault="006B2632" w:rsidP="006B26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V okviru SKLOPA C so upravičena zgolj kombinirana usposabljanja. V kolikor gre za več aktivnosti znotraj istega usposabljanja (isti udeleženci, vsebine, ki se povezujejo/nadgrajujejo) in je takšna izvedba predvidena v »ponudbi« izvajalca usposabljanja, je opisana izvedba upravičena. V primeru, da gre v opisanem primeru za več usposabljanj, samo on-line usposabljanja niso upravičena. </w:t>
            </w:r>
          </w:p>
        </w:tc>
      </w:tr>
      <w:tr w:rsidR="00127B36" w:rsidRPr="008F56FB" w14:paraId="48B228A4" w14:textId="01D25221" w:rsidTr="00220975">
        <w:tc>
          <w:tcPr>
            <w:tcW w:w="321" w:type="pct"/>
          </w:tcPr>
          <w:p w14:paraId="3BC52FA7" w14:textId="77777777" w:rsidR="00127B36" w:rsidRPr="008F56FB" w:rsidRDefault="00127B36" w:rsidP="000B55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6" w:type="pct"/>
          </w:tcPr>
          <w:p w14:paraId="27A22B2E" w14:textId="4E1E863E" w:rsidR="006B2632" w:rsidRPr="008F56FB" w:rsidRDefault="006B2632" w:rsidP="006B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Kako natančno mora biti opredeljeno v kateri državi se bo izvajalo usposabljanje? - Ali lahko navedemo dve države, glede na to, da trenutno še ni potrjena dokončna lokacija izvajanja usposabljanja?</w:t>
            </w:r>
          </w:p>
        </w:tc>
        <w:tc>
          <w:tcPr>
            <w:tcW w:w="650" w:type="pct"/>
          </w:tcPr>
          <w:p w14:paraId="135F43A1" w14:textId="0410E52D" w:rsidR="00127B36" w:rsidRPr="008F56FB" w:rsidRDefault="006B2632" w:rsidP="006B2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463" w:type="pct"/>
          </w:tcPr>
          <w:p w14:paraId="7CA575AE" w14:textId="57ED1A9E" w:rsidR="00127B36" w:rsidRPr="008F56FB" w:rsidRDefault="006B2632" w:rsidP="002742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V lokaciji navedite naziv države, v kateri se bo izvajalo usposabljanje. V kolikor dokončna lokacija še ni potrjena, lahko navedete dve državi.</w:t>
            </w:r>
          </w:p>
        </w:tc>
      </w:tr>
      <w:tr w:rsidR="00127B36" w:rsidRPr="008F56FB" w14:paraId="04EAB93B" w14:textId="72A08F2B" w:rsidTr="00220975">
        <w:tc>
          <w:tcPr>
            <w:tcW w:w="321" w:type="pct"/>
          </w:tcPr>
          <w:p w14:paraId="75CDFB69" w14:textId="77777777" w:rsidR="00127B36" w:rsidRPr="008F56FB" w:rsidRDefault="00127B36" w:rsidP="000B55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517332405"/>
            <w:r w:rsidRPr="008F56F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6" w:type="pct"/>
          </w:tcPr>
          <w:p w14:paraId="2243420E" w14:textId="193FAB0B" w:rsidR="006B2632" w:rsidRPr="008F56FB" w:rsidRDefault="006B2632" w:rsidP="006B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V razpisni dokumentaciji </w:t>
            </w:r>
            <w:r w:rsidR="00C724FD">
              <w:rPr>
                <w:rFonts w:ascii="Arial" w:hAnsi="Arial" w:cs="Arial"/>
                <w:color w:val="000000"/>
                <w:sz w:val="20"/>
                <w:szCs w:val="20"/>
              </w:rPr>
              <w:t xml:space="preserve">za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SKLOP A1 je določeno, da je pogoj za partnerja v projektu, da izpolnjuje pogoje določene v 2.členu Zakona o nevladnih  organizacijah. </w:t>
            </w:r>
          </w:p>
          <w:p w14:paraId="0949CAFC" w14:textId="77777777" w:rsidR="006B2632" w:rsidRPr="008F56FB" w:rsidRDefault="006B2632" w:rsidP="006B26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90544B" w14:textId="18927D33" w:rsidR="00127B36" w:rsidRPr="008F56FB" w:rsidRDefault="006B2632" w:rsidP="00947A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Glede na  to, da je v 2.členu tega zakona zapisano, da Mladinski svet Slovenije NI nevladna organizacija,</w:t>
            </w:r>
            <w:r w:rsidR="00947AF8"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to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vključuje tudi </w:t>
            </w:r>
            <w:r w:rsidR="00947AF8" w:rsidRPr="008F56F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ladinske svete lokalne skupnosti. </w:t>
            </w:r>
          </w:p>
        </w:tc>
        <w:tc>
          <w:tcPr>
            <w:tcW w:w="650" w:type="pct"/>
          </w:tcPr>
          <w:p w14:paraId="5DFE6EBA" w14:textId="1395E11C" w:rsidR="00127B36" w:rsidRPr="008F56FB" w:rsidRDefault="00947AF8" w:rsidP="00947AF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A</w:t>
            </w:r>
          </w:p>
        </w:tc>
        <w:tc>
          <w:tcPr>
            <w:tcW w:w="2463" w:type="pct"/>
          </w:tcPr>
          <w:p w14:paraId="591D0B75" w14:textId="77777777" w:rsidR="00947AF8" w:rsidRPr="008F56FB" w:rsidRDefault="00947AF8" w:rsidP="00947A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_Hlk131425215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Peti (5) odstavek 2. člena </w:t>
            </w:r>
            <w:proofErr w:type="spellStart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ZNOrg</w:t>
            </w:r>
            <w:proofErr w:type="spellEnd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ne vključuje mladinskih svetov lokalnih skupnosti. Mladinski svet lokalne skupnosti je tako lahko partner pri SKLOPU A, če izpolnjuje vse pogoje iz 2. člena </w:t>
            </w:r>
            <w:proofErr w:type="spellStart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ZNOrg</w:t>
            </w:r>
            <w:proofErr w:type="spellEnd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druge pogoje, določene z besedilom javnega razpisa in razpisne dokumentacije.</w:t>
            </w:r>
          </w:p>
          <w:bookmarkEnd w:id="4"/>
          <w:p w14:paraId="14A1583D" w14:textId="77777777" w:rsidR="00127B36" w:rsidRPr="008F56FB" w:rsidRDefault="00127B36" w:rsidP="002742D1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127B36" w:rsidRPr="008F56FB" w14:paraId="3223B21B" w14:textId="0CC2DA21" w:rsidTr="00220975">
        <w:tc>
          <w:tcPr>
            <w:tcW w:w="321" w:type="pct"/>
          </w:tcPr>
          <w:p w14:paraId="3BD0AFE0" w14:textId="7A6DBDAF" w:rsidR="00127B36" w:rsidRPr="008F56FB" w:rsidRDefault="00127B36" w:rsidP="000B55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6" w:type="pct"/>
          </w:tcPr>
          <w:p w14:paraId="7764BB36" w14:textId="78F1B5FE" w:rsidR="00127B36" w:rsidRPr="008F56FB" w:rsidRDefault="00947AF8" w:rsidP="00687F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Ali lahko pri sklopu A kot partnerska organizacija tudi organizacija, ki ne bo deležna financiranja in vključena v finančni plan? </w:t>
            </w:r>
          </w:p>
        </w:tc>
        <w:tc>
          <w:tcPr>
            <w:tcW w:w="650" w:type="pct"/>
          </w:tcPr>
          <w:p w14:paraId="6E6EF7C2" w14:textId="6BDFBFB7" w:rsidR="00127B36" w:rsidRPr="008F56FB" w:rsidRDefault="00947AF8" w:rsidP="00947AF8">
            <w:pPr>
              <w:tabs>
                <w:tab w:val="left" w:pos="930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63" w:type="pct"/>
          </w:tcPr>
          <w:p w14:paraId="2A36DFC8" w14:textId="61CAEC57" w:rsidR="00127B36" w:rsidRPr="008F56FB" w:rsidRDefault="00947AF8" w:rsidP="00947A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Pri SKLOPU A lahko kot partnerji sodelujejo tudi organizacije, ki ne bodo deležne financiranja, v kolikor izpolnjujejo vse pogoje, določene z javnim razpisom in razpisno dokumentacijo.</w:t>
            </w:r>
          </w:p>
        </w:tc>
      </w:tr>
      <w:tr w:rsidR="00127B36" w:rsidRPr="008F56FB" w14:paraId="1D613D47" w14:textId="1633D38D" w:rsidTr="00220975">
        <w:tc>
          <w:tcPr>
            <w:tcW w:w="321" w:type="pct"/>
          </w:tcPr>
          <w:p w14:paraId="517E323C" w14:textId="49BDB324" w:rsidR="00127B36" w:rsidRPr="008F56FB" w:rsidRDefault="00127B36" w:rsidP="00B0422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6" w:type="pct"/>
          </w:tcPr>
          <w:p w14:paraId="166174F5" w14:textId="635C52C1" w:rsidR="00127B36" w:rsidRPr="008F56FB" w:rsidRDefault="00947AF8" w:rsidP="002742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Ali je mogoče, da se na javni razpis "za krepitev aktivnih državljanskih pravic in </w:t>
            </w:r>
            <w:proofErr w:type="spellStart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opolnomočenje</w:t>
            </w:r>
            <w:proofErr w:type="spellEnd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nevladnih organizacij na tem področju" nevladna organizacija prijavi kot prijavitelj pri enem projektu, hkrati pa se v istem razpisnem roku prijavi kot partner pri drugem projektu?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br/>
              <w:t>V kolikor je to dovoljeno ali morda obstajajo kakšne delne omejitve, na primer, da to ni mogoče, če se prijavlja za isti sklop, dovoljeno pa bi bilo, če gre za prijavo v dveh različnih sklopih?</w:t>
            </w:r>
          </w:p>
        </w:tc>
        <w:tc>
          <w:tcPr>
            <w:tcW w:w="650" w:type="pct"/>
          </w:tcPr>
          <w:p w14:paraId="5F60BDE1" w14:textId="51850B38" w:rsidR="00127B36" w:rsidRPr="008F56FB" w:rsidRDefault="00947AF8" w:rsidP="00947AF8">
            <w:pPr>
              <w:tabs>
                <w:tab w:val="left" w:pos="930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VSI SKLOPI</w:t>
            </w:r>
          </w:p>
        </w:tc>
        <w:tc>
          <w:tcPr>
            <w:tcW w:w="2463" w:type="pct"/>
          </w:tcPr>
          <w:p w14:paraId="39754EA0" w14:textId="26DEF699" w:rsidR="00947AF8" w:rsidRPr="008F56FB" w:rsidRDefault="00947AF8" w:rsidP="00947A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Skladno z besedilom javnega razpisa velja, da število vlog, pri katerih posamezna organizacija sodeluje kot partner</w:t>
            </w:r>
            <w:r w:rsidR="0086079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ni omejeno. Kot prijavitelj lahko posamezna organizacija na vsak rok odpiranja na vsak SKLOP</w:t>
            </w:r>
            <w:r w:rsidR="008607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predloži eno vlogo za sofinanciranje.</w:t>
            </w:r>
          </w:p>
          <w:p w14:paraId="5D477E2B" w14:textId="77777777" w:rsidR="00127B36" w:rsidRPr="008F56FB" w:rsidRDefault="00127B36" w:rsidP="004B6652">
            <w:pPr>
              <w:tabs>
                <w:tab w:val="left" w:pos="93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27B36" w:rsidRPr="008F56FB" w14:paraId="55E978EF" w14:textId="1AC02F6F" w:rsidTr="00220975">
        <w:tc>
          <w:tcPr>
            <w:tcW w:w="321" w:type="pct"/>
          </w:tcPr>
          <w:p w14:paraId="3AD0D08C" w14:textId="69695653" w:rsidR="00127B36" w:rsidRPr="008F56FB" w:rsidRDefault="00127B36" w:rsidP="008373C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6" w:type="pct"/>
          </w:tcPr>
          <w:p w14:paraId="73E18B0C" w14:textId="77777777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 javnega razpisa za sklop A je: </w:t>
            </w:r>
          </w:p>
          <w:p w14:paraId="2EA03529" w14:textId="77777777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242BA7" w14:textId="628C23E5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="00FB3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sofinanciranje izvedbe lokalnih (A1) in nacionalnih posvetovalnih eksperimentov/procesov (A2) na razvojnih področjih Strategije razvoja Slovenije 20</w:t>
            </w:r>
            <w:r w:rsidR="00FB386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kot so: </w:t>
            </w:r>
          </w:p>
          <w:p w14:paraId="2DAB83A1" w14:textId="531C94EA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="00FB3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kakovostno življenje za vse s poudarkom na dolgotrajni oskrbi in dostojnem delu, </w:t>
            </w:r>
          </w:p>
          <w:p w14:paraId="27E588CA" w14:textId="6FEC8D81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="00FB3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nizkoogljično</w:t>
            </w:r>
            <w:proofErr w:type="spellEnd"/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 krožno gospodarstvo,</w:t>
            </w:r>
          </w:p>
          <w:p w14:paraId="2BBD63EF" w14:textId="79264098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="00FB3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trajnostno upravljanje naravnih virov,</w:t>
            </w:r>
          </w:p>
          <w:p w14:paraId="1BAF844B" w14:textId="6130FFF3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 w:rsidR="00FB38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dostopno javno zdravje,</w:t>
            </w:r>
          </w:p>
          <w:p w14:paraId="3772FB20" w14:textId="2FD7FF9F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 xml:space="preserve">•medijski prostor in kultura.  </w:t>
            </w:r>
          </w:p>
          <w:p w14:paraId="5118D836" w14:textId="77777777" w:rsidR="00947AF8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DD4D18" w14:textId="4732A0ED" w:rsidR="00127B36" w:rsidRPr="008F56FB" w:rsidRDefault="00947AF8" w:rsidP="00947AF8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Glede na to, da ima Strategija razvoja Slovenije 2030 12 razvojnih področij, vas prosimo za pojasnilo, ali so do sofinanciranja v okviru tega razpisa upravičenih projekti na vseh 12 področij strategije ali gre zgolj za 5 naštetih področij v razpisu.</w:t>
            </w:r>
          </w:p>
        </w:tc>
        <w:tc>
          <w:tcPr>
            <w:tcW w:w="650" w:type="pct"/>
          </w:tcPr>
          <w:p w14:paraId="7FE3816F" w14:textId="7C548E7E" w:rsidR="00127B36" w:rsidRPr="008F56FB" w:rsidRDefault="00947AF8" w:rsidP="00947AF8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63" w:type="pct"/>
          </w:tcPr>
          <w:p w14:paraId="59E879CF" w14:textId="10C4DEB9" w:rsidR="00127B36" w:rsidRPr="008F56FB" w:rsidRDefault="00947AF8" w:rsidP="00624DB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Do sofinanciranja so upravičena tudi druga razvojna področja iz Strategije razvoja Slovenije 2030.</w:t>
            </w:r>
          </w:p>
        </w:tc>
      </w:tr>
      <w:tr w:rsidR="00127B36" w:rsidRPr="008F56FB" w14:paraId="03281ECB" w14:textId="4695D4CA" w:rsidTr="00220975">
        <w:tc>
          <w:tcPr>
            <w:tcW w:w="321" w:type="pct"/>
          </w:tcPr>
          <w:p w14:paraId="2B5F2626" w14:textId="5D6EF151" w:rsidR="00127B36" w:rsidRPr="008F56FB" w:rsidRDefault="00127B36" w:rsidP="0053510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6" w:type="pct"/>
          </w:tcPr>
          <w:p w14:paraId="7C474E7A" w14:textId="3D8F392A" w:rsidR="00127B36" w:rsidRPr="008F56FB" w:rsidRDefault="00947AF8" w:rsidP="00904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6FB">
              <w:rPr>
                <w:rFonts w:ascii="Arial" w:hAnsi="Arial" w:cs="Arial"/>
                <w:color w:val="000000"/>
                <w:sz w:val="20"/>
                <w:szCs w:val="20"/>
              </w:rPr>
              <w:t>Ali je za vse sklope javnega razpisa partnerstvo nujno?</w:t>
            </w:r>
          </w:p>
        </w:tc>
        <w:tc>
          <w:tcPr>
            <w:tcW w:w="650" w:type="pct"/>
          </w:tcPr>
          <w:p w14:paraId="569A93E2" w14:textId="0A942D6C" w:rsidR="00127B36" w:rsidRPr="008F56FB" w:rsidRDefault="00947AF8" w:rsidP="00947AF8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VSI SKLOPI</w:t>
            </w:r>
          </w:p>
        </w:tc>
        <w:tc>
          <w:tcPr>
            <w:tcW w:w="2463" w:type="pct"/>
          </w:tcPr>
          <w:p w14:paraId="7D111402" w14:textId="418CF436" w:rsidR="00127B36" w:rsidRPr="008F56FB" w:rsidRDefault="008F56FB" w:rsidP="00904814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F56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Partnerstvo je obvezno za SKLOPE A, B in D. </w:t>
            </w:r>
          </w:p>
        </w:tc>
      </w:tr>
      <w:tr w:rsidR="00127B36" w:rsidRPr="008F56FB" w14:paraId="73FAFFE0" w14:textId="13398DA3" w:rsidTr="00220975">
        <w:trPr>
          <w:trHeight w:val="583"/>
        </w:trPr>
        <w:tc>
          <w:tcPr>
            <w:tcW w:w="321" w:type="pct"/>
          </w:tcPr>
          <w:p w14:paraId="70E9B7AF" w14:textId="0053ECB2" w:rsidR="00127B36" w:rsidRPr="008F56FB" w:rsidRDefault="00127B36" w:rsidP="0053510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6" w:type="pct"/>
          </w:tcPr>
          <w:p w14:paraId="0784A7BB" w14:textId="75C11236" w:rsidR="00127B36" w:rsidRPr="008F56FB" w:rsidRDefault="008F56FB" w:rsidP="008F5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69D3">
              <w:rPr>
                <w:rFonts w:ascii="Arial" w:hAnsi="Arial" w:cs="Arial"/>
                <w:color w:val="000000"/>
                <w:sz w:val="20"/>
                <w:szCs w:val="20"/>
              </w:rPr>
              <w:t xml:space="preserve">Za SKLOP A 1 je določen pogoj, da mora imeti eden izmed partnerjev sedež v </w:t>
            </w:r>
            <w:r w:rsidRPr="00DA69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občini, v kateri se bo izvajala vsaj ena aktivnost. Ali je pogoj izpolnjen, če ima prijavitelj/partner v občini izvajanja aktivnosti poslovno enoto?</w:t>
            </w:r>
          </w:p>
        </w:tc>
        <w:tc>
          <w:tcPr>
            <w:tcW w:w="650" w:type="pct"/>
          </w:tcPr>
          <w:p w14:paraId="07236589" w14:textId="7D46A7E2" w:rsidR="00127B36" w:rsidRPr="008F56FB" w:rsidRDefault="008F56FB" w:rsidP="008F56FB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A1</w:t>
            </w:r>
          </w:p>
        </w:tc>
        <w:tc>
          <w:tcPr>
            <w:tcW w:w="2463" w:type="pct"/>
          </w:tcPr>
          <w:p w14:paraId="21FB51E6" w14:textId="7E0D834D" w:rsidR="00127B36" w:rsidRPr="008F56FB" w:rsidRDefault="008F56FB" w:rsidP="00904814">
            <w:pPr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kolikor ima eden izmed partnerjev v občini zgolj poslovno enoto, navedeni pogoj ni izpolnjen. Pogoj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za sklop A1 je izpolnjen, če ima </w:t>
            </w:r>
            <w:r w:rsidR="005307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eden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izmed partnerjev </w:t>
            </w:r>
            <w:r w:rsidRPr="008F56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sedež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predmetni občini. </w:t>
            </w:r>
          </w:p>
        </w:tc>
      </w:tr>
      <w:tr w:rsidR="00127B36" w:rsidRPr="008F56FB" w14:paraId="0B59384A" w14:textId="4181BA6C" w:rsidTr="00220975">
        <w:tc>
          <w:tcPr>
            <w:tcW w:w="321" w:type="pct"/>
          </w:tcPr>
          <w:p w14:paraId="718ACEA5" w14:textId="69B35BAA" w:rsidR="00127B36" w:rsidRPr="008F56FB" w:rsidRDefault="00127B36" w:rsidP="0053510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6" w:type="pct"/>
          </w:tcPr>
          <w:p w14:paraId="60F1101E" w14:textId="5F0AEB0B" w:rsidR="00127B36" w:rsidRPr="008F56FB" w:rsidRDefault="008F56FB" w:rsidP="00904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SKLOP E je določen pogoj, da je prijavitelj od leta 2019 izvedel oziroma še izvaja dva (2) oziroma štiri (4) projekte na področju varstva/razvoja demokracije, dobrega upravljanja, transparentnosti ali aktivnega državljanstva. Kaj je razumljeno kot projekt?</w:t>
            </w:r>
          </w:p>
        </w:tc>
        <w:tc>
          <w:tcPr>
            <w:tcW w:w="650" w:type="pct"/>
          </w:tcPr>
          <w:p w14:paraId="1B04345B" w14:textId="3734529B" w:rsidR="00127B36" w:rsidRPr="008F56FB" w:rsidRDefault="008F56FB" w:rsidP="008F56FB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463" w:type="pct"/>
          </w:tcPr>
          <w:p w14:paraId="591EFC12" w14:textId="77777777" w:rsidR="00127B36" w:rsidRDefault="008F56FB" w:rsidP="005351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Projekt je </w:t>
            </w:r>
            <w:r w:rsidRPr="008F56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časovno omejen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skup aktivnosti z jasno opredeljenimi cilji/kazalniki. </w:t>
            </w:r>
          </w:p>
          <w:p w14:paraId="4491A47C" w14:textId="77777777" w:rsidR="008F56FB" w:rsidRDefault="008F56FB" w:rsidP="005351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C8BB970" w14:textId="026798F8" w:rsidR="00A5432A" w:rsidRDefault="008F56FB" w:rsidP="005351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Program, ki se izvaja v več fazah ali časovnih zaporedjih</w:t>
            </w:r>
            <w:r w:rsidR="00DA69D3" w:rsidRP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 je bil predmet enega izbornega postopka</w:t>
            </w:r>
            <w:r w:rsidR="005A611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(ena pogodba o sofinanciranju)</w:t>
            </w:r>
            <w:r w:rsidRP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A5432A" w:rsidRP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je v okviru predmetnega javnega razpisa obravnavan kot en (1) projekt.</w:t>
            </w:r>
          </w:p>
          <w:p w14:paraId="55734E2F" w14:textId="77777777" w:rsidR="00A5432A" w:rsidRDefault="00A5432A" w:rsidP="005351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46B5BFF" w14:textId="77777777" w:rsidR="008F56FB" w:rsidRDefault="00A5432A" w:rsidP="00A5432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Projekti, ki so vsebinsko sorodni, vendar je bilo za njihovo izvedbo sklenjenih več pogodb o sofinanciranju (so bili npr. predmet več izbornih postopkov) se v okviru predmetnega javnega razpisa obravnavajo posamično tj. več projektov.</w:t>
            </w:r>
          </w:p>
          <w:p w14:paraId="6FF88354" w14:textId="77777777" w:rsidR="004D0E90" w:rsidRDefault="004D0E90" w:rsidP="00A5432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8D9A138" w14:textId="5B640589" w:rsidR="004D0E90" w:rsidRPr="004D0E90" w:rsidRDefault="004D0E90" w:rsidP="00A5432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Javni razpis </w:t>
            </w:r>
            <w:r w:rsidRPr="004D0E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 zahteva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da </w:t>
            </w:r>
            <w:r w:rsidR="00B44E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so projekti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pridobili </w:t>
            </w:r>
            <w:r w:rsidRPr="004D0E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javno sofinanciranje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Mora pa prijavitelj izkazati, da gre za projekt tj. časovno omejen skup aktivnosti s cilji in kazalniki. </w:t>
            </w:r>
          </w:p>
        </w:tc>
      </w:tr>
      <w:tr w:rsidR="00127B36" w:rsidRPr="008F56FB" w14:paraId="7A78034D" w14:textId="400AAEF8" w:rsidTr="00220975">
        <w:tc>
          <w:tcPr>
            <w:tcW w:w="321" w:type="pct"/>
          </w:tcPr>
          <w:p w14:paraId="4E8C9197" w14:textId="53C1EC72" w:rsidR="00127B36" w:rsidRPr="008F56FB" w:rsidRDefault="00127B36" w:rsidP="0053510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6" w:type="pct"/>
          </w:tcPr>
          <w:p w14:paraId="01BA3F3A" w14:textId="2E4DC1A8" w:rsidR="00127B36" w:rsidRPr="00A5432A" w:rsidRDefault="00A5432A" w:rsidP="009048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Dodatno pojasnilo pojma </w:t>
            </w:r>
            <w:r w:rsidRPr="00AF2555">
              <w:rPr>
                <w:rFonts w:ascii="Arial" w:hAnsi="Arial" w:cs="Arial"/>
                <w:color w:val="000000"/>
                <w:sz w:val="20"/>
                <w:szCs w:val="20"/>
              </w:rPr>
              <w:t>»dobro upravljanje«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6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="00DA6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good</w:t>
            </w:r>
            <w:proofErr w:type="spellEnd"/>
            <w:r w:rsidR="00DA6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A6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governance</w:t>
            </w:r>
            <w:proofErr w:type="spellEnd"/>
            <w:r w:rsidR="00DA6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50" w:type="pct"/>
          </w:tcPr>
          <w:p w14:paraId="611840BA" w14:textId="70ABD7C5" w:rsidR="00127B36" w:rsidRPr="008F56FB" w:rsidRDefault="00A5432A" w:rsidP="00A5432A">
            <w:pPr>
              <w:overflowPunct w:val="0"/>
              <w:autoSpaceDE w:val="0"/>
              <w:autoSpaceDN w:val="0"/>
              <w:spacing w:after="24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VSI SKLOPI</w:t>
            </w:r>
          </w:p>
        </w:tc>
        <w:tc>
          <w:tcPr>
            <w:tcW w:w="2463" w:type="pct"/>
          </w:tcPr>
          <w:p w14:paraId="74E740D3" w14:textId="638AD28A" w:rsidR="00127B36" w:rsidRPr="008F56FB" w:rsidRDefault="00A5432A" w:rsidP="00F156FD">
            <w:pPr>
              <w:overflowPunct w:val="0"/>
              <w:autoSpaceDE w:val="0"/>
              <w:autoSpaceDN w:val="0"/>
              <w:spacing w:after="24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Za predmetni javni razpis pojem »dobro upravljanje« razumemo kot pojem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vladovanje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tj. upravljanje, ki celovito združuje demokratično in učinkovito izvajanje oblasti po načelih pravne države (Pravni terminološki slovar).</w:t>
            </w:r>
          </w:p>
        </w:tc>
      </w:tr>
      <w:tr w:rsidR="00127B36" w:rsidRPr="008F56FB" w14:paraId="2BC6685B" w14:textId="66AECB99" w:rsidTr="00220975">
        <w:tc>
          <w:tcPr>
            <w:tcW w:w="321" w:type="pct"/>
          </w:tcPr>
          <w:p w14:paraId="1313A650" w14:textId="67DD9A92" w:rsidR="00127B36" w:rsidRPr="008F56FB" w:rsidRDefault="00127B36" w:rsidP="0053510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66" w:type="pct"/>
          </w:tcPr>
          <w:p w14:paraId="76178491" w14:textId="34012E08" w:rsidR="00127B36" w:rsidRPr="008F56FB" w:rsidRDefault="00A5432A" w:rsidP="00535100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se vloge, ki na prvem roku ne pridobijo sredstev</w:t>
            </w:r>
            <w:r w:rsidR="00B07AA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neposredno uvrstijo v naslednji krog odpiranja?</w:t>
            </w:r>
          </w:p>
        </w:tc>
        <w:tc>
          <w:tcPr>
            <w:tcW w:w="650" w:type="pct"/>
          </w:tcPr>
          <w:p w14:paraId="7F459732" w14:textId="34B8C2B2" w:rsidR="00127B36" w:rsidRPr="008F56FB" w:rsidRDefault="00A5432A" w:rsidP="00A5432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VSI SKLOPI</w:t>
            </w:r>
          </w:p>
        </w:tc>
        <w:tc>
          <w:tcPr>
            <w:tcW w:w="2463" w:type="pct"/>
          </w:tcPr>
          <w:p w14:paraId="7661C60E" w14:textId="78B30AC1" w:rsidR="00127B36" w:rsidRDefault="00A5432A" w:rsidP="00904814">
            <w:p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Ne.</w:t>
            </w:r>
            <w:r w:rsidR="005429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Vloge bodo obravnavane za vsak rok odpiranja posebej, in sicer:</w:t>
            </w:r>
          </w:p>
          <w:p w14:paraId="4BAF96B2" w14:textId="5F729D5C" w:rsidR="00542963" w:rsidRDefault="00542963" w:rsidP="00542963">
            <w:pPr>
              <w:pStyle w:val="Odstavekseznama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429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 rok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- vloge</w:t>
            </w:r>
            <w:r w:rsidRPr="005429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ki bodo oddane priporočeno na pošto ali v glavni pisarni ministrstva </w:t>
            </w:r>
            <w:r w:rsidRPr="00542963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od datuma objave javnega razpisa do 15. 5. 2023.</w:t>
            </w:r>
          </w:p>
          <w:p w14:paraId="311BC6D5" w14:textId="77777777" w:rsidR="00542963" w:rsidRPr="00542963" w:rsidRDefault="00542963" w:rsidP="00904814">
            <w:pPr>
              <w:pStyle w:val="Odstavekseznama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2. rok – vloge, ki bodo oddane </w:t>
            </w:r>
            <w:r w:rsidRPr="005429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priporočeno na pošto ali v glavni pisarni ministrstva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 1. 10. 2023 do 12. 4. 2024</w:t>
            </w:r>
          </w:p>
          <w:p w14:paraId="401F906B" w14:textId="77777777" w:rsidR="00542963" w:rsidRPr="00542963" w:rsidRDefault="00542963" w:rsidP="00904814">
            <w:pPr>
              <w:pStyle w:val="Odstavekseznama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 rok – vloge, ki bodo oddane priporočeno na pošto ali v glavni pisarni ministrstva od 1. 10. 2024 do 12. 2. 2025.</w:t>
            </w:r>
          </w:p>
          <w:p w14:paraId="3CB69B2B" w14:textId="77777777" w:rsidR="00542963" w:rsidRDefault="00542963" w:rsidP="00542963">
            <w:p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Izbor sofinanciranih projektov/programov bo opravljen za vsak rok posebej. Prijavitelji morajo za vsak rok odpiranja oddati novo vlogo. </w:t>
            </w:r>
          </w:p>
          <w:p w14:paraId="5AC58A9E" w14:textId="70B4511B" w:rsidR="00656292" w:rsidRPr="00542963" w:rsidRDefault="00656292" w:rsidP="00542963">
            <w:pPr>
              <w:overflowPunct w:val="0"/>
              <w:autoSpaceDE w:val="0"/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Za SKLOP E je predviden en rok odpiranja </w:t>
            </w:r>
            <w:r w:rsidR="00A8378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2023</w:t>
            </w:r>
            <w:r w:rsidR="00A8378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27B36" w:rsidRPr="008F56FB" w14:paraId="7B68463A" w14:textId="6763A7A9" w:rsidTr="00220975">
        <w:tc>
          <w:tcPr>
            <w:tcW w:w="321" w:type="pct"/>
          </w:tcPr>
          <w:p w14:paraId="221CE9E8" w14:textId="4B0BBDF3" w:rsidR="00127B36" w:rsidRPr="008F56FB" w:rsidRDefault="00127B36" w:rsidP="00535100">
            <w:pPr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1566" w:type="pct"/>
          </w:tcPr>
          <w:p w14:paraId="4A4622E7" w14:textId="17A78A37" w:rsidR="00127B36" w:rsidRPr="008F56FB" w:rsidRDefault="00656292" w:rsidP="00A6182B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Kako se prenašajo sredstva med SKLOPI? Ali se SKLOP E v letu 2023 zaključi tudi, če v 1. roku odpiranja ni dodeljena celotna okvirna višina sredstev predvidena za SKLOP E? </w:t>
            </w:r>
          </w:p>
        </w:tc>
        <w:tc>
          <w:tcPr>
            <w:tcW w:w="650" w:type="pct"/>
          </w:tcPr>
          <w:p w14:paraId="7FB5C58A" w14:textId="116E25BE" w:rsidR="00127B36" w:rsidRPr="008F56FB" w:rsidRDefault="00656292" w:rsidP="00656292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463" w:type="pct"/>
          </w:tcPr>
          <w:p w14:paraId="4AE98B7C" w14:textId="1848E21A" w:rsidR="00656292" w:rsidRDefault="00656292" w:rsidP="00F156FD">
            <w:pPr>
              <w:overflowPunct w:val="0"/>
              <w:autoSpaceDE w:val="0"/>
              <w:autoSpaceDN w:val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 SKLOP E je predvideno samo eno odpiranje. </w:t>
            </w:r>
          </w:p>
          <w:p w14:paraId="7523FD8B" w14:textId="6CF7E8F6" w:rsidR="00127B36" w:rsidRPr="008F56FB" w:rsidRDefault="00656292" w:rsidP="00F156FD">
            <w:pPr>
              <w:overflowPunct w:val="0"/>
              <w:autoSpaceDE w:val="0"/>
              <w:autoSpaceDN w:val="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Javni razpis določa, da se morebitna preostala sredstva s</w:t>
            </w:r>
            <w:r w:rsidR="005A61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 E prenesejo v naslednji rok odpiranja za SKLOP A1 oziroma SKLOP A2</w:t>
            </w:r>
            <w:r w:rsidR="005307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27B36" w:rsidRPr="008F56FB" w14:paraId="474EBEEA" w14:textId="00C2C712" w:rsidTr="00220975">
        <w:tc>
          <w:tcPr>
            <w:tcW w:w="321" w:type="pct"/>
          </w:tcPr>
          <w:p w14:paraId="62630140" w14:textId="7BE2EA0D" w:rsidR="00127B36" w:rsidRPr="008F56FB" w:rsidRDefault="00127B36" w:rsidP="0030229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6" w:type="pct"/>
          </w:tcPr>
          <w:p w14:paraId="0B33CFE4" w14:textId="67D6435E" w:rsidR="00127B36" w:rsidRPr="008F56FB" w:rsidRDefault="00656292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Kako se v okviru javnega razpisa obravnava vključevanje različnih demografskih/ekonomskih skupin?</w:t>
            </w:r>
          </w:p>
        </w:tc>
        <w:tc>
          <w:tcPr>
            <w:tcW w:w="650" w:type="pct"/>
          </w:tcPr>
          <w:p w14:paraId="6D6B454E" w14:textId="7B93177E" w:rsidR="00127B36" w:rsidRPr="008F56FB" w:rsidRDefault="00656292" w:rsidP="0030229D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A, D, B</w:t>
            </w:r>
          </w:p>
        </w:tc>
        <w:tc>
          <w:tcPr>
            <w:tcW w:w="2463" w:type="pct"/>
          </w:tcPr>
          <w:p w14:paraId="4B5B9D88" w14:textId="54D85290" w:rsidR="00127B36" w:rsidRPr="008F56FB" w:rsidRDefault="00656292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Namen javnega razpisa je sofinancirati projekte, ki v posvetovalne procese vključujejo </w:t>
            </w:r>
            <w:r w:rsidR="009B40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različne ciljne skupine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(A, D)</w:t>
            </w:r>
            <w:r w:rsidR="009B40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oziroma razvijajo digitalne rešitve (B) za različne ciljne skupin</w:t>
            </w:r>
            <w:r w:rsidR="009B40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 tj. projekte,</w:t>
            </w:r>
            <w:r w:rsidRPr="006562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B40F0" w:rsidRPr="009B40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ki </w:t>
            </w:r>
            <w:r w:rsidRPr="009B40F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niso usmerjeni na aktivacijo, motivacijo</w:t>
            </w:r>
            <w:r w:rsidRPr="006562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samo</w:t>
            </w:r>
            <w:r w:rsidRPr="006562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ene </w:t>
            </w:r>
            <w:r w:rsidR="009B40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demografske </w:t>
            </w:r>
            <w:r w:rsidRPr="006562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skupine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(npr. samo mladi, samo starejši)</w:t>
            </w:r>
            <w:r w:rsidR="00C744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27B36" w:rsidRPr="008F56FB" w14:paraId="5B3D0D39" w14:textId="14B759C1" w:rsidTr="00220975">
        <w:tc>
          <w:tcPr>
            <w:tcW w:w="321" w:type="pct"/>
          </w:tcPr>
          <w:p w14:paraId="0341B5A1" w14:textId="788B627A" w:rsidR="00127B36" w:rsidRPr="008F56FB" w:rsidRDefault="00127B36" w:rsidP="0030229D">
            <w:pPr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66" w:type="pct"/>
          </w:tcPr>
          <w:p w14:paraId="0AE198CA" w14:textId="1D23CC7C" w:rsidR="00127B36" w:rsidRPr="00C74404" w:rsidRDefault="00C74404" w:rsidP="0030229D">
            <w:pPr>
              <w:autoSpaceDE w:val="0"/>
              <w:autoSpaceDN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Kako se obravnava kazalnik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število izvedenih posvetovalnih eksperimentov/procesov</w:t>
            </w:r>
          </w:p>
        </w:tc>
        <w:tc>
          <w:tcPr>
            <w:tcW w:w="650" w:type="pct"/>
          </w:tcPr>
          <w:p w14:paraId="0BAF32D0" w14:textId="64A10CFA" w:rsidR="00127B36" w:rsidRPr="008F56FB" w:rsidRDefault="00C74404" w:rsidP="00063EB2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A, D</w:t>
            </w:r>
          </w:p>
        </w:tc>
        <w:tc>
          <w:tcPr>
            <w:tcW w:w="2463" w:type="pct"/>
          </w:tcPr>
          <w:p w14:paraId="58FAFCE8" w14:textId="1598697A" w:rsidR="00127B36" w:rsidRPr="008F56FB" w:rsidRDefault="00C74404" w:rsidP="00063EB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Kazalnik se obravnava kot </w:t>
            </w:r>
            <w:r w:rsidRPr="00C74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skup dejavnosti/aktivnosti,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ki bodo </w:t>
            </w:r>
            <w:r w:rsidRPr="00C74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pripeljale do predloga politike/predpisa, strategije</w:t>
            </w:r>
            <w:r w:rsidR="00056C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ipd.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V okviru projekta se lahko izvede tudi en sam posvetovalni eksperiment. </w:t>
            </w:r>
          </w:p>
        </w:tc>
      </w:tr>
      <w:tr w:rsidR="00127B36" w:rsidRPr="008F56FB" w14:paraId="65D4A7AA" w14:textId="2FC5282C" w:rsidTr="00220975">
        <w:tc>
          <w:tcPr>
            <w:tcW w:w="321" w:type="pct"/>
          </w:tcPr>
          <w:p w14:paraId="622F84D7" w14:textId="1DBFCF5A" w:rsidR="00127B36" w:rsidRPr="008F56FB" w:rsidRDefault="00127B36" w:rsidP="0030229D">
            <w:pPr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66" w:type="pct"/>
          </w:tcPr>
          <w:p w14:paraId="54080FAF" w14:textId="3A538B23" w:rsidR="00127B36" w:rsidRPr="008F56FB" w:rsidRDefault="00C74404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Kako se v prijavnici obravnavajo ciljne skupine, če program na isto ciljno skupino vpliva neposredno in posredno</w:t>
            </w:r>
            <w:r w:rsidR="004D0E9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650" w:type="pct"/>
          </w:tcPr>
          <w:p w14:paraId="544E95C6" w14:textId="5EF086E0" w:rsidR="00127B36" w:rsidRPr="008F56FB" w:rsidRDefault="00C74404" w:rsidP="00EF4670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E</w:t>
            </w:r>
          </w:p>
        </w:tc>
        <w:tc>
          <w:tcPr>
            <w:tcW w:w="2463" w:type="pct"/>
          </w:tcPr>
          <w:p w14:paraId="39A2FC4C" w14:textId="67730E84" w:rsidR="00127B36" w:rsidRPr="008F56FB" w:rsidRDefault="00C74404" w:rsidP="00EF467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tem primeru isto ciljno skupino v prijavnici </w:t>
            </w:r>
            <w:r w:rsidR="004D0E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(poglavje 2.2 SKLOP E)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obravnavate dvakrat</w:t>
            </w:r>
            <w:r w:rsidR="004D0E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 to ustrezno opredelite.</w:t>
            </w:r>
          </w:p>
        </w:tc>
      </w:tr>
      <w:tr w:rsidR="00127B36" w:rsidRPr="008F56FB" w14:paraId="4814C1A5" w14:textId="3CB5C10F" w:rsidTr="00220975">
        <w:tc>
          <w:tcPr>
            <w:tcW w:w="321" w:type="pct"/>
          </w:tcPr>
          <w:p w14:paraId="54B3D0F5" w14:textId="67945B9D" w:rsidR="00127B36" w:rsidRPr="008F56FB" w:rsidRDefault="00127B36" w:rsidP="0030229D">
            <w:pPr>
              <w:rPr>
                <w:rFonts w:ascii="Arial" w:hAnsi="Arial" w:cs="Arial"/>
                <w:sz w:val="20"/>
                <w:szCs w:val="20"/>
              </w:rPr>
            </w:pPr>
            <w:r w:rsidRPr="008F56F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66" w:type="pct"/>
          </w:tcPr>
          <w:p w14:paraId="11642844" w14:textId="1442F06D" w:rsidR="00127B36" w:rsidRPr="008F56FB" w:rsidRDefault="00220975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se v okviru SKLOPA B sofinancira tudi priprava vsebin za delovanje razvitih digitalnih rešitev</w:t>
            </w:r>
            <w:r w:rsidR="0074614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650" w:type="pct"/>
          </w:tcPr>
          <w:p w14:paraId="4A696356" w14:textId="4C7350CA" w:rsidR="00127B36" w:rsidRPr="008F56FB" w:rsidRDefault="00220975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B</w:t>
            </w:r>
          </w:p>
        </w:tc>
        <w:tc>
          <w:tcPr>
            <w:tcW w:w="2463" w:type="pct"/>
          </w:tcPr>
          <w:p w14:paraId="23BC20F0" w14:textId="4400CD5F" w:rsidR="00127B36" w:rsidRPr="008F56FB" w:rsidRDefault="00220975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okviru SKLOPA B se sofinancira </w:t>
            </w:r>
            <w:r w:rsid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razvoj in nadgradnja digitalnih rešitev. V okviru zagotavljanja delovanja razvitih digitalnih rešitev pa se lahko sofinancira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tudi priprava vsebin, ki so potrebne za </w:t>
            </w:r>
            <w:r w:rsid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njihovo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delovanje</w:t>
            </w:r>
            <w:r w:rsidR="00DA69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AF2555" w:rsidRPr="008F56FB" w14:paraId="19F9E71D" w14:textId="77777777" w:rsidTr="00220975">
        <w:tc>
          <w:tcPr>
            <w:tcW w:w="321" w:type="pct"/>
          </w:tcPr>
          <w:p w14:paraId="35C5114C" w14:textId="64402D0F" w:rsidR="00AF2555" w:rsidRPr="008F56FB" w:rsidRDefault="00AF2555" w:rsidP="00302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66" w:type="pct"/>
          </w:tcPr>
          <w:p w14:paraId="64356A26" w14:textId="4C64452B" w:rsidR="00AF2555" w:rsidRDefault="00AF2555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Ali so v sklopu C upravičeni tudi </w:t>
            </w:r>
            <w:r w:rsidRPr="00056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stroški plač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udeležencev usposabljanj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za čas udeležbe na usposabljanjih?</w:t>
            </w:r>
          </w:p>
        </w:tc>
        <w:tc>
          <w:tcPr>
            <w:tcW w:w="650" w:type="pct"/>
          </w:tcPr>
          <w:p w14:paraId="70360FF7" w14:textId="0FC5556F" w:rsidR="00AF2555" w:rsidRDefault="00AF2555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C</w:t>
            </w:r>
          </w:p>
        </w:tc>
        <w:tc>
          <w:tcPr>
            <w:tcW w:w="2463" w:type="pct"/>
          </w:tcPr>
          <w:p w14:paraId="267202DA" w14:textId="65DB0E5A" w:rsidR="00AF2555" w:rsidRDefault="00AF2555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Ne. Stroški plač udeležencev usposabljanj, za čas udeležbe na usposabljanjih, niso upravičen strošek. </w:t>
            </w:r>
          </w:p>
          <w:p w14:paraId="650F609A" w14:textId="7A55AF1D" w:rsidR="00AF2555" w:rsidRDefault="00AF2555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V SKLOPU C je upravičen </w:t>
            </w:r>
            <w:r w:rsidR="00F860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strošek osebja za vodenje projekta tj. npr. stroški priprave poročil, stroški plače osebja na projektu za čas, ki ga namenijo organizaciji usposabljanj ipd. </w:t>
            </w:r>
          </w:p>
        </w:tc>
      </w:tr>
      <w:tr w:rsidR="00AF2555" w:rsidRPr="008F56FB" w14:paraId="279E22A0" w14:textId="77777777" w:rsidTr="00220975">
        <w:tc>
          <w:tcPr>
            <w:tcW w:w="321" w:type="pct"/>
          </w:tcPr>
          <w:p w14:paraId="6ABD1F38" w14:textId="15B6A416" w:rsidR="00AF2555" w:rsidRDefault="00AF2555" w:rsidP="00302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66" w:type="pct"/>
          </w:tcPr>
          <w:p w14:paraId="74639077" w14:textId="2847A0E3" w:rsidR="00AF2555" w:rsidRDefault="00AF2555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555">
              <w:rPr>
                <w:rFonts w:ascii="Arial" w:hAnsi="Arial" w:cs="Arial"/>
                <w:color w:val="000000"/>
                <w:sz w:val="20"/>
                <w:szCs w:val="20"/>
              </w:rPr>
              <w:t xml:space="preserve">Ali je dovoljeno, da se 4-letni program izvaja </w:t>
            </w:r>
            <w:r w:rsidRPr="003B22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 oziroma izključno v eni občini</w:t>
            </w:r>
            <w:r w:rsidRPr="00AF2555">
              <w:rPr>
                <w:rFonts w:ascii="Arial" w:hAnsi="Arial" w:cs="Arial"/>
                <w:color w:val="000000"/>
                <w:sz w:val="20"/>
                <w:szCs w:val="20"/>
              </w:rPr>
              <w:t xml:space="preserve"> vsa štiri leta?</w:t>
            </w:r>
          </w:p>
        </w:tc>
        <w:tc>
          <w:tcPr>
            <w:tcW w:w="650" w:type="pct"/>
          </w:tcPr>
          <w:p w14:paraId="2AAA1F5D" w14:textId="5BCDE902" w:rsidR="00AF2555" w:rsidRDefault="00AF2555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E1</w:t>
            </w:r>
          </w:p>
        </w:tc>
        <w:tc>
          <w:tcPr>
            <w:tcW w:w="2463" w:type="pct"/>
          </w:tcPr>
          <w:p w14:paraId="5B820F9F" w14:textId="07EDDAFD" w:rsidR="00AF2555" w:rsidRDefault="003B2233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Skladno z javnim razpisom se program </w:t>
            </w:r>
            <w:r w:rsidRPr="00EC11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 more izvajati </w:t>
            </w:r>
            <w:r w:rsidR="003150D8" w:rsidRPr="00EC11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izključno </w:t>
            </w:r>
            <w:r w:rsidRPr="00EC11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 eni občini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Lahko pa se večji del programa izvaja </w:t>
            </w:r>
            <w:r w:rsidR="003150D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samo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 eni občini. </w:t>
            </w:r>
          </w:p>
        </w:tc>
      </w:tr>
      <w:tr w:rsidR="002D42FE" w:rsidRPr="008F56FB" w14:paraId="09D5FB84" w14:textId="77777777" w:rsidTr="002D42FE">
        <w:tc>
          <w:tcPr>
            <w:tcW w:w="321" w:type="pct"/>
            <w:shd w:val="clear" w:color="auto" w:fill="EDEDED" w:themeFill="accent3" w:themeFillTint="33"/>
          </w:tcPr>
          <w:p w14:paraId="42A71899" w14:textId="5BE623B3" w:rsidR="002D42FE" w:rsidRDefault="002D42FE" w:rsidP="00302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66" w:type="pct"/>
            <w:shd w:val="clear" w:color="auto" w:fill="EDEDED" w:themeFill="accent3" w:themeFillTint="33"/>
          </w:tcPr>
          <w:p w14:paraId="1F6774A2" w14:textId="06B1448E" w:rsidR="002D42FE" w:rsidRPr="00AF2555" w:rsidRDefault="002D42FE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lahko v okviru sklopa D/B digitalno rešitev nadgradimo, ali se lahko nadgradnja objavi na že obstoječi spletni strani ali je potrebno spletno stran vzpostaviti na novo?</w:t>
            </w:r>
          </w:p>
        </w:tc>
        <w:tc>
          <w:tcPr>
            <w:tcW w:w="650" w:type="pct"/>
            <w:shd w:val="clear" w:color="auto" w:fill="EDEDED" w:themeFill="accent3" w:themeFillTint="33"/>
          </w:tcPr>
          <w:p w14:paraId="5EF23687" w14:textId="0AB55500" w:rsidR="002D42FE" w:rsidRDefault="002D42FE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D, B</w:t>
            </w:r>
          </w:p>
        </w:tc>
        <w:tc>
          <w:tcPr>
            <w:tcW w:w="2463" w:type="pct"/>
            <w:shd w:val="clear" w:color="auto" w:fill="EDEDED" w:themeFill="accent3" w:themeFillTint="33"/>
          </w:tcPr>
          <w:p w14:paraId="0D22C46B" w14:textId="0D96711B" w:rsidR="002D42FE" w:rsidRDefault="002D42FE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Skladno z javnim razpisom je v okviru SKLOPA B in D upravičen razvoj in </w:t>
            </w:r>
            <w:r w:rsidRPr="002D42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nadgradnja spletnih rešitev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Mora pa tudi za nadgrajene spletne rešitve </w:t>
            </w:r>
            <w:r w:rsidRPr="002D42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veljati, da so odprtokodne, brezplačne za uporabo in dostopne javnosti.</w:t>
            </w:r>
          </w:p>
        </w:tc>
      </w:tr>
      <w:tr w:rsidR="002D42FE" w:rsidRPr="008F56FB" w14:paraId="23826D48" w14:textId="77777777" w:rsidTr="002D42FE">
        <w:tc>
          <w:tcPr>
            <w:tcW w:w="321" w:type="pct"/>
            <w:shd w:val="clear" w:color="auto" w:fill="EDEDED" w:themeFill="accent3" w:themeFillTint="33"/>
          </w:tcPr>
          <w:p w14:paraId="1FE8028C" w14:textId="2A44DBAE" w:rsidR="002D42FE" w:rsidRDefault="002D42FE" w:rsidP="00302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66" w:type="pct"/>
            <w:shd w:val="clear" w:color="auto" w:fill="EDEDED" w:themeFill="accent3" w:themeFillTint="33"/>
          </w:tcPr>
          <w:p w14:paraId="22B688DB" w14:textId="177F5E86" w:rsidR="002D42FE" w:rsidRDefault="002D42FE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morajo biti v SKLOPU D aktivnosti povezane (A, B, C)?</w:t>
            </w:r>
          </w:p>
        </w:tc>
        <w:tc>
          <w:tcPr>
            <w:tcW w:w="650" w:type="pct"/>
            <w:shd w:val="clear" w:color="auto" w:fill="EDEDED" w:themeFill="accent3" w:themeFillTint="33"/>
          </w:tcPr>
          <w:p w14:paraId="4FAD04C9" w14:textId="307BADAA" w:rsidR="002D42FE" w:rsidRDefault="002D42FE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D</w:t>
            </w:r>
          </w:p>
        </w:tc>
        <w:tc>
          <w:tcPr>
            <w:tcW w:w="2463" w:type="pct"/>
            <w:shd w:val="clear" w:color="auto" w:fill="EDEDED" w:themeFill="accent3" w:themeFillTint="33"/>
          </w:tcPr>
          <w:p w14:paraId="3B9D7AF2" w14:textId="25E24955" w:rsidR="002D42FE" w:rsidRPr="002D42FE" w:rsidRDefault="002D42FE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Sklop D pomeni celovit projekt, pri katerem se vsebine povezujejo in nadgrajujejo. </w:t>
            </w:r>
            <w:r w:rsidR="00D26AB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Kazalniki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rezultata h katerim mora prispevati vsak projekt v okviru sklopa D so opredeljeni v besedilu javnega razpisa. </w:t>
            </w:r>
            <w:r w:rsidRPr="002D42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 drugim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mora projekt v okviru sklopa D rezultirati tudi v kazalniku 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število lokalnih/nacionalnih politik, predpisov, strategij, na katere so vplivale nevladne organizacije. </w:t>
            </w:r>
          </w:p>
        </w:tc>
      </w:tr>
      <w:tr w:rsidR="00D26AB8" w:rsidRPr="008F56FB" w14:paraId="467991EC" w14:textId="77777777" w:rsidTr="002D42FE">
        <w:tc>
          <w:tcPr>
            <w:tcW w:w="321" w:type="pct"/>
            <w:shd w:val="clear" w:color="auto" w:fill="EDEDED" w:themeFill="accent3" w:themeFillTint="33"/>
          </w:tcPr>
          <w:p w14:paraId="17C9E1F9" w14:textId="15FB1225" w:rsidR="00D26AB8" w:rsidRDefault="00D26AB8" w:rsidP="00302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66" w:type="pct"/>
            <w:shd w:val="clear" w:color="auto" w:fill="EDEDED" w:themeFill="accent3" w:themeFillTint="33"/>
          </w:tcPr>
          <w:p w14:paraId="36EED1A5" w14:textId="7068B8BD" w:rsidR="00D26AB8" w:rsidRDefault="00D26AB8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Kje v prijavnici za SKLOP E vpišemo informacije o naših stalnih sodelavcih, ki so del ekipe ali jih navedemo kje drugje?</w:t>
            </w:r>
          </w:p>
        </w:tc>
        <w:tc>
          <w:tcPr>
            <w:tcW w:w="650" w:type="pct"/>
            <w:shd w:val="clear" w:color="auto" w:fill="EDEDED" w:themeFill="accent3" w:themeFillTint="33"/>
          </w:tcPr>
          <w:p w14:paraId="02ED7CAA" w14:textId="43945C8F" w:rsidR="00D26AB8" w:rsidRDefault="00D26AB8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E</w:t>
            </w:r>
          </w:p>
        </w:tc>
        <w:tc>
          <w:tcPr>
            <w:tcW w:w="2463" w:type="pct"/>
            <w:shd w:val="clear" w:color="auto" w:fill="EDEDED" w:themeFill="accent3" w:themeFillTint="33"/>
          </w:tcPr>
          <w:p w14:paraId="6BD43170" w14:textId="2BE7A5B3" w:rsidR="00D26AB8" w:rsidRDefault="00D26AB8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 prijavnici za SKLOP E obravnavate zaposlene in aktivne prostovoljce. Stalnih sodelavcev, če niso aktivni prostovoljci</w:t>
            </w:r>
            <w:r w:rsidR="00D7353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 obrazcu prijavnice ne obravnavate. V finančnem načrtu jih upoštevate ali v okviru stroškov osebja ali v okviru stroškov zunanjih izvajalcev. </w:t>
            </w:r>
          </w:p>
        </w:tc>
      </w:tr>
      <w:tr w:rsidR="00963C4E" w:rsidRPr="008F56FB" w14:paraId="0ED28123" w14:textId="77777777" w:rsidTr="002D42FE">
        <w:tc>
          <w:tcPr>
            <w:tcW w:w="321" w:type="pct"/>
            <w:shd w:val="clear" w:color="auto" w:fill="EDEDED" w:themeFill="accent3" w:themeFillTint="33"/>
          </w:tcPr>
          <w:p w14:paraId="61892D13" w14:textId="145886CC" w:rsidR="00963C4E" w:rsidRDefault="00963C4E" w:rsidP="00302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66" w:type="pct"/>
            <w:shd w:val="clear" w:color="auto" w:fill="EDEDED" w:themeFill="accent3" w:themeFillTint="33"/>
          </w:tcPr>
          <w:p w14:paraId="67B58ECA" w14:textId="77777777" w:rsidR="00963C4E" w:rsidRDefault="00963C4E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 nekaterih sklopih JR je dodatno ovrednotena izjava ministrstva. Ali lahko izjavo podpišejo tudi organi v sestavi ministrstev?</w:t>
            </w:r>
          </w:p>
          <w:p w14:paraId="66932763" w14:textId="0D39533E" w:rsidR="00963C4E" w:rsidRDefault="00963C4E" w:rsidP="0030229D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Kdo je odgovorna oseba za podpis izjave na ministrstvu?</w:t>
            </w:r>
          </w:p>
        </w:tc>
        <w:tc>
          <w:tcPr>
            <w:tcW w:w="650" w:type="pct"/>
            <w:shd w:val="clear" w:color="auto" w:fill="EDEDED" w:themeFill="accent3" w:themeFillTint="33"/>
          </w:tcPr>
          <w:p w14:paraId="365AF9FA" w14:textId="4BA48910" w:rsidR="00963C4E" w:rsidRDefault="00963C4E" w:rsidP="0030229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SKLOP A2, D2, E2</w:t>
            </w:r>
          </w:p>
        </w:tc>
        <w:tc>
          <w:tcPr>
            <w:tcW w:w="2463" w:type="pct"/>
            <w:shd w:val="clear" w:color="auto" w:fill="EDEDED" w:themeFill="accent3" w:themeFillTint="33"/>
          </w:tcPr>
          <w:p w14:paraId="5B34ACB5" w14:textId="7037638E" w:rsidR="00963C4E" w:rsidRDefault="00963C4E" w:rsidP="00963C4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Izjavo lahko poda ministrstvo, ne pa organi v sestavi. Odgovorna oseba za podpis izjave na ministrstvu je lahko vodja sektorja, vodja službe, generalni direktor/generalna direktorica, državni sekretar/državna sekretarka, minister/ministrica.</w:t>
            </w:r>
          </w:p>
        </w:tc>
      </w:tr>
    </w:tbl>
    <w:p w14:paraId="0262BF8A" w14:textId="77777777" w:rsidR="000B55B6" w:rsidRPr="008F56FB" w:rsidRDefault="000B55B6" w:rsidP="00A6182B">
      <w:pPr>
        <w:rPr>
          <w:rFonts w:ascii="Arial" w:hAnsi="Arial" w:cs="Arial"/>
          <w:sz w:val="20"/>
          <w:szCs w:val="20"/>
        </w:rPr>
      </w:pPr>
    </w:p>
    <w:sectPr w:rsidR="000B55B6" w:rsidRPr="008F56FB" w:rsidSect="002F33F7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A0E4" w14:textId="77777777" w:rsidR="00056CF8" w:rsidRDefault="00056CF8" w:rsidP="00056CF8">
      <w:pPr>
        <w:spacing w:after="0" w:line="240" w:lineRule="auto"/>
      </w:pPr>
      <w:r>
        <w:separator/>
      </w:r>
    </w:p>
  </w:endnote>
  <w:endnote w:type="continuationSeparator" w:id="0">
    <w:p w14:paraId="69A5797E" w14:textId="77777777" w:rsidR="00056CF8" w:rsidRDefault="00056CF8" w:rsidP="0005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73D6" w14:textId="77777777" w:rsidR="00056CF8" w:rsidRDefault="00056CF8" w:rsidP="00056CF8">
      <w:pPr>
        <w:spacing w:after="0" w:line="240" w:lineRule="auto"/>
      </w:pPr>
      <w:r>
        <w:separator/>
      </w:r>
    </w:p>
  </w:footnote>
  <w:footnote w:type="continuationSeparator" w:id="0">
    <w:p w14:paraId="4BAB6F4B" w14:textId="77777777" w:rsidR="00056CF8" w:rsidRDefault="00056CF8" w:rsidP="0005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D38" w14:textId="7B57BEF7" w:rsidR="00056CF8" w:rsidRDefault="00056CF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0461685" wp14:editId="4BDAD1D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889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EE1EBA"/>
    <w:lvl w:ilvl="0">
      <w:numFmt w:val="bullet"/>
      <w:lvlText w:val="*"/>
      <w:lvlJc w:val="left"/>
    </w:lvl>
  </w:abstractNum>
  <w:abstractNum w:abstractNumId="1" w15:restartNumberingAfterBreak="0">
    <w:nsid w:val="028E213C"/>
    <w:multiLevelType w:val="hybridMultilevel"/>
    <w:tmpl w:val="EB2475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A6142"/>
    <w:multiLevelType w:val="multilevel"/>
    <w:tmpl w:val="BB0400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B71AC5"/>
    <w:multiLevelType w:val="hybridMultilevel"/>
    <w:tmpl w:val="6B9CD2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F2E35"/>
    <w:multiLevelType w:val="hybridMultilevel"/>
    <w:tmpl w:val="C2826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3505"/>
    <w:multiLevelType w:val="hybridMultilevel"/>
    <w:tmpl w:val="DDCED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A7B60"/>
    <w:multiLevelType w:val="hybridMultilevel"/>
    <w:tmpl w:val="15DCD8FA"/>
    <w:lvl w:ilvl="0" w:tplc="04240017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E833FC"/>
    <w:multiLevelType w:val="hybridMultilevel"/>
    <w:tmpl w:val="0C44E1A4"/>
    <w:lvl w:ilvl="0" w:tplc="F016077E">
      <w:start w:val="1"/>
      <w:numFmt w:val="decimal"/>
      <w:lvlText w:val="%1."/>
      <w:lvlJc w:val="left"/>
      <w:pPr>
        <w:ind w:left="720" w:hanging="360"/>
      </w:pPr>
      <w:rPr>
        <w:rFonts w:ascii="Tms Rmn" w:eastAsiaTheme="minorHAnsi" w:hAnsi="Tms Rmn" w:cs="Tms Rmn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5A68"/>
    <w:multiLevelType w:val="multilevel"/>
    <w:tmpl w:val="ADB0CD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60212954"/>
    <w:multiLevelType w:val="hybridMultilevel"/>
    <w:tmpl w:val="24BC8994"/>
    <w:lvl w:ilvl="0" w:tplc="59F8FD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50E5F"/>
    <w:multiLevelType w:val="hybridMultilevel"/>
    <w:tmpl w:val="3EE67A60"/>
    <w:lvl w:ilvl="0" w:tplc="41B62D6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E318E"/>
    <w:multiLevelType w:val="multilevel"/>
    <w:tmpl w:val="8A0E9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70EB29F3"/>
    <w:multiLevelType w:val="hybridMultilevel"/>
    <w:tmpl w:val="FABE0834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AD00A6"/>
    <w:multiLevelType w:val="hybridMultilevel"/>
    <w:tmpl w:val="672EDF82"/>
    <w:lvl w:ilvl="0" w:tplc="83280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88821">
    <w:abstractNumId w:val="13"/>
  </w:num>
  <w:num w:numId="2" w16cid:durableId="87761895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3548893">
    <w:abstractNumId w:val="11"/>
  </w:num>
  <w:num w:numId="4" w16cid:durableId="1106193650">
    <w:abstractNumId w:val="15"/>
  </w:num>
  <w:num w:numId="5" w16cid:durableId="1497458613">
    <w:abstractNumId w:val="2"/>
  </w:num>
  <w:num w:numId="6" w16cid:durableId="441917705">
    <w:abstractNumId w:val="4"/>
  </w:num>
  <w:num w:numId="7" w16cid:durableId="448358709">
    <w:abstractNumId w:val="6"/>
  </w:num>
  <w:num w:numId="8" w16cid:durableId="233321991">
    <w:abstractNumId w:val="7"/>
  </w:num>
  <w:num w:numId="9" w16cid:durableId="1289164879">
    <w:abstractNumId w:val="5"/>
  </w:num>
  <w:num w:numId="10" w16cid:durableId="2013602851">
    <w:abstractNumId w:val="13"/>
  </w:num>
  <w:num w:numId="11" w16cid:durableId="1163400097">
    <w:abstractNumId w:val="8"/>
  </w:num>
  <w:num w:numId="12" w16cid:durableId="12776402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46696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960379">
    <w:abstractNumId w:val="14"/>
  </w:num>
  <w:num w:numId="15" w16cid:durableId="5737048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 w16cid:durableId="54015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8151665">
    <w:abstractNumId w:val="1"/>
  </w:num>
  <w:num w:numId="18" w16cid:durableId="2071881345">
    <w:abstractNumId w:val="3"/>
  </w:num>
  <w:num w:numId="19" w16cid:durableId="123618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B6"/>
    <w:rsid w:val="00011135"/>
    <w:rsid w:val="00056CF8"/>
    <w:rsid w:val="00063EB2"/>
    <w:rsid w:val="000B2D51"/>
    <w:rsid w:val="000B55B6"/>
    <w:rsid w:val="000E411F"/>
    <w:rsid w:val="000F2727"/>
    <w:rsid w:val="000F561B"/>
    <w:rsid w:val="00104EA0"/>
    <w:rsid w:val="00110639"/>
    <w:rsid w:val="00111D00"/>
    <w:rsid w:val="001165C3"/>
    <w:rsid w:val="00127B36"/>
    <w:rsid w:val="00143C6E"/>
    <w:rsid w:val="0014563F"/>
    <w:rsid w:val="001630B3"/>
    <w:rsid w:val="00173ACB"/>
    <w:rsid w:val="00181A70"/>
    <w:rsid w:val="00192679"/>
    <w:rsid w:val="001C753D"/>
    <w:rsid w:val="0020215D"/>
    <w:rsid w:val="00220975"/>
    <w:rsid w:val="00235692"/>
    <w:rsid w:val="002742D1"/>
    <w:rsid w:val="00277AE6"/>
    <w:rsid w:val="002A4DBE"/>
    <w:rsid w:val="002C0D10"/>
    <w:rsid w:val="002D42FE"/>
    <w:rsid w:val="002E4554"/>
    <w:rsid w:val="002F33F7"/>
    <w:rsid w:val="003150D8"/>
    <w:rsid w:val="00352CD0"/>
    <w:rsid w:val="00367B6D"/>
    <w:rsid w:val="003844E3"/>
    <w:rsid w:val="00391872"/>
    <w:rsid w:val="003B2233"/>
    <w:rsid w:val="003B329A"/>
    <w:rsid w:val="003D3310"/>
    <w:rsid w:val="003D4869"/>
    <w:rsid w:val="003D7A94"/>
    <w:rsid w:val="003E4F33"/>
    <w:rsid w:val="003F0EAC"/>
    <w:rsid w:val="0042799F"/>
    <w:rsid w:val="00441C2A"/>
    <w:rsid w:val="00460A46"/>
    <w:rsid w:val="00474B2D"/>
    <w:rsid w:val="004B6652"/>
    <w:rsid w:val="004D0E90"/>
    <w:rsid w:val="004D7F7F"/>
    <w:rsid w:val="0051510E"/>
    <w:rsid w:val="005307B1"/>
    <w:rsid w:val="005348EA"/>
    <w:rsid w:val="00542963"/>
    <w:rsid w:val="00544E11"/>
    <w:rsid w:val="00550C62"/>
    <w:rsid w:val="00565EB9"/>
    <w:rsid w:val="005679C0"/>
    <w:rsid w:val="0058711F"/>
    <w:rsid w:val="005A6110"/>
    <w:rsid w:val="005C2F11"/>
    <w:rsid w:val="00624DBE"/>
    <w:rsid w:val="006556E4"/>
    <w:rsid w:val="00656292"/>
    <w:rsid w:val="0066193A"/>
    <w:rsid w:val="00687FCD"/>
    <w:rsid w:val="006B2632"/>
    <w:rsid w:val="006B2F23"/>
    <w:rsid w:val="006D0D38"/>
    <w:rsid w:val="00720DA1"/>
    <w:rsid w:val="00731393"/>
    <w:rsid w:val="00736B94"/>
    <w:rsid w:val="00741CEF"/>
    <w:rsid w:val="00741F6F"/>
    <w:rsid w:val="0074614A"/>
    <w:rsid w:val="00747387"/>
    <w:rsid w:val="00756AB9"/>
    <w:rsid w:val="0078666F"/>
    <w:rsid w:val="007942B2"/>
    <w:rsid w:val="007B4BBB"/>
    <w:rsid w:val="00834A86"/>
    <w:rsid w:val="00841F78"/>
    <w:rsid w:val="00860795"/>
    <w:rsid w:val="00876F48"/>
    <w:rsid w:val="00894712"/>
    <w:rsid w:val="008F56FB"/>
    <w:rsid w:val="00904814"/>
    <w:rsid w:val="00906DA3"/>
    <w:rsid w:val="00914796"/>
    <w:rsid w:val="00916FF2"/>
    <w:rsid w:val="009475F1"/>
    <w:rsid w:val="00947AF8"/>
    <w:rsid w:val="00957D65"/>
    <w:rsid w:val="00963C4E"/>
    <w:rsid w:val="0097276C"/>
    <w:rsid w:val="00973C84"/>
    <w:rsid w:val="009B40F0"/>
    <w:rsid w:val="009C1DE5"/>
    <w:rsid w:val="009C73D1"/>
    <w:rsid w:val="009D21B1"/>
    <w:rsid w:val="00A41127"/>
    <w:rsid w:val="00A416F2"/>
    <w:rsid w:val="00A52FF6"/>
    <w:rsid w:val="00A53882"/>
    <w:rsid w:val="00A5432A"/>
    <w:rsid w:val="00A56B07"/>
    <w:rsid w:val="00A6182B"/>
    <w:rsid w:val="00A742C1"/>
    <w:rsid w:val="00A83780"/>
    <w:rsid w:val="00AA3479"/>
    <w:rsid w:val="00AA442E"/>
    <w:rsid w:val="00AB2653"/>
    <w:rsid w:val="00AB2B00"/>
    <w:rsid w:val="00AE0A52"/>
    <w:rsid w:val="00AF2555"/>
    <w:rsid w:val="00B07AA5"/>
    <w:rsid w:val="00B17548"/>
    <w:rsid w:val="00B17AE2"/>
    <w:rsid w:val="00B23ABF"/>
    <w:rsid w:val="00B26DE1"/>
    <w:rsid w:val="00B42DFE"/>
    <w:rsid w:val="00B43CBF"/>
    <w:rsid w:val="00B44EA0"/>
    <w:rsid w:val="00B81F6B"/>
    <w:rsid w:val="00BD4DD2"/>
    <w:rsid w:val="00C00939"/>
    <w:rsid w:val="00C23D1C"/>
    <w:rsid w:val="00C64CE8"/>
    <w:rsid w:val="00C724FD"/>
    <w:rsid w:val="00C74404"/>
    <w:rsid w:val="00C764F9"/>
    <w:rsid w:val="00CA294A"/>
    <w:rsid w:val="00CD5C57"/>
    <w:rsid w:val="00D057CA"/>
    <w:rsid w:val="00D26AB8"/>
    <w:rsid w:val="00D43EBA"/>
    <w:rsid w:val="00D73530"/>
    <w:rsid w:val="00D739AC"/>
    <w:rsid w:val="00DA22D1"/>
    <w:rsid w:val="00DA69D3"/>
    <w:rsid w:val="00E06418"/>
    <w:rsid w:val="00E209A7"/>
    <w:rsid w:val="00E22B30"/>
    <w:rsid w:val="00E35500"/>
    <w:rsid w:val="00E67A64"/>
    <w:rsid w:val="00E922BB"/>
    <w:rsid w:val="00EC1117"/>
    <w:rsid w:val="00EF4670"/>
    <w:rsid w:val="00F156FD"/>
    <w:rsid w:val="00F37BA6"/>
    <w:rsid w:val="00F6252C"/>
    <w:rsid w:val="00F648EC"/>
    <w:rsid w:val="00F76A0F"/>
    <w:rsid w:val="00F860F3"/>
    <w:rsid w:val="00FA25C6"/>
    <w:rsid w:val="00FA4E96"/>
    <w:rsid w:val="00FB3868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3DE2"/>
  <w15:chartTrackingRefBased/>
  <w15:docId w15:val="{001A76F1-EC99-4B66-A166-D71D0D2B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0093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0939"/>
    <w:rPr>
      <w:color w:val="808080"/>
      <w:shd w:val="clear" w:color="auto" w:fill="E6E6E6"/>
    </w:rPr>
  </w:style>
  <w:style w:type="paragraph" w:styleId="Odstavekseznama">
    <w:name w:val="List Paragraph"/>
    <w:basedOn w:val="Navaden"/>
    <w:link w:val="OdstavekseznamaZnak"/>
    <w:uiPriority w:val="34"/>
    <w:qFormat/>
    <w:rsid w:val="00906DA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7BA6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link w:val="Odstavekseznama"/>
    <w:uiPriority w:val="34"/>
    <w:locked/>
    <w:rsid w:val="006556E4"/>
  </w:style>
  <w:style w:type="paragraph" w:styleId="Revizija">
    <w:name w:val="Revision"/>
    <w:hidden/>
    <w:uiPriority w:val="99"/>
    <w:semiHidden/>
    <w:rsid w:val="005307B1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307B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7B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7B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7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7B1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05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6CF8"/>
  </w:style>
  <w:style w:type="paragraph" w:styleId="Noga">
    <w:name w:val="footer"/>
    <w:basedOn w:val="Navaden"/>
    <w:link w:val="NogaZnak"/>
    <w:uiPriority w:val="99"/>
    <w:unhideWhenUsed/>
    <w:rsid w:val="0005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Mežnarić Šajn</dc:creator>
  <cp:keywords/>
  <dc:description/>
  <cp:lastModifiedBy>Polona Šega</cp:lastModifiedBy>
  <cp:revision>18</cp:revision>
  <cp:lastPrinted>2020-08-11T07:06:00Z</cp:lastPrinted>
  <dcterms:created xsi:type="dcterms:W3CDTF">2023-04-19T06:35:00Z</dcterms:created>
  <dcterms:modified xsi:type="dcterms:W3CDTF">2023-05-04T05:44:00Z</dcterms:modified>
</cp:coreProperties>
</file>