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A46" w:rsidRDefault="00A44A46" w:rsidP="00A44A46">
      <w:pPr>
        <w:autoSpaceDE w:val="0"/>
        <w:autoSpaceDN w:val="0"/>
        <w:adjustRightInd w:val="0"/>
        <w:spacing w:after="0" w:line="240" w:lineRule="auto"/>
        <w:jc w:val="both"/>
        <w:rPr>
          <w:rFonts w:cstheme="minorHAnsi"/>
          <w:color w:val="231F20"/>
        </w:rPr>
      </w:pPr>
      <w:bookmarkStart w:id="0" w:name="_GoBack"/>
      <w:bookmarkEnd w:id="0"/>
    </w:p>
    <w:p w:rsidR="008801A2" w:rsidRDefault="008801A2" w:rsidP="00A44A46">
      <w:pPr>
        <w:autoSpaceDE w:val="0"/>
        <w:autoSpaceDN w:val="0"/>
        <w:adjustRightInd w:val="0"/>
        <w:spacing w:after="0" w:line="240" w:lineRule="auto"/>
        <w:jc w:val="both"/>
        <w:rPr>
          <w:rFonts w:cstheme="minorHAnsi"/>
          <w:color w:val="231F20"/>
        </w:rPr>
      </w:pPr>
    </w:p>
    <w:p w:rsidR="008801A2" w:rsidRDefault="008801A2" w:rsidP="00A44A46">
      <w:pPr>
        <w:autoSpaceDE w:val="0"/>
        <w:autoSpaceDN w:val="0"/>
        <w:adjustRightInd w:val="0"/>
        <w:spacing w:after="0" w:line="240" w:lineRule="auto"/>
        <w:jc w:val="both"/>
        <w:rPr>
          <w:rFonts w:cstheme="minorHAnsi"/>
          <w:color w:val="231F20"/>
        </w:rPr>
      </w:pPr>
    </w:p>
    <w:p w:rsidR="008801A2" w:rsidRPr="00462FB6" w:rsidRDefault="008801A2" w:rsidP="008801A2">
      <w:pPr>
        <w:jc w:val="center"/>
        <w:rPr>
          <w:rFonts w:cstheme="minorHAnsi"/>
          <w:b/>
          <w:sz w:val="28"/>
          <w:szCs w:val="24"/>
        </w:rPr>
      </w:pPr>
      <w:bookmarkStart w:id="1" w:name="_Hlk526924081"/>
      <w:r w:rsidRPr="00462FB6">
        <w:rPr>
          <w:rFonts w:cstheme="minorHAnsi"/>
          <w:b/>
          <w:sz w:val="28"/>
          <w:szCs w:val="24"/>
        </w:rPr>
        <w:t>Kompetence so znanje v akciji</w:t>
      </w:r>
    </w:p>
    <w:p w:rsidR="008801A2" w:rsidRDefault="008801A2" w:rsidP="008801A2">
      <w:pPr>
        <w:jc w:val="both"/>
        <w:rPr>
          <w:rFonts w:cstheme="minorHAnsi"/>
          <w:sz w:val="24"/>
          <w:szCs w:val="24"/>
        </w:rPr>
      </w:pPr>
    </w:p>
    <w:p w:rsidR="008801A2" w:rsidRPr="00462FB6" w:rsidRDefault="008801A2" w:rsidP="008801A2">
      <w:pPr>
        <w:jc w:val="both"/>
        <w:rPr>
          <w:rFonts w:cstheme="minorHAnsi"/>
          <w:sz w:val="24"/>
          <w:szCs w:val="24"/>
        </w:rPr>
      </w:pPr>
      <w:r w:rsidRPr="00462FB6">
        <w:rPr>
          <w:rFonts w:cstheme="minorHAnsi"/>
          <w:sz w:val="24"/>
          <w:szCs w:val="24"/>
        </w:rPr>
        <w:t xml:space="preserve">V vsakdanjem življenju se pojem kompetenca vse bolj uveljavlja in zato imamo občutek, da vemo, kaj pomenijo izrazi kompetenca, kompetence, kompetenten ipd., čeprav teh pojmov ne znamo vedno najbolj natančno definirati in razlikovati </w:t>
      </w:r>
      <w:sdt>
        <w:sdtPr>
          <w:rPr>
            <w:rFonts w:cstheme="minorHAnsi"/>
            <w:sz w:val="24"/>
            <w:szCs w:val="24"/>
          </w:rPr>
          <w:id w:val="-417021452"/>
          <w:citation/>
        </w:sdtPr>
        <w:sdtEndPr/>
        <w:sdtContent>
          <w:r w:rsidRPr="00462FB6">
            <w:rPr>
              <w:rFonts w:cstheme="minorHAnsi"/>
              <w:sz w:val="24"/>
              <w:szCs w:val="24"/>
            </w:rPr>
            <w:fldChar w:fldCharType="begin"/>
          </w:r>
          <w:r w:rsidRPr="00462FB6">
            <w:rPr>
              <w:rFonts w:cstheme="minorHAnsi"/>
              <w:sz w:val="24"/>
              <w:szCs w:val="24"/>
            </w:rPr>
            <w:instrText xml:space="preserve"> CITATION Koh05 \l 1060 </w:instrText>
          </w:r>
          <w:r w:rsidRPr="00462FB6">
            <w:rPr>
              <w:rFonts w:cstheme="minorHAnsi"/>
              <w:sz w:val="24"/>
              <w:szCs w:val="24"/>
            </w:rPr>
            <w:fldChar w:fldCharType="separate"/>
          </w:r>
          <w:r w:rsidRPr="00462FB6">
            <w:rPr>
              <w:rFonts w:cstheme="minorHAnsi"/>
              <w:noProof/>
              <w:sz w:val="24"/>
              <w:szCs w:val="24"/>
            </w:rPr>
            <w:t>(Kohont, 2005)</w:t>
          </w:r>
          <w:r w:rsidRPr="00462FB6">
            <w:rPr>
              <w:rFonts w:cstheme="minorHAnsi"/>
              <w:sz w:val="24"/>
              <w:szCs w:val="24"/>
            </w:rPr>
            <w:fldChar w:fldCharType="end"/>
          </w:r>
        </w:sdtContent>
      </w:sdt>
      <w:r w:rsidRPr="00462FB6">
        <w:rPr>
          <w:rFonts w:cstheme="minorHAnsi"/>
          <w:sz w:val="24"/>
          <w:szCs w:val="24"/>
        </w:rPr>
        <w:t>. Prav zaradi omenjenega se pri delu tako pogosto srečujemo z vprašanjem v čem se kompetence sploh razlikujejo od znanja. Pojma sta seveda povezana. Kako, pa si poglejmo v nadaljevanju.</w:t>
      </w:r>
    </w:p>
    <w:p w:rsidR="008801A2" w:rsidRPr="00462FB6" w:rsidRDefault="008801A2" w:rsidP="008801A2">
      <w:pPr>
        <w:jc w:val="both"/>
        <w:rPr>
          <w:rFonts w:cstheme="minorHAnsi"/>
          <w:sz w:val="24"/>
          <w:szCs w:val="24"/>
        </w:rPr>
      </w:pPr>
      <w:r w:rsidRPr="00462FB6">
        <w:rPr>
          <w:rFonts w:cstheme="minorHAnsi"/>
          <w:sz w:val="24"/>
          <w:szCs w:val="24"/>
        </w:rPr>
        <w:t xml:space="preserve">Slovar slovenskega knjižnega jezika </w:t>
      </w:r>
      <w:sdt>
        <w:sdtPr>
          <w:rPr>
            <w:rFonts w:cstheme="minorHAnsi"/>
            <w:sz w:val="24"/>
            <w:szCs w:val="24"/>
          </w:rPr>
          <w:id w:val="-1272393790"/>
          <w:citation/>
        </w:sdtPr>
        <w:sdtEndPr/>
        <w:sdtContent>
          <w:r w:rsidRPr="00462FB6">
            <w:rPr>
              <w:rFonts w:cstheme="minorHAnsi"/>
              <w:sz w:val="24"/>
              <w:szCs w:val="24"/>
            </w:rPr>
            <w:fldChar w:fldCharType="begin"/>
          </w:r>
          <w:r w:rsidRPr="00462FB6">
            <w:rPr>
              <w:rFonts w:cstheme="minorHAnsi"/>
              <w:sz w:val="24"/>
              <w:szCs w:val="24"/>
            </w:rPr>
            <w:instrText xml:space="preserve"> CITATION Inš16 \l 1060 </w:instrText>
          </w:r>
          <w:r w:rsidRPr="00462FB6">
            <w:rPr>
              <w:rFonts w:cstheme="minorHAnsi"/>
              <w:sz w:val="24"/>
              <w:szCs w:val="24"/>
            </w:rPr>
            <w:fldChar w:fldCharType="separate"/>
          </w:r>
          <w:r w:rsidRPr="00462FB6">
            <w:rPr>
              <w:rFonts w:cstheme="minorHAnsi"/>
              <w:noProof/>
              <w:sz w:val="24"/>
              <w:szCs w:val="24"/>
            </w:rPr>
            <w:t>(Inštitut za slovenski jezik Frana Ramovša ZRC SAZU, 2016)</w:t>
          </w:r>
          <w:r w:rsidRPr="00462FB6">
            <w:rPr>
              <w:rFonts w:cstheme="minorHAnsi"/>
              <w:sz w:val="24"/>
              <w:szCs w:val="24"/>
            </w:rPr>
            <w:fldChar w:fldCharType="end"/>
          </w:r>
        </w:sdtContent>
      </w:sdt>
      <w:r w:rsidRPr="00462FB6">
        <w:rPr>
          <w:rFonts w:cstheme="minorHAnsi"/>
          <w:sz w:val="24"/>
          <w:szCs w:val="24"/>
        </w:rPr>
        <w:t xml:space="preserve"> </w:t>
      </w:r>
      <w:r w:rsidRPr="00462FB6">
        <w:rPr>
          <w:rFonts w:cstheme="minorHAnsi"/>
          <w:b/>
          <w:sz w:val="24"/>
          <w:szCs w:val="24"/>
        </w:rPr>
        <w:t>znanje določa kot celoto podatkov</w:t>
      </w:r>
      <w:r w:rsidRPr="00462FB6">
        <w:rPr>
          <w:rFonts w:cstheme="minorHAnsi"/>
          <w:sz w:val="24"/>
          <w:szCs w:val="24"/>
        </w:rPr>
        <w:t>, ki si jih kdo vtisne v zavest z učenjem, študijem in kot celoto znanih, ugotovljenih podatkov o stvarnosti. Znanje je z učenjem pridobljeno poznavanje besedila, da se to lahko pove in navede, poznavanje, veščina, spretnost in poznanstvo.</w:t>
      </w:r>
    </w:p>
    <w:p w:rsidR="008801A2" w:rsidRPr="00462FB6" w:rsidRDefault="008801A2" w:rsidP="008801A2">
      <w:pPr>
        <w:jc w:val="both"/>
        <w:rPr>
          <w:rFonts w:cstheme="minorHAnsi"/>
          <w:sz w:val="24"/>
          <w:szCs w:val="24"/>
        </w:rPr>
      </w:pPr>
      <w:r w:rsidRPr="00462FB6">
        <w:rPr>
          <w:rFonts w:cstheme="minorHAnsi"/>
          <w:sz w:val="24"/>
          <w:szCs w:val="24"/>
        </w:rPr>
        <w:t xml:space="preserve">Kompetenca je od znanja širši pojem. </w:t>
      </w:r>
      <w:r w:rsidRPr="00462FB6">
        <w:rPr>
          <w:rFonts w:cstheme="minorHAnsi"/>
          <w:noProof/>
          <w:sz w:val="24"/>
          <w:szCs w:val="24"/>
        </w:rPr>
        <w:t>Von Krogh in Ross (1995) menita</w:t>
      </w:r>
      <w:r w:rsidRPr="00462FB6">
        <w:rPr>
          <w:rFonts w:cstheme="minorHAnsi"/>
          <w:sz w:val="24"/>
          <w:szCs w:val="24"/>
        </w:rPr>
        <w:t xml:space="preserve">, da je </w:t>
      </w:r>
      <w:r w:rsidRPr="00462FB6">
        <w:rPr>
          <w:rFonts w:cstheme="minorHAnsi"/>
          <w:b/>
          <w:sz w:val="24"/>
          <w:szCs w:val="24"/>
        </w:rPr>
        <w:t>znanje podlaga za formiranje kompetenc</w:t>
      </w:r>
      <w:r w:rsidRPr="00462FB6">
        <w:rPr>
          <w:rFonts w:cstheme="minorHAnsi"/>
          <w:sz w:val="24"/>
          <w:szCs w:val="24"/>
        </w:rPr>
        <w:t xml:space="preserve"> pri posamezniku. </w:t>
      </w:r>
    </w:p>
    <w:p w:rsidR="008801A2" w:rsidRPr="00462FB6" w:rsidRDefault="008801A2" w:rsidP="008801A2">
      <w:pPr>
        <w:jc w:val="both"/>
        <w:rPr>
          <w:rFonts w:cstheme="minorHAnsi"/>
          <w:noProof/>
          <w:sz w:val="24"/>
          <w:szCs w:val="24"/>
        </w:rPr>
      </w:pPr>
      <w:r w:rsidRPr="00462FB6">
        <w:rPr>
          <w:rFonts w:cstheme="minorHAnsi"/>
          <w:sz w:val="24"/>
          <w:szCs w:val="24"/>
        </w:rPr>
        <w:t xml:space="preserve">Kompetenca je znanje v akciji. </w:t>
      </w:r>
      <w:r w:rsidRPr="00462FB6">
        <w:rPr>
          <w:rFonts w:cstheme="minorHAnsi"/>
          <w:b/>
          <w:sz w:val="24"/>
          <w:szCs w:val="24"/>
        </w:rPr>
        <w:t>Brez znanja ne moremo biti kompetentni; lahko pa imamo znanje, pa vendar nas le-to še ne naredi kompetentne.</w:t>
      </w:r>
      <w:r w:rsidRPr="00462FB6">
        <w:rPr>
          <w:rFonts w:cstheme="minorHAnsi"/>
          <w:sz w:val="24"/>
          <w:szCs w:val="24"/>
        </w:rPr>
        <w:t xml:space="preserve"> Podobno meni </w:t>
      </w:r>
      <w:r w:rsidRPr="00462FB6">
        <w:rPr>
          <w:rFonts w:cstheme="minorHAnsi"/>
          <w:noProof/>
          <w:sz w:val="24"/>
          <w:szCs w:val="24"/>
        </w:rPr>
        <w:t>Kohont (2005), ki v svojem delu meni, da so temeljne sestavine kompetenc: znanje, osebnostne lastnosti, sposobnosti, motivacija, samopodoba in vrednote.</w:t>
      </w:r>
    </w:p>
    <w:p w:rsidR="008801A2" w:rsidRPr="008801A2" w:rsidRDefault="008801A2" w:rsidP="008801A2">
      <w:pPr>
        <w:jc w:val="both"/>
        <w:rPr>
          <w:rFonts w:cstheme="minorHAnsi"/>
          <w:sz w:val="24"/>
          <w:szCs w:val="24"/>
        </w:rPr>
      </w:pPr>
      <w:r w:rsidRPr="00462FB6">
        <w:rPr>
          <w:rFonts w:cstheme="minorHAnsi"/>
          <w:noProof/>
          <w:sz w:val="24"/>
          <w:szCs w:val="24"/>
        </w:rPr>
        <w:t xml:space="preserve">Teoretično je torej </w:t>
      </w:r>
      <w:r w:rsidRPr="00462FB6">
        <w:rPr>
          <w:rFonts w:cstheme="minorHAnsi"/>
          <w:b/>
          <w:noProof/>
          <w:sz w:val="24"/>
          <w:szCs w:val="24"/>
        </w:rPr>
        <w:t>znanje nepogrešljiva sestavina kompetenc</w:t>
      </w:r>
      <w:r w:rsidRPr="00462FB6">
        <w:rPr>
          <w:rFonts w:cstheme="minorHAnsi"/>
          <w:noProof/>
          <w:sz w:val="24"/>
          <w:szCs w:val="24"/>
        </w:rPr>
        <w:t>, saj brez znanja kompetenc ne bi bilo. Hkrati pa kompetenca ni le sposobnost uporabe znanja (Bramming in Holt Larsen,</w:t>
      </w:r>
      <w:r w:rsidRPr="00462FB6">
        <w:rPr>
          <w:rFonts w:cstheme="minorHAnsi"/>
          <w:sz w:val="24"/>
          <w:szCs w:val="24"/>
        </w:rPr>
        <w:t xml:space="preserve"> 2000), temveč je celota zmožnosti (sposobnosti, znanje in motivacija), samopodobe in vrednot posameznika, ki jih zna, hoče in zmore uspešno uporabiti v kontekstu in okolju dane situacije. Šele ko celoto zmožnosti, samopodobe in vrednot posameznika </w:t>
      </w:r>
      <w:r w:rsidRPr="00462FB6">
        <w:rPr>
          <w:rFonts w:cstheme="minorHAnsi"/>
          <w:b/>
          <w:sz w:val="24"/>
          <w:szCs w:val="24"/>
        </w:rPr>
        <w:t>postavimo v okvir socialnega in fizičnega okolja,</w:t>
      </w:r>
      <w:r w:rsidRPr="00462FB6">
        <w:rPr>
          <w:rFonts w:cstheme="minorHAnsi"/>
          <w:sz w:val="24"/>
          <w:szCs w:val="24"/>
        </w:rPr>
        <w:t xml:space="preserve"> v katerem opravlja določeno vlogo ali nalogo, lahko govorimo o njegovi (ne)kompetentnosti. Lahko bi rekli, da smo v določenem okolju oziroma organizaciji (ne)kompetentni, ne pa tudi v drugem okolju, ki postavlja drugačne standarde. Kompetentnost pa nedvomno daje </w:t>
      </w:r>
      <w:bookmarkStart w:id="2" w:name="_Hlk526923404"/>
      <w:r w:rsidRPr="00462FB6">
        <w:rPr>
          <w:rFonts w:cstheme="minorHAnsi"/>
          <w:sz w:val="24"/>
          <w:szCs w:val="24"/>
        </w:rPr>
        <w:t xml:space="preserve">posamezniku možnost, da se s svojim vedenjem uspešno prilagaja okolju (profesiji, organizaciji, delu, vlogi, situaciji) </w:t>
      </w:r>
      <w:bookmarkEnd w:id="2"/>
      <w:sdt>
        <w:sdtPr>
          <w:rPr>
            <w:rFonts w:cstheme="minorHAnsi"/>
            <w:sz w:val="24"/>
            <w:szCs w:val="24"/>
          </w:rPr>
          <w:id w:val="2142300414"/>
          <w:citation/>
        </w:sdtPr>
        <w:sdtEndPr/>
        <w:sdtContent>
          <w:r w:rsidRPr="00462FB6">
            <w:rPr>
              <w:rFonts w:cstheme="minorHAnsi"/>
              <w:sz w:val="24"/>
              <w:szCs w:val="24"/>
            </w:rPr>
            <w:fldChar w:fldCharType="begin"/>
          </w:r>
          <w:r w:rsidRPr="00462FB6">
            <w:rPr>
              <w:rFonts w:cstheme="minorHAnsi"/>
              <w:sz w:val="24"/>
              <w:szCs w:val="24"/>
            </w:rPr>
            <w:instrText xml:space="preserve"> CITATION Koh05 \l 1060 </w:instrText>
          </w:r>
          <w:r w:rsidRPr="00462FB6">
            <w:rPr>
              <w:rFonts w:cstheme="minorHAnsi"/>
              <w:sz w:val="24"/>
              <w:szCs w:val="24"/>
            </w:rPr>
            <w:fldChar w:fldCharType="separate"/>
          </w:r>
          <w:r w:rsidRPr="00462FB6">
            <w:rPr>
              <w:rFonts w:cstheme="minorHAnsi"/>
              <w:sz w:val="24"/>
              <w:szCs w:val="24"/>
            </w:rPr>
            <w:t>(Kohont, 2005)</w:t>
          </w:r>
          <w:r w:rsidRPr="00462FB6">
            <w:rPr>
              <w:rFonts w:cstheme="minorHAnsi"/>
              <w:sz w:val="24"/>
              <w:szCs w:val="24"/>
            </w:rPr>
            <w:fldChar w:fldCharType="end"/>
          </w:r>
        </w:sdtContent>
      </w:sdt>
      <w:r w:rsidRPr="00462FB6">
        <w:rPr>
          <w:rFonts w:cstheme="minorHAnsi"/>
          <w:sz w:val="24"/>
          <w:szCs w:val="24"/>
        </w:rPr>
        <w:t>.</w:t>
      </w:r>
      <w:r w:rsidR="00601101" w:rsidRPr="00462FB6">
        <w:rPr>
          <w:rFonts w:cstheme="minorHAnsi"/>
          <w:sz w:val="24"/>
          <w:szCs w:val="24"/>
        </w:rPr>
        <w:t xml:space="preserve"> </w:t>
      </w:r>
      <w:r w:rsidRPr="00462FB6">
        <w:rPr>
          <w:rFonts w:cstheme="minorHAnsi"/>
          <w:sz w:val="24"/>
          <w:szCs w:val="24"/>
        </w:rPr>
        <w:t xml:space="preserve">Pa si poglejmo povezanost med znanjem in kompetencami še na </w:t>
      </w:r>
      <w:r w:rsidRPr="00462FB6">
        <w:rPr>
          <w:rFonts w:cstheme="minorHAnsi"/>
          <w:b/>
          <w:sz w:val="24"/>
          <w:szCs w:val="24"/>
        </w:rPr>
        <w:t>praktičnem primeru.</w:t>
      </w:r>
    </w:p>
    <w:p w:rsidR="008801A2" w:rsidRPr="00462FB6" w:rsidRDefault="008801A2" w:rsidP="008801A2">
      <w:pPr>
        <w:rPr>
          <w:rFonts w:cstheme="minorHAnsi"/>
          <w:b/>
          <w:sz w:val="24"/>
          <w:szCs w:val="24"/>
        </w:rPr>
      </w:pPr>
    </w:p>
    <w:p w:rsidR="008801A2" w:rsidRPr="00462FB6" w:rsidRDefault="008801A2" w:rsidP="008801A2">
      <w:pPr>
        <w:pStyle w:val="Telobesedila"/>
        <w:ind w:left="2832" w:right="102"/>
        <w:jc w:val="both"/>
        <w:rPr>
          <w:rFonts w:asciiTheme="minorHAnsi" w:eastAsiaTheme="minorHAnsi" w:hAnsiTheme="minorHAnsi" w:cstheme="minorHAnsi"/>
          <w:lang w:val="sl-SI"/>
        </w:rPr>
      </w:pPr>
      <w:r w:rsidRPr="00462FB6">
        <w:rPr>
          <w:rFonts w:asciiTheme="minorHAnsi" w:hAnsiTheme="minorHAnsi" w:cstheme="minorHAnsi"/>
          <w:noProof/>
        </w:rPr>
        <w:lastRenderedPageBreak/>
        <w:drawing>
          <wp:inline distT="0" distB="0" distL="0" distR="0" wp14:anchorId="7F63F880" wp14:editId="39413D69">
            <wp:extent cx="1577187" cy="1577187"/>
            <wp:effectExtent l="0" t="0" r="4445" b="4445"/>
            <wp:docPr id="3" name="Slika 3" descr="Dekorativ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84662" cy="1584662"/>
                    </a:xfrm>
                    <a:prstGeom prst="rect">
                      <a:avLst/>
                    </a:prstGeom>
                  </pic:spPr>
                </pic:pic>
              </a:graphicData>
            </a:graphic>
          </wp:inline>
        </w:drawing>
      </w:r>
    </w:p>
    <w:p w:rsidR="008801A2" w:rsidRPr="00462FB6" w:rsidRDefault="008801A2" w:rsidP="008801A2">
      <w:pPr>
        <w:pStyle w:val="Telobesedila"/>
        <w:ind w:right="102"/>
        <w:jc w:val="both"/>
        <w:rPr>
          <w:rFonts w:asciiTheme="minorHAnsi" w:eastAsiaTheme="minorHAnsi" w:hAnsiTheme="minorHAnsi" w:cstheme="minorHAnsi"/>
          <w:lang w:val="sl-SI"/>
        </w:rPr>
      </w:pPr>
    </w:p>
    <w:p w:rsidR="008801A2" w:rsidRPr="00462FB6" w:rsidRDefault="008801A2" w:rsidP="008801A2">
      <w:pPr>
        <w:pStyle w:val="Telobesedila"/>
        <w:ind w:right="102"/>
        <w:jc w:val="both"/>
        <w:rPr>
          <w:rFonts w:asciiTheme="minorHAnsi" w:eastAsiaTheme="minorHAnsi" w:hAnsiTheme="minorHAnsi" w:cstheme="minorHAnsi"/>
          <w:lang w:val="sl-SI"/>
        </w:rPr>
      </w:pPr>
      <w:r w:rsidRPr="00462FB6">
        <w:rPr>
          <w:rFonts w:asciiTheme="minorHAnsi" w:eastAsiaTheme="minorHAnsi" w:hAnsiTheme="minorHAnsi" w:cstheme="minorHAnsi"/>
          <w:lang w:val="sl-SI"/>
        </w:rPr>
        <w:t xml:space="preserve">Znanje zdravnika izhaja iz predhodnega izobraževanja, izkušenj in je pridobljeno tudi iz virov, kot so medicinska literatura, predavanja in pogovori z vrstniki. Znanje je na primer, poznavanje različnih vrst antibiotikov, imen znotraj vsakega razreda zdravil in tistih mikroorganizmov, za katere je določen antibiotik učinkovit ali ne. </w:t>
      </w:r>
    </w:p>
    <w:p w:rsidR="008801A2" w:rsidRPr="00462FB6" w:rsidRDefault="008801A2" w:rsidP="008801A2">
      <w:pPr>
        <w:pStyle w:val="Telobesedila"/>
        <w:ind w:right="102"/>
        <w:jc w:val="both"/>
        <w:rPr>
          <w:rFonts w:asciiTheme="minorHAnsi" w:eastAsiaTheme="minorHAnsi" w:hAnsiTheme="minorHAnsi" w:cstheme="minorHAnsi"/>
          <w:lang w:val="sl-SI"/>
        </w:rPr>
      </w:pPr>
    </w:p>
    <w:p w:rsidR="008801A2" w:rsidRPr="00462FB6" w:rsidRDefault="008801A2" w:rsidP="008801A2">
      <w:pPr>
        <w:pStyle w:val="Telobesedila"/>
        <w:ind w:right="102"/>
        <w:jc w:val="both"/>
        <w:rPr>
          <w:rFonts w:asciiTheme="minorHAnsi" w:eastAsiaTheme="minorHAnsi" w:hAnsiTheme="minorHAnsi" w:cstheme="minorHAnsi"/>
          <w:lang w:val="sl-SI"/>
        </w:rPr>
      </w:pPr>
      <w:r w:rsidRPr="00462FB6">
        <w:rPr>
          <w:rFonts w:asciiTheme="minorHAnsi" w:eastAsiaTheme="minorHAnsi" w:hAnsiTheme="minorHAnsi" w:cstheme="minorHAnsi"/>
          <w:lang w:val="sl-SI"/>
        </w:rPr>
        <w:t>Kompetenca pa pomeni</w:t>
      </w:r>
      <w:r w:rsidRPr="00462FB6">
        <w:rPr>
          <w:rFonts w:asciiTheme="minorHAnsi" w:hAnsiTheme="minorHAnsi" w:cstheme="minorHAnsi"/>
          <w:lang w:val="sl-SI"/>
        </w:rPr>
        <w:t xml:space="preserve"> </w:t>
      </w:r>
      <w:r w:rsidRPr="00462FB6">
        <w:rPr>
          <w:rFonts w:asciiTheme="minorHAnsi" w:eastAsiaTheme="minorHAnsi" w:hAnsiTheme="minorHAnsi" w:cstheme="minorHAnsi"/>
          <w:lang w:val="sl-SI"/>
        </w:rPr>
        <w:t xml:space="preserve">sposobnost, zmožnost in motivacijo zdravnika, da na podlagi različnih vprašanj in predstavljenih simptomov najprej prepozna mikroorganizem, ga poveže s konkretno učinkovino v posameznem antibiotiku in ustrezno predpiše pravi antibiotik glede na bolnikove ostale značilnosti. </w:t>
      </w:r>
    </w:p>
    <w:p w:rsidR="008801A2" w:rsidRPr="00462FB6" w:rsidRDefault="008801A2" w:rsidP="008801A2">
      <w:pPr>
        <w:pStyle w:val="Telobesedila"/>
        <w:ind w:right="102"/>
        <w:jc w:val="both"/>
        <w:rPr>
          <w:rFonts w:asciiTheme="minorHAnsi" w:eastAsiaTheme="minorHAnsi" w:hAnsiTheme="minorHAnsi" w:cstheme="minorHAnsi"/>
          <w:lang w:val="sl-SI"/>
        </w:rPr>
      </w:pPr>
    </w:p>
    <w:p w:rsidR="008801A2" w:rsidRPr="00462FB6" w:rsidRDefault="008801A2" w:rsidP="008801A2">
      <w:pPr>
        <w:pStyle w:val="Telobesedila"/>
        <w:ind w:right="102"/>
        <w:jc w:val="both"/>
        <w:rPr>
          <w:rFonts w:asciiTheme="minorHAnsi" w:eastAsiaTheme="minorHAnsi" w:hAnsiTheme="minorHAnsi" w:cstheme="minorHAnsi"/>
          <w:lang w:val="sl-SI"/>
        </w:rPr>
      </w:pPr>
      <w:r w:rsidRPr="00462FB6">
        <w:rPr>
          <w:rFonts w:asciiTheme="minorHAnsi" w:eastAsiaTheme="minorHAnsi" w:hAnsiTheme="minorHAnsi" w:cstheme="minorHAnsi"/>
          <w:lang w:val="sl-SI"/>
        </w:rPr>
        <w:t>Tudi pri določanju kompetenc v okviru projekta Vzpostavitev kompetenčnega modela v državni upravi izhajamo iz značilnosti okolja, v katerem zaposleni delujejo. To pomeni, da bodo kompetence, ki bodo sestavljale kompetenčni model vključevale značilnosti sedanje državne uprave poleg tega pa tudi st</w:t>
      </w:r>
      <w:r>
        <w:rPr>
          <w:rFonts w:asciiTheme="minorHAnsi" w:eastAsiaTheme="minorHAnsi" w:hAnsiTheme="minorHAnsi" w:cstheme="minorHAnsi"/>
          <w:lang w:val="sl-SI"/>
        </w:rPr>
        <w:t xml:space="preserve">rateški vidik in vizijo, kakšna vedenja v </w:t>
      </w:r>
      <w:r w:rsidRPr="00462FB6">
        <w:rPr>
          <w:rFonts w:asciiTheme="minorHAnsi" w:eastAsiaTheme="minorHAnsi" w:hAnsiTheme="minorHAnsi" w:cstheme="minorHAnsi"/>
          <w:lang w:val="sl-SI"/>
        </w:rPr>
        <w:t>državn</w:t>
      </w:r>
      <w:r>
        <w:rPr>
          <w:rFonts w:asciiTheme="minorHAnsi" w:eastAsiaTheme="minorHAnsi" w:hAnsiTheme="minorHAnsi" w:cstheme="minorHAnsi"/>
          <w:lang w:val="sl-SI"/>
        </w:rPr>
        <w:t>i</w:t>
      </w:r>
      <w:r w:rsidRPr="00462FB6">
        <w:rPr>
          <w:rFonts w:asciiTheme="minorHAnsi" w:eastAsiaTheme="minorHAnsi" w:hAnsiTheme="minorHAnsi" w:cstheme="minorHAnsi"/>
          <w:lang w:val="sl-SI"/>
        </w:rPr>
        <w:t xml:space="preserve"> uprav</w:t>
      </w:r>
      <w:r>
        <w:rPr>
          <w:rFonts w:asciiTheme="minorHAnsi" w:eastAsiaTheme="minorHAnsi" w:hAnsiTheme="minorHAnsi" w:cstheme="minorHAnsi"/>
          <w:lang w:val="sl-SI"/>
        </w:rPr>
        <w:t>i</w:t>
      </w:r>
      <w:r w:rsidRPr="00462FB6">
        <w:rPr>
          <w:rFonts w:asciiTheme="minorHAnsi" w:eastAsiaTheme="minorHAnsi" w:hAnsiTheme="minorHAnsi" w:cstheme="minorHAnsi"/>
          <w:lang w:val="sl-SI"/>
        </w:rPr>
        <w:t xml:space="preserve"> si želimo v prihodnosti. Na ta način bo opredeljeno socialno in fizično okolje, v okviru katerega se bodo kompetence zaposlenih lahko presojale</w:t>
      </w:r>
      <w:r w:rsidRPr="00462FB6">
        <w:rPr>
          <w:rFonts w:asciiTheme="minorHAnsi" w:hAnsiTheme="minorHAnsi" w:cstheme="minorHAnsi"/>
          <w:lang w:val="sl-SI"/>
        </w:rPr>
        <w:t xml:space="preserve"> hkrati pa bo zaposlenim ponujena  možnost, da se s svojim vedenjem uspešno prilagajajo okolju (profesiji, organizaciji, delu, vlogi, situaciji).</w:t>
      </w:r>
    </w:p>
    <w:sdt>
      <w:sdtPr>
        <w:rPr>
          <w:rFonts w:asciiTheme="minorHAnsi" w:eastAsiaTheme="minorHAnsi" w:hAnsiTheme="minorHAnsi" w:cstheme="minorHAnsi"/>
          <w:b w:val="0"/>
          <w:bCs w:val="0"/>
          <w:color w:val="auto"/>
          <w:sz w:val="20"/>
          <w:szCs w:val="22"/>
          <w:lang w:val="en-GB" w:eastAsia="en-US"/>
        </w:rPr>
        <w:id w:val="-570040730"/>
        <w:docPartObj>
          <w:docPartGallery w:val="Bibliographies"/>
          <w:docPartUnique/>
        </w:docPartObj>
      </w:sdtPr>
      <w:sdtEndPr>
        <w:rPr>
          <w:sz w:val="22"/>
          <w:lang w:val="sl-SI"/>
        </w:rPr>
      </w:sdtEndPr>
      <w:sdtContent>
        <w:p w:rsidR="008801A2" w:rsidRPr="00B615C4" w:rsidRDefault="008801A2" w:rsidP="008801A2">
          <w:pPr>
            <w:pStyle w:val="Naslov1"/>
            <w:rPr>
              <w:rFonts w:asciiTheme="minorHAnsi" w:hAnsiTheme="minorHAnsi" w:cstheme="minorHAnsi"/>
              <w:color w:val="323E4F" w:themeColor="text2" w:themeShade="BF"/>
            </w:rPr>
          </w:pPr>
          <w:r w:rsidRPr="00B615C4">
            <w:rPr>
              <w:rFonts w:asciiTheme="minorHAnsi" w:hAnsiTheme="minorHAnsi" w:cstheme="minorHAnsi"/>
              <w:color w:val="323E4F" w:themeColor="text2" w:themeShade="BF"/>
            </w:rPr>
            <w:t>Literatura</w:t>
          </w:r>
        </w:p>
        <w:p w:rsidR="008801A2" w:rsidRPr="00462FB6" w:rsidRDefault="008801A2" w:rsidP="008801A2">
          <w:pPr>
            <w:pStyle w:val="Bibliografija"/>
            <w:jc w:val="both"/>
            <w:rPr>
              <w:rFonts w:asciiTheme="minorHAnsi" w:hAnsiTheme="minorHAnsi" w:cstheme="minorHAnsi"/>
              <w:noProof/>
              <w:sz w:val="24"/>
              <w:szCs w:val="24"/>
            </w:rPr>
          </w:pPr>
          <w:r w:rsidRPr="00462FB6">
            <w:rPr>
              <w:rFonts w:asciiTheme="minorHAnsi" w:hAnsiTheme="minorHAnsi" w:cstheme="minorHAnsi"/>
              <w:sz w:val="24"/>
              <w:szCs w:val="24"/>
            </w:rPr>
            <w:fldChar w:fldCharType="begin"/>
          </w:r>
          <w:r w:rsidRPr="00462FB6">
            <w:rPr>
              <w:rFonts w:asciiTheme="minorHAnsi" w:hAnsiTheme="minorHAnsi" w:cstheme="minorHAnsi"/>
              <w:sz w:val="24"/>
              <w:szCs w:val="24"/>
            </w:rPr>
            <w:instrText>BIBLIOGRAPHY</w:instrText>
          </w:r>
          <w:r w:rsidRPr="00462FB6">
            <w:rPr>
              <w:rFonts w:asciiTheme="minorHAnsi" w:hAnsiTheme="minorHAnsi" w:cstheme="minorHAnsi"/>
              <w:sz w:val="24"/>
              <w:szCs w:val="24"/>
            </w:rPr>
            <w:fldChar w:fldCharType="separate"/>
          </w:r>
          <w:r w:rsidRPr="00462FB6">
            <w:rPr>
              <w:rFonts w:asciiTheme="minorHAnsi" w:hAnsiTheme="minorHAnsi" w:cstheme="minorHAnsi"/>
              <w:noProof/>
              <w:sz w:val="24"/>
              <w:szCs w:val="24"/>
            </w:rPr>
            <w:t xml:space="preserve">Bramming, P. in Holt Larsen, H., 2000. Making sense of the drive for competence. V C. Brewster &amp; H. Holt Larsen, ured. </w:t>
          </w:r>
          <w:r w:rsidRPr="00462FB6">
            <w:rPr>
              <w:rFonts w:asciiTheme="minorHAnsi" w:hAnsiTheme="minorHAnsi" w:cstheme="minorHAnsi"/>
              <w:i/>
              <w:iCs/>
              <w:noProof/>
              <w:sz w:val="24"/>
              <w:szCs w:val="24"/>
            </w:rPr>
            <w:t xml:space="preserve">Human resource management in Northern Europe: Trends, dilemmas and strategy. </w:t>
          </w:r>
          <w:r w:rsidRPr="00462FB6">
            <w:rPr>
              <w:rFonts w:asciiTheme="minorHAnsi" w:hAnsiTheme="minorHAnsi" w:cstheme="minorHAnsi"/>
              <w:noProof/>
              <w:sz w:val="24"/>
              <w:szCs w:val="24"/>
            </w:rPr>
            <w:t>UK: Blackwell publishers, pp. 66-88.</w:t>
          </w:r>
        </w:p>
        <w:p w:rsidR="008801A2" w:rsidRPr="00462FB6" w:rsidRDefault="008801A2" w:rsidP="008801A2">
          <w:pPr>
            <w:pStyle w:val="Bibliografija"/>
            <w:jc w:val="both"/>
            <w:rPr>
              <w:rFonts w:asciiTheme="minorHAnsi" w:hAnsiTheme="minorHAnsi" w:cstheme="minorHAnsi"/>
              <w:noProof/>
              <w:sz w:val="24"/>
              <w:szCs w:val="24"/>
            </w:rPr>
          </w:pPr>
        </w:p>
        <w:p w:rsidR="008801A2" w:rsidRPr="00462FB6" w:rsidRDefault="008801A2" w:rsidP="008801A2">
          <w:pPr>
            <w:pStyle w:val="Bibliografija"/>
            <w:jc w:val="both"/>
            <w:rPr>
              <w:rFonts w:asciiTheme="minorHAnsi" w:hAnsiTheme="minorHAnsi" w:cstheme="minorHAnsi"/>
              <w:noProof/>
              <w:sz w:val="24"/>
              <w:szCs w:val="24"/>
              <w:lang w:val="de-DE"/>
            </w:rPr>
          </w:pPr>
          <w:r w:rsidRPr="00462FB6">
            <w:rPr>
              <w:rFonts w:asciiTheme="minorHAnsi" w:hAnsiTheme="minorHAnsi" w:cstheme="minorHAnsi"/>
              <w:noProof/>
              <w:sz w:val="24"/>
              <w:szCs w:val="24"/>
            </w:rPr>
            <w:t xml:space="preserve">Inštitut za slovenski jezik Frana Ramovša ZRC SAZU, 2016. </w:t>
          </w:r>
          <w:r w:rsidRPr="00462FB6">
            <w:rPr>
              <w:rFonts w:asciiTheme="minorHAnsi" w:hAnsiTheme="minorHAnsi" w:cstheme="minorHAnsi"/>
              <w:i/>
              <w:iCs/>
              <w:noProof/>
              <w:sz w:val="24"/>
              <w:szCs w:val="24"/>
            </w:rPr>
            <w:t xml:space="preserve">Slovar slovenskega knjižnega jezika SSKJ. </w:t>
          </w:r>
          <w:r w:rsidRPr="00462FB6">
            <w:rPr>
              <w:rFonts w:asciiTheme="minorHAnsi" w:hAnsiTheme="minorHAnsi" w:cstheme="minorHAnsi"/>
              <w:noProof/>
              <w:sz w:val="24"/>
              <w:szCs w:val="24"/>
              <w:lang w:val="de-DE"/>
            </w:rPr>
            <w:t xml:space="preserve">[Elektronski vir] Dostopno na: </w:t>
          </w:r>
          <w:r w:rsidRPr="00462FB6">
            <w:rPr>
              <w:rFonts w:asciiTheme="minorHAnsi" w:hAnsiTheme="minorHAnsi" w:cstheme="minorHAnsi"/>
              <w:noProof/>
              <w:sz w:val="24"/>
              <w:szCs w:val="24"/>
              <w:u w:val="single"/>
              <w:lang w:val="de-DE"/>
            </w:rPr>
            <w:t xml:space="preserve">https://sskj.si/?s=znanje </w:t>
          </w:r>
          <w:r w:rsidRPr="00462FB6">
            <w:rPr>
              <w:rFonts w:asciiTheme="minorHAnsi" w:hAnsiTheme="minorHAnsi" w:cstheme="minorHAnsi"/>
              <w:noProof/>
              <w:sz w:val="24"/>
              <w:szCs w:val="24"/>
              <w:lang w:val="de-DE"/>
            </w:rPr>
            <w:t>[Dostop 8. oktober 2018].</w:t>
          </w:r>
        </w:p>
        <w:p w:rsidR="008801A2" w:rsidRPr="00462FB6" w:rsidRDefault="008801A2" w:rsidP="008801A2">
          <w:pPr>
            <w:pStyle w:val="Bibliografija"/>
            <w:jc w:val="both"/>
            <w:rPr>
              <w:rFonts w:asciiTheme="minorHAnsi" w:hAnsiTheme="minorHAnsi" w:cstheme="minorHAnsi"/>
              <w:noProof/>
              <w:sz w:val="24"/>
              <w:szCs w:val="24"/>
              <w:lang w:val="de-DE"/>
            </w:rPr>
          </w:pPr>
        </w:p>
        <w:p w:rsidR="008801A2" w:rsidRPr="00462FB6" w:rsidRDefault="008801A2" w:rsidP="008801A2">
          <w:pPr>
            <w:pStyle w:val="Bibliografija"/>
            <w:jc w:val="both"/>
            <w:rPr>
              <w:rFonts w:asciiTheme="minorHAnsi" w:hAnsiTheme="minorHAnsi" w:cstheme="minorHAnsi"/>
              <w:noProof/>
              <w:sz w:val="24"/>
              <w:szCs w:val="24"/>
              <w:lang w:val="de-DE"/>
            </w:rPr>
          </w:pPr>
          <w:r w:rsidRPr="00462FB6">
            <w:rPr>
              <w:rFonts w:asciiTheme="minorHAnsi" w:hAnsiTheme="minorHAnsi" w:cstheme="minorHAnsi"/>
              <w:noProof/>
              <w:sz w:val="24"/>
              <w:szCs w:val="24"/>
              <w:lang w:val="de-DE"/>
            </w:rPr>
            <w:t xml:space="preserve">Kohont, A., 2005. </w:t>
          </w:r>
          <w:r w:rsidRPr="00462FB6">
            <w:rPr>
              <w:rFonts w:asciiTheme="minorHAnsi" w:hAnsiTheme="minorHAnsi" w:cstheme="minorHAnsi"/>
              <w:i/>
              <w:iCs/>
              <w:noProof/>
              <w:sz w:val="24"/>
              <w:szCs w:val="24"/>
              <w:lang w:val="de-DE"/>
            </w:rPr>
            <w:t xml:space="preserve">Kompetenčni profili slovenskih strokovnjakov za upravljanje človeških virov. </w:t>
          </w:r>
          <w:r w:rsidRPr="00462FB6">
            <w:rPr>
              <w:rFonts w:asciiTheme="minorHAnsi" w:hAnsiTheme="minorHAnsi" w:cstheme="minorHAnsi"/>
              <w:noProof/>
              <w:sz w:val="24"/>
              <w:szCs w:val="24"/>
              <w:lang w:val="de-DE"/>
            </w:rPr>
            <w:t>Ljubljana: Univerza v Ljubljani, Fakulteta za družbene vede.</w:t>
          </w:r>
        </w:p>
        <w:p w:rsidR="008801A2" w:rsidRPr="00462FB6" w:rsidRDefault="008801A2" w:rsidP="008801A2">
          <w:pPr>
            <w:pStyle w:val="Bibliografija"/>
            <w:jc w:val="both"/>
            <w:rPr>
              <w:rFonts w:asciiTheme="minorHAnsi" w:hAnsiTheme="minorHAnsi" w:cstheme="minorHAnsi"/>
              <w:noProof/>
              <w:sz w:val="24"/>
              <w:szCs w:val="24"/>
              <w:lang w:val="de-DE"/>
            </w:rPr>
          </w:pPr>
        </w:p>
        <w:p w:rsidR="008801A2" w:rsidRPr="00462FB6" w:rsidRDefault="008801A2" w:rsidP="008801A2">
          <w:pPr>
            <w:pStyle w:val="Bibliografija"/>
            <w:jc w:val="both"/>
            <w:rPr>
              <w:rFonts w:asciiTheme="minorHAnsi" w:hAnsiTheme="minorHAnsi" w:cstheme="minorHAnsi"/>
              <w:noProof/>
              <w:sz w:val="24"/>
              <w:szCs w:val="24"/>
            </w:rPr>
          </w:pPr>
          <w:r w:rsidRPr="00462FB6">
            <w:rPr>
              <w:rFonts w:asciiTheme="minorHAnsi" w:hAnsiTheme="minorHAnsi" w:cstheme="minorHAnsi"/>
              <w:noProof/>
              <w:sz w:val="24"/>
              <w:szCs w:val="24"/>
              <w:lang w:val="de-DE"/>
            </w:rPr>
            <w:t xml:space="preserve">Von Krogh, G. &amp; Ross, J., 1995. </w:t>
          </w:r>
          <w:r w:rsidRPr="00462FB6">
            <w:rPr>
              <w:rFonts w:asciiTheme="minorHAnsi" w:hAnsiTheme="minorHAnsi" w:cstheme="minorHAnsi"/>
              <w:noProof/>
              <w:sz w:val="24"/>
              <w:szCs w:val="24"/>
            </w:rPr>
            <w:t xml:space="preserve">A perspective on knowledge, competence and strategy. </w:t>
          </w:r>
          <w:r w:rsidRPr="00462FB6">
            <w:rPr>
              <w:rFonts w:asciiTheme="minorHAnsi" w:hAnsiTheme="minorHAnsi" w:cstheme="minorHAnsi"/>
              <w:i/>
              <w:iCs/>
              <w:noProof/>
              <w:sz w:val="24"/>
              <w:szCs w:val="24"/>
            </w:rPr>
            <w:t>Personal Review</w:t>
          </w:r>
          <w:r w:rsidRPr="00462FB6">
            <w:rPr>
              <w:rFonts w:asciiTheme="minorHAnsi" w:hAnsiTheme="minorHAnsi" w:cstheme="minorHAnsi"/>
              <w:noProof/>
              <w:sz w:val="24"/>
              <w:szCs w:val="24"/>
            </w:rPr>
            <w:t>, pp. 56-76.</w:t>
          </w:r>
        </w:p>
        <w:p w:rsidR="008801A2" w:rsidRPr="00462FB6" w:rsidRDefault="008801A2" w:rsidP="008801A2">
          <w:pPr>
            <w:jc w:val="both"/>
            <w:rPr>
              <w:rFonts w:cstheme="minorHAnsi"/>
            </w:rPr>
          </w:pPr>
          <w:r w:rsidRPr="00462FB6">
            <w:rPr>
              <w:rFonts w:cstheme="minorHAnsi"/>
              <w:b/>
              <w:bCs/>
              <w:sz w:val="24"/>
              <w:szCs w:val="24"/>
            </w:rPr>
            <w:lastRenderedPageBreak/>
            <w:fldChar w:fldCharType="end"/>
          </w:r>
        </w:p>
      </w:sdtContent>
    </w:sdt>
    <w:bookmarkEnd w:id="1"/>
    <w:p w:rsidR="00A44A46" w:rsidRPr="00DE0E76" w:rsidRDefault="00A44A46" w:rsidP="00A44A46">
      <w:pPr>
        <w:spacing w:after="0" w:line="240" w:lineRule="auto"/>
        <w:jc w:val="both"/>
        <w:rPr>
          <w:rFonts w:cstheme="minorHAnsi"/>
        </w:rPr>
      </w:pPr>
      <w:r w:rsidRPr="00DE0E76">
        <w:rPr>
          <w:rFonts w:cstheme="minorHAnsi"/>
        </w:rPr>
        <w:t>Projektna skupina za Vzpostavitev kompetenčnega modela, Ministrstvo za javno upravo, Direktorat za javni sektor, Sektor za upravljanje s kadrovskimi viri</w:t>
      </w:r>
    </w:p>
    <w:p w:rsidR="0050211D" w:rsidRPr="0087389F" w:rsidRDefault="0050211D"/>
    <w:sectPr w:rsidR="0050211D" w:rsidRPr="008738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F34" w:rsidRDefault="007F2F34" w:rsidP="007F2F34">
      <w:pPr>
        <w:spacing w:after="0" w:line="240" w:lineRule="auto"/>
      </w:pPr>
      <w:r>
        <w:separator/>
      </w:r>
    </w:p>
  </w:endnote>
  <w:endnote w:type="continuationSeparator" w:id="0">
    <w:p w:rsidR="007F2F34" w:rsidRDefault="007F2F34" w:rsidP="007F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77" w:rsidRDefault="00115F7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F34" w:rsidRDefault="007F2F34">
    <w:pPr>
      <w:pStyle w:val="Noga"/>
    </w:pPr>
    <w:r>
      <w:ptab w:relativeTo="margin" w:alignment="center" w:leader="none"/>
    </w:r>
    <w:r>
      <w:t>Skupaj za razvoj in rast!</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77" w:rsidRDefault="00115F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F34" w:rsidRDefault="007F2F34" w:rsidP="007F2F34">
      <w:pPr>
        <w:spacing w:after="0" w:line="240" w:lineRule="auto"/>
      </w:pPr>
      <w:r>
        <w:separator/>
      </w:r>
    </w:p>
  </w:footnote>
  <w:footnote w:type="continuationSeparator" w:id="0">
    <w:p w:rsidR="007F2F34" w:rsidRDefault="007F2F34" w:rsidP="007F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77" w:rsidRDefault="00115F7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F34" w:rsidRDefault="007F2F34" w:rsidP="001955E7">
    <w:pPr>
      <w:pStyle w:val="Glava"/>
      <w:jc w:val="both"/>
    </w:pPr>
    <w:r>
      <w:rPr>
        <w:noProof/>
        <w:lang w:eastAsia="sl-SI"/>
      </w:rPr>
      <w:drawing>
        <wp:inline distT="0" distB="0" distL="0" distR="0" wp14:anchorId="0B47C323">
          <wp:extent cx="2372360" cy="313055"/>
          <wp:effectExtent l="0" t="0" r="8890" b="0"/>
          <wp:docPr id="82" name="Slika 82" descr="Logotip Republika Slovenija, Ministrstvo za javno u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inline>
      </w:drawing>
    </w:r>
    <w:r w:rsidR="001955E7">
      <w:tab/>
    </w:r>
    <w:r w:rsidR="001955E7">
      <w:tab/>
    </w:r>
    <w:r>
      <w:rPr>
        <w:rFonts w:ascii="Arial" w:hAnsi="Arial" w:cs="Arial"/>
        <w:noProof/>
        <w:sz w:val="28"/>
        <w:szCs w:val="28"/>
        <w:lang w:eastAsia="sl-SI"/>
      </w:rPr>
      <w:drawing>
        <wp:inline distT="0" distB="0" distL="0" distR="0" wp14:anchorId="7522388C" wp14:editId="3CE051DD">
          <wp:extent cx="756285" cy="1057524"/>
          <wp:effectExtent l="0" t="0" r="5715" b="9525"/>
          <wp:docPr id="84" name="Slika 84" descr="Logotip Skupaj za razvoj in 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921" cy="1062608"/>
                  </a:xfrm>
                  <a:prstGeom prst="rect">
                    <a:avLst/>
                  </a:prstGeom>
                  <a:noFill/>
                </pic:spPr>
              </pic:pic>
            </a:graphicData>
          </a:graphic>
        </wp:inline>
      </w:drawing>
    </w:r>
    <w:r w:rsidR="001955E7">
      <w:tab/>
    </w:r>
    <w:r w:rsidR="001955E7">
      <w:rPr>
        <w:rFonts w:ascii="Arial" w:hAnsi="Arial" w:cs="Arial"/>
        <w:noProof/>
        <w:sz w:val="28"/>
        <w:szCs w:val="28"/>
        <w:lang w:eastAsia="sl-SI"/>
      </w:rPr>
      <w:drawing>
        <wp:inline distT="0" distB="0" distL="0" distR="0" wp14:anchorId="6CE518F1" wp14:editId="2BFACB90">
          <wp:extent cx="1304925" cy="652145"/>
          <wp:effectExtent l="0" t="0" r="9525" b="0"/>
          <wp:docPr id="85" name="Slika 85" descr="Logotip Evropska unija, Evropski socialni s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521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77" w:rsidRDefault="00115F7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02F44"/>
    <w:multiLevelType w:val="hybridMultilevel"/>
    <w:tmpl w:val="6158E8FC"/>
    <w:lvl w:ilvl="0" w:tplc="B7B29C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9F"/>
    <w:rsid w:val="00074AF1"/>
    <w:rsid w:val="000C5F09"/>
    <w:rsid w:val="000F17EB"/>
    <w:rsid w:val="00115F77"/>
    <w:rsid w:val="001955E7"/>
    <w:rsid w:val="003209E3"/>
    <w:rsid w:val="0050211D"/>
    <w:rsid w:val="00601101"/>
    <w:rsid w:val="00692B51"/>
    <w:rsid w:val="0072350A"/>
    <w:rsid w:val="007E1430"/>
    <w:rsid w:val="007F2F34"/>
    <w:rsid w:val="0087389F"/>
    <w:rsid w:val="00873DB6"/>
    <w:rsid w:val="008801A2"/>
    <w:rsid w:val="008D05CB"/>
    <w:rsid w:val="008F48B2"/>
    <w:rsid w:val="00935570"/>
    <w:rsid w:val="00A44A46"/>
    <w:rsid w:val="00A908EC"/>
    <w:rsid w:val="00B160B4"/>
    <w:rsid w:val="00B615C4"/>
    <w:rsid w:val="00D1588E"/>
    <w:rsid w:val="00E9143D"/>
    <w:rsid w:val="00FF15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A0F5DBD-641F-4694-A041-85826ABA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44A46"/>
  </w:style>
  <w:style w:type="paragraph" w:styleId="Naslov1">
    <w:name w:val="heading 1"/>
    <w:basedOn w:val="Navaden"/>
    <w:next w:val="Navaden"/>
    <w:link w:val="Naslov1Znak"/>
    <w:uiPriority w:val="9"/>
    <w:qFormat/>
    <w:rsid w:val="008801A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389F"/>
    <w:rPr>
      <w:sz w:val="16"/>
      <w:szCs w:val="16"/>
    </w:rPr>
  </w:style>
  <w:style w:type="paragraph" w:styleId="Pripombabesedilo">
    <w:name w:val="annotation text"/>
    <w:basedOn w:val="Navaden"/>
    <w:link w:val="PripombabesediloZnak"/>
    <w:uiPriority w:val="99"/>
    <w:semiHidden/>
    <w:unhideWhenUsed/>
    <w:rsid w:val="0087389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7389F"/>
    <w:rPr>
      <w:sz w:val="20"/>
      <w:szCs w:val="20"/>
    </w:rPr>
  </w:style>
  <w:style w:type="paragraph" w:styleId="Besedilooblaka">
    <w:name w:val="Balloon Text"/>
    <w:basedOn w:val="Navaden"/>
    <w:link w:val="BesedilooblakaZnak"/>
    <w:uiPriority w:val="99"/>
    <w:semiHidden/>
    <w:unhideWhenUsed/>
    <w:rsid w:val="0087389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389F"/>
    <w:rPr>
      <w:rFonts w:ascii="Segoe UI" w:hAnsi="Segoe UI" w:cs="Segoe UI"/>
      <w:sz w:val="18"/>
      <w:szCs w:val="18"/>
    </w:rPr>
  </w:style>
  <w:style w:type="paragraph" w:styleId="Glava">
    <w:name w:val="header"/>
    <w:basedOn w:val="Navaden"/>
    <w:link w:val="GlavaZnak"/>
    <w:uiPriority w:val="99"/>
    <w:unhideWhenUsed/>
    <w:rsid w:val="007F2F34"/>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F34"/>
  </w:style>
  <w:style w:type="paragraph" w:styleId="Noga">
    <w:name w:val="footer"/>
    <w:basedOn w:val="Navaden"/>
    <w:link w:val="NogaZnak"/>
    <w:uiPriority w:val="99"/>
    <w:unhideWhenUsed/>
    <w:rsid w:val="007F2F34"/>
    <w:pPr>
      <w:tabs>
        <w:tab w:val="center" w:pos="4536"/>
        <w:tab w:val="right" w:pos="9072"/>
      </w:tabs>
      <w:spacing w:after="0" w:line="240" w:lineRule="auto"/>
    </w:pPr>
  </w:style>
  <w:style w:type="character" w:customStyle="1" w:styleId="NogaZnak">
    <w:name w:val="Noga Znak"/>
    <w:basedOn w:val="Privzetapisavaodstavka"/>
    <w:link w:val="Noga"/>
    <w:uiPriority w:val="99"/>
    <w:rsid w:val="007F2F34"/>
  </w:style>
  <w:style w:type="character" w:styleId="Hiperpovezava">
    <w:name w:val="Hyperlink"/>
    <w:basedOn w:val="Privzetapisavaodstavka"/>
    <w:uiPriority w:val="99"/>
    <w:unhideWhenUsed/>
    <w:rsid w:val="00A44A46"/>
    <w:rPr>
      <w:color w:val="0563C1" w:themeColor="hyperlink"/>
      <w:u w:val="single"/>
    </w:rPr>
  </w:style>
  <w:style w:type="paragraph" w:styleId="Odstavekseznama">
    <w:name w:val="List Paragraph"/>
    <w:basedOn w:val="Navaden"/>
    <w:uiPriority w:val="34"/>
    <w:qFormat/>
    <w:rsid w:val="00A44A46"/>
    <w:pPr>
      <w:ind w:left="720"/>
      <w:contextualSpacing/>
    </w:pPr>
  </w:style>
  <w:style w:type="character" w:customStyle="1" w:styleId="Naslov1Znak">
    <w:name w:val="Naslov 1 Znak"/>
    <w:basedOn w:val="Privzetapisavaodstavka"/>
    <w:link w:val="Naslov1"/>
    <w:uiPriority w:val="9"/>
    <w:rsid w:val="008801A2"/>
    <w:rPr>
      <w:rFonts w:asciiTheme="majorHAnsi" w:eastAsiaTheme="majorEastAsia" w:hAnsiTheme="majorHAnsi" w:cstheme="majorBidi"/>
      <w:b/>
      <w:bCs/>
      <w:color w:val="2F5496" w:themeColor="accent1" w:themeShade="BF"/>
      <w:sz w:val="28"/>
      <w:szCs w:val="28"/>
      <w:lang w:eastAsia="sl-SI"/>
    </w:rPr>
  </w:style>
  <w:style w:type="paragraph" w:styleId="Telobesedila">
    <w:name w:val="Body Text"/>
    <w:basedOn w:val="Navaden"/>
    <w:link w:val="TelobesedilaZnak"/>
    <w:uiPriority w:val="1"/>
    <w:qFormat/>
    <w:rsid w:val="008801A2"/>
    <w:pPr>
      <w:widowControl w:val="0"/>
      <w:autoSpaceDE w:val="0"/>
      <w:autoSpaceDN w:val="0"/>
      <w:spacing w:after="0" w:line="240" w:lineRule="auto"/>
    </w:pPr>
    <w:rPr>
      <w:rFonts w:ascii="Tahoma" w:eastAsia="Tahoma" w:hAnsi="Tahoma" w:cs="Tahoma"/>
      <w:sz w:val="24"/>
      <w:szCs w:val="24"/>
      <w:lang w:val="en-US"/>
    </w:rPr>
  </w:style>
  <w:style w:type="character" w:customStyle="1" w:styleId="TelobesedilaZnak">
    <w:name w:val="Telo besedila Znak"/>
    <w:basedOn w:val="Privzetapisavaodstavka"/>
    <w:link w:val="Telobesedila"/>
    <w:uiPriority w:val="1"/>
    <w:rsid w:val="008801A2"/>
    <w:rPr>
      <w:rFonts w:ascii="Tahoma" w:eastAsia="Tahoma" w:hAnsi="Tahoma" w:cs="Tahoma"/>
      <w:sz w:val="24"/>
      <w:szCs w:val="24"/>
      <w:lang w:val="en-US"/>
    </w:rPr>
  </w:style>
  <w:style w:type="paragraph" w:styleId="Bibliografija">
    <w:name w:val="Bibliography"/>
    <w:basedOn w:val="Navaden"/>
    <w:next w:val="Navaden"/>
    <w:uiPriority w:val="37"/>
    <w:unhideWhenUsed/>
    <w:rsid w:val="008801A2"/>
    <w:pPr>
      <w:spacing w:after="0" w:line="240" w:lineRule="auto"/>
    </w:pPr>
    <w:rPr>
      <w:rFonts w:ascii="Arial"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Koh05</b:Tag>
    <b:SourceType>Book</b:SourceType>
    <b:Guid>{F9AC0ED6-9258-46C1-823B-346F7BB14BBE}</b:Guid>
    <b:Title>Kompetenčni profili slovenskih strokovnjakov za upravljanje človeških virov</b:Title>
    <b:Year>2005</b:Year>
    <b:City>Ljubljana</b:City>
    <b:Publisher>Univerza v Ljubljani, Fakulteta za družbene vede</b:Publisher>
    <b:Author>
      <b:Author>
        <b:NameList>
          <b:Person>
            <b:Last>Kohont</b:Last>
            <b:First>Andrej</b:First>
          </b:Person>
        </b:NameList>
      </b:Author>
    </b:Author>
    <b:Comments>magistrsko delo</b:Comments>
    <b:RefOrder>1</b:RefOrder>
  </b:Source>
  <b:Source>
    <b:Tag>Inš16</b:Tag>
    <b:SourceType>InternetSite</b:SourceType>
    <b:Guid>{DBF43D5B-0401-4B19-A130-40D11B7298D7}</b:Guid>
    <b:Author>
      <b:Author>
        <b:Corporate>Inštitut za slovenski jezik Frana Ramovša ZRC SAZU</b:Corporate>
      </b:Author>
    </b:Author>
    <b:Title>Slovar slovenskega knjižnega jezika SSKJ</b:Title>
    <b:Year>2016</b:Year>
    <b:YearAccessed>2018</b:YearAccessed>
    <b:MonthAccessed>oktober</b:MonthAccessed>
    <b:DayAccessed>8.</b:DayAccessed>
    <b:URL>https://sskj.si/?s=znanje</b:URL>
    <b:RefOrder>2</b:RefOrder>
  </b:Source>
  <b:Source>
    <b:Tag>Von95</b:Tag>
    <b:SourceType>ArticleInAPeriodical</b:SourceType>
    <b:Guid>{9D215FC9-68ED-4134-A8AF-157542B19AA3}</b:Guid>
    <b:Title>A perspective on knowledge, competence and strategy</b:Title>
    <b:Year>1995</b:Year>
    <b:Author>
      <b:Author>
        <b:NameList>
          <b:Person>
            <b:Last>Von Krogh</b:Last>
            <b:First>G.</b:First>
          </b:Person>
          <b:Person>
            <b:Last>Ross</b:Last>
            <b:First>J.</b:First>
          </b:Person>
        </b:NameList>
      </b:Author>
    </b:Author>
    <b:PeriodicalTitle>Personal Review</b:PeriodicalTitle>
    <b:Pages>56-76</b:Pages>
    <b:Edition>24(3)</b:Edition>
    <b:RefOrder>3</b:RefOrder>
  </b:Source>
  <b:Source>
    <b:Tag>Bra</b:Tag>
    <b:SourceType>BookSection</b:SourceType>
    <b:Guid>{FA83AEB3-6BD7-46CD-94E2-219880C1902E}</b:Guid>
    <b:Author>
      <b:Author>
        <b:NameList>
          <b:Person>
            <b:Last>Bramming</b:Last>
            <b:First>P.</b:First>
          </b:Person>
          <b:Person>
            <b:Last>Holt Larsen</b:Last>
            <b:First>H.</b:First>
          </b:Person>
        </b:NameList>
      </b:Author>
      <b:Editor>
        <b:NameList>
          <b:Person>
            <b:Last>Brewster</b:Last>
            <b:First>C.</b:First>
          </b:Person>
          <b:Person>
            <b:Last>Holt Larsen</b:Last>
            <b:First>H.</b:First>
          </b:Person>
        </b:NameList>
      </b:Editor>
    </b:Author>
    <b:Title>Making sense of the drive for competence.</b:Title>
    <b:Year>2000</b:Year>
    <b:Pages>66-88</b:Pages>
    <b:BookTitle>Human resource management in Northern Europe: Trends, dilemmas and strategy. </b:BookTitle>
    <b:City>UK</b:City>
    <b:Publisher>Blackwell publishers</b:Publisher>
    <b:RefOrder>4</b:RefOrder>
  </b:Source>
</b:Sources>
</file>

<file path=customXml/itemProps1.xml><?xml version="1.0" encoding="utf-8"?>
<ds:datastoreItem xmlns:ds="http://schemas.openxmlformats.org/officeDocument/2006/customXml" ds:itemID="{3111FBBB-86A7-423F-953F-250D0D6A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Kompetence so znanje v akciji TVG</dc:title>
  <dc:subject/>
  <dc:creator>Urša Grm</dc:creator>
  <cp:keywords/>
  <dc:description/>
  <cp:lastModifiedBy>Janja Pohlin</cp:lastModifiedBy>
  <cp:revision>3</cp:revision>
  <dcterms:created xsi:type="dcterms:W3CDTF">2020-10-08T11:05:00Z</dcterms:created>
  <dcterms:modified xsi:type="dcterms:W3CDTF">2020-10-08T11:05:00Z</dcterms:modified>
</cp:coreProperties>
</file>