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10BC2" w14:textId="77777777" w:rsidR="007F2F34" w:rsidRPr="00392E6A" w:rsidRDefault="007F2F34" w:rsidP="0087389F">
      <w:pPr>
        <w:autoSpaceDE w:val="0"/>
        <w:autoSpaceDN w:val="0"/>
        <w:adjustRightInd w:val="0"/>
        <w:spacing w:after="0" w:line="240" w:lineRule="auto"/>
        <w:jc w:val="center"/>
        <w:rPr>
          <w:rFonts w:cs="Calibri"/>
          <w:b/>
          <w:color w:val="231F20"/>
          <w:sz w:val="24"/>
          <w:szCs w:val="24"/>
        </w:rPr>
      </w:pPr>
    </w:p>
    <w:p w14:paraId="6FECC46D" w14:textId="77777777" w:rsidR="007F2F34" w:rsidRPr="00392E6A" w:rsidRDefault="007F2F34" w:rsidP="0087389F">
      <w:pPr>
        <w:autoSpaceDE w:val="0"/>
        <w:autoSpaceDN w:val="0"/>
        <w:adjustRightInd w:val="0"/>
        <w:spacing w:after="0" w:line="240" w:lineRule="auto"/>
        <w:jc w:val="center"/>
        <w:rPr>
          <w:rFonts w:cs="Calibri"/>
          <w:b/>
          <w:color w:val="231F20"/>
          <w:sz w:val="24"/>
          <w:szCs w:val="24"/>
        </w:rPr>
      </w:pPr>
    </w:p>
    <w:p w14:paraId="69387737" w14:textId="77777777" w:rsidR="00A44A46" w:rsidRPr="00392E6A" w:rsidRDefault="00A44A46" w:rsidP="00A44A46">
      <w:pPr>
        <w:spacing w:after="0"/>
        <w:jc w:val="center"/>
        <w:rPr>
          <w:rFonts w:cs="Calibri"/>
          <w:b/>
          <w:sz w:val="24"/>
          <w:szCs w:val="24"/>
        </w:rPr>
      </w:pPr>
      <w:r w:rsidRPr="00392E6A">
        <w:rPr>
          <w:rFonts w:cs="Calibri"/>
          <w:b/>
          <w:sz w:val="24"/>
          <w:szCs w:val="24"/>
        </w:rPr>
        <w:t>Kompetence? Kaj in zakaj?</w:t>
      </w:r>
    </w:p>
    <w:p w14:paraId="36426F4B" w14:textId="77777777" w:rsidR="00A44A46" w:rsidRPr="00392E6A" w:rsidRDefault="00A44A46" w:rsidP="00A44A46">
      <w:pPr>
        <w:spacing w:after="0"/>
        <w:rPr>
          <w:rFonts w:cs="Calibri"/>
        </w:rPr>
      </w:pPr>
    </w:p>
    <w:p w14:paraId="2DB462D2" w14:textId="77777777" w:rsidR="00A44A46" w:rsidRPr="00392E6A" w:rsidRDefault="00A44A46" w:rsidP="00A44A46">
      <w:pPr>
        <w:spacing w:after="0"/>
        <w:rPr>
          <w:rFonts w:cs="Calibri"/>
          <w:b/>
        </w:rPr>
      </w:pPr>
    </w:p>
    <w:p w14:paraId="7C3FCC35" w14:textId="77777777" w:rsidR="00A44A46" w:rsidRPr="00392E6A" w:rsidRDefault="00A44A46" w:rsidP="00A44A46">
      <w:pPr>
        <w:spacing w:after="0"/>
        <w:rPr>
          <w:rFonts w:cs="Calibri"/>
          <w:b/>
        </w:rPr>
      </w:pPr>
      <w:r w:rsidRPr="00392E6A">
        <w:rPr>
          <w:rFonts w:cs="Calibri"/>
          <w:b/>
        </w:rPr>
        <w:t>Začetki uporabe kompetenc</w:t>
      </w:r>
    </w:p>
    <w:p w14:paraId="3689F6C1" w14:textId="77777777" w:rsidR="00A44A46" w:rsidRPr="00392E6A" w:rsidRDefault="00A44A46" w:rsidP="00A44A46">
      <w:pPr>
        <w:spacing w:after="0"/>
        <w:jc w:val="both"/>
        <w:rPr>
          <w:rFonts w:cs="Calibri"/>
          <w:b/>
        </w:rPr>
      </w:pPr>
      <w:r w:rsidRPr="00392E6A">
        <w:rPr>
          <w:rFonts w:cs="Calibri"/>
        </w:rPr>
        <w:t>Uporaba kompetenc, kot pomoč pri izbiri najprimernejših kandidatov za določeno delo in pri strokovnem razvoju, ni nekaj novega. Na nek način so jih na primer uporabljali že stari Rimljani, ki so s pomočjo neke vrste profiliranja skušali opredeliti značilnosti »dobrega Rimskega bojevnika«. V srednjem veku pa so se vajenci učili spretnosti tako, da so delali skupaj z mojstrom, in šele, ko so dosegli v naprej določene standarde rokodelstva, so prejeli dovolilnice za delo.</w:t>
      </w:r>
    </w:p>
    <w:p w14:paraId="65CC1A5C" w14:textId="77777777" w:rsidR="00A44A46" w:rsidRPr="00392E6A" w:rsidRDefault="00A44A46" w:rsidP="00A44A46">
      <w:pPr>
        <w:spacing w:after="0"/>
        <w:jc w:val="both"/>
        <w:rPr>
          <w:rFonts w:cs="Calibri"/>
        </w:rPr>
      </w:pPr>
    </w:p>
    <w:p w14:paraId="621C29DD" w14:textId="77777777" w:rsidR="00A44A46" w:rsidRPr="00392E6A" w:rsidRDefault="00A44A46" w:rsidP="00A44A46">
      <w:pPr>
        <w:spacing w:after="0"/>
        <w:jc w:val="both"/>
        <w:rPr>
          <w:rFonts w:cs="Calibri"/>
        </w:rPr>
      </w:pPr>
      <w:r w:rsidRPr="00392E6A">
        <w:rPr>
          <w:rFonts w:cs="Calibri"/>
        </w:rPr>
        <w:t xml:space="preserve">V organizacijskem okolju so se kompetence oziroma procesi na podlagi kompetenc izraziteje pojavili v 70-ih letih prejšnjega stoletja. Za pionirja na tem področju velja harvardski psiholog David </w:t>
      </w:r>
      <w:proofErr w:type="spellStart"/>
      <w:r w:rsidRPr="00392E6A">
        <w:rPr>
          <w:rFonts w:cs="Calibri"/>
        </w:rPr>
        <w:t>McClelland</w:t>
      </w:r>
      <w:proofErr w:type="spellEnd"/>
      <w:r w:rsidRPr="00392E6A">
        <w:rPr>
          <w:rFonts w:cs="Calibri"/>
        </w:rPr>
        <w:t xml:space="preserve">, ki je leta 1973 idejo kompetenc prenesel v literaturo o ravnanju z ljudmi pri delu. </w:t>
      </w:r>
    </w:p>
    <w:p w14:paraId="6D7EF972" w14:textId="77777777" w:rsidR="00A44A46" w:rsidRPr="00392E6A" w:rsidRDefault="00A44A46" w:rsidP="00A44A46">
      <w:pPr>
        <w:spacing w:after="0"/>
        <w:jc w:val="both"/>
        <w:rPr>
          <w:rFonts w:cs="Calibri"/>
        </w:rPr>
      </w:pPr>
    </w:p>
    <w:p w14:paraId="3B34756A" w14:textId="77777777" w:rsidR="00A44A46" w:rsidRPr="00392E6A" w:rsidRDefault="00A44A46" w:rsidP="00A44A46">
      <w:pPr>
        <w:autoSpaceDE w:val="0"/>
        <w:autoSpaceDN w:val="0"/>
        <w:adjustRightInd w:val="0"/>
        <w:spacing w:after="0" w:line="240" w:lineRule="auto"/>
        <w:jc w:val="both"/>
        <w:rPr>
          <w:rFonts w:cs="Calibri"/>
        </w:rPr>
      </w:pPr>
      <w:r w:rsidRPr="00392E6A">
        <w:rPr>
          <w:rFonts w:cs="Calibri"/>
        </w:rPr>
        <w:t xml:space="preserve">V javnem sektorju so se kadrovski procesi na podlagi kompetenc najprej pojavili v Ameriki in Angliji, in sicer v 80-ih letih prejšnjega stoletja (OECD, 2010). Ob koncu 90-ih let so kadrovski procesi na podlagi kompetenc doživeli razcvet tudi v javnih sektorjih drugih držav. </w:t>
      </w:r>
    </w:p>
    <w:p w14:paraId="668925AB" w14:textId="77777777" w:rsidR="00A44A46" w:rsidRPr="00392E6A" w:rsidRDefault="00A44A46" w:rsidP="00A44A46">
      <w:pPr>
        <w:spacing w:after="0"/>
        <w:jc w:val="both"/>
        <w:rPr>
          <w:rFonts w:cs="Calibri"/>
        </w:rPr>
      </w:pPr>
    </w:p>
    <w:p w14:paraId="3676F9DF" w14:textId="77777777" w:rsidR="00A44A46" w:rsidRPr="00392E6A" w:rsidRDefault="00A44A46" w:rsidP="00A44A46">
      <w:pPr>
        <w:spacing w:after="0"/>
        <w:jc w:val="both"/>
        <w:rPr>
          <w:rFonts w:cs="Calibri"/>
        </w:rPr>
      </w:pPr>
    </w:p>
    <w:p w14:paraId="0D5CB74E" w14:textId="77777777" w:rsidR="00A44A46" w:rsidRPr="00392E6A" w:rsidRDefault="00A44A46" w:rsidP="00A44A46">
      <w:pPr>
        <w:spacing w:after="0"/>
        <w:rPr>
          <w:rFonts w:cs="Calibri"/>
          <w:b/>
        </w:rPr>
      </w:pPr>
      <w:r w:rsidRPr="00392E6A">
        <w:rPr>
          <w:rFonts w:cs="Calibri"/>
          <w:b/>
        </w:rPr>
        <w:t>Kaj sploh so kompetence?</w:t>
      </w:r>
    </w:p>
    <w:p w14:paraId="38F0F644" w14:textId="77777777" w:rsidR="00A44A46" w:rsidRPr="00392E6A" w:rsidRDefault="00A44A46" w:rsidP="00A44A46">
      <w:pPr>
        <w:autoSpaceDE w:val="0"/>
        <w:autoSpaceDN w:val="0"/>
        <w:adjustRightInd w:val="0"/>
        <w:spacing w:after="0" w:line="240" w:lineRule="auto"/>
        <w:jc w:val="both"/>
        <w:rPr>
          <w:rFonts w:cs="Calibri"/>
          <w:color w:val="231F20"/>
        </w:rPr>
      </w:pPr>
      <w:r w:rsidRPr="00392E6A">
        <w:rPr>
          <w:rFonts w:cs="Calibri"/>
          <w:color w:val="231F20"/>
        </w:rPr>
        <w:t>Obstajajo številne opredelitve kompetenc, ki se med seboj nekoliko razlikujejo. Če bi želeli bistveno povedati na enostaven način, bi lahko povzeli, da so kompetence skupek sposobnosti, znanj, spretnosti, veščin, stališč, motivacije in reakcij posameznika, ki mu omogočajo učinkovito, uspešno in kakovostno opravljanje njegovih delovnih nalog in aktivnosti ter posledično doseganje zastavljenih ciljev. Čim bolj je neko delo kompleksno, tem bolj so kompetence pomembne  za uspešnost pri delu .</w:t>
      </w:r>
    </w:p>
    <w:p w14:paraId="0F245AC2" w14:textId="77777777" w:rsidR="00A44A46" w:rsidRPr="00392E6A" w:rsidRDefault="00A44A46" w:rsidP="00A44A46">
      <w:pPr>
        <w:autoSpaceDE w:val="0"/>
        <w:autoSpaceDN w:val="0"/>
        <w:adjustRightInd w:val="0"/>
        <w:spacing w:after="0" w:line="240" w:lineRule="auto"/>
        <w:jc w:val="both"/>
        <w:rPr>
          <w:rFonts w:cs="Calibri"/>
          <w:color w:val="231F20"/>
        </w:rPr>
      </w:pPr>
    </w:p>
    <w:p w14:paraId="00BA85F8" w14:textId="77777777" w:rsidR="00A44A46" w:rsidRPr="00392E6A" w:rsidRDefault="00A44A46" w:rsidP="00A44A46">
      <w:pPr>
        <w:autoSpaceDE w:val="0"/>
        <w:autoSpaceDN w:val="0"/>
        <w:adjustRightInd w:val="0"/>
        <w:spacing w:after="0" w:line="240" w:lineRule="auto"/>
        <w:jc w:val="both"/>
        <w:rPr>
          <w:rFonts w:cs="Calibri"/>
          <w:color w:val="231F20"/>
        </w:rPr>
      </w:pPr>
      <w:r w:rsidRPr="00392E6A">
        <w:rPr>
          <w:rFonts w:cs="Calibri"/>
          <w:color w:val="231F20"/>
        </w:rPr>
        <w:t>Ko govorimo o kompetencah, imajo te običajno opredeljenih nekaj ključnih elementov, in sicer:</w:t>
      </w:r>
    </w:p>
    <w:p w14:paraId="0EB22522" w14:textId="77777777" w:rsidR="00A44A46" w:rsidRPr="00392E6A" w:rsidRDefault="00A44A46" w:rsidP="00A44A46">
      <w:pPr>
        <w:pStyle w:val="Odstavekseznama"/>
        <w:numPr>
          <w:ilvl w:val="0"/>
          <w:numId w:val="1"/>
        </w:numPr>
        <w:autoSpaceDE w:val="0"/>
        <w:autoSpaceDN w:val="0"/>
        <w:adjustRightInd w:val="0"/>
        <w:spacing w:after="0" w:line="240" w:lineRule="auto"/>
        <w:jc w:val="both"/>
        <w:rPr>
          <w:rFonts w:cs="Calibri"/>
          <w:color w:val="231F20"/>
        </w:rPr>
      </w:pPr>
      <w:r w:rsidRPr="00392E6A">
        <w:rPr>
          <w:rFonts w:cs="Calibri"/>
          <w:i/>
          <w:color w:val="231F20"/>
        </w:rPr>
        <w:t>Ime kompetence</w:t>
      </w:r>
      <w:r w:rsidRPr="00392E6A">
        <w:rPr>
          <w:rFonts w:cs="Calibri"/>
          <w:color w:val="231F20"/>
        </w:rPr>
        <w:t xml:space="preserve"> – Gre za poimenovanje kompetence, ki je lahko zelo enostavno kot npr. »inovativnost« ali bolj kreativno kot na primer »skrb za ekipo«.</w:t>
      </w:r>
    </w:p>
    <w:p w14:paraId="63473901" w14:textId="77777777" w:rsidR="00A44A46" w:rsidRPr="00392E6A" w:rsidRDefault="00A44A46" w:rsidP="00A44A46">
      <w:pPr>
        <w:pStyle w:val="Odstavekseznama"/>
        <w:numPr>
          <w:ilvl w:val="0"/>
          <w:numId w:val="1"/>
        </w:numPr>
        <w:autoSpaceDE w:val="0"/>
        <w:autoSpaceDN w:val="0"/>
        <w:adjustRightInd w:val="0"/>
        <w:spacing w:after="0" w:line="240" w:lineRule="auto"/>
        <w:jc w:val="both"/>
        <w:rPr>
          <w:rFonts w:cs="Calibri"/>
          <w:color w:val="231F20"/>
        </w:rPr>
      </w:pPr>
      <w:r w:rsidRPr="00392E6A">
        <w:rPr>
          <w:rFonts w:cs="Calibri"/>
          <w:i/>
          <w:color w:val="231F20"/>
        </w:rPr>
        <w:t>Opredelitev oz. opis kompetence</w:t>
      </w:r>
      <w:r w:rsidRPr="00392E6A">
        <w:rPr>
          <w:rFonts w:cs="Calibri"/>
          <w:color w:val="231F20"/>
        </w:rPr>
        <w:t xml:space="preserve"> – En ali več kratkih stavkov, ki opisujejo vedenje v primeru, da je določena kompetenca razvita. </w:t>
      </w:r>
    </w:p>
    <w:p w14:paraId="3E62D4C9" w14:textId="77777777" w:rsidR="00A44A46" w:rsidRPr="00392E6A" w:rsidRDefault="00A44A46" w:rsidP="00A44A46">
      <w:pPr>
        <w:autoSpaceDE w:val="0"/>
        <w:autoSpaceDN w:val="0"/>
        <w:adjustRightInd w:val="0"/>
        <w:spacing w:after="0" w:line="240" w:lineRule="auto"/>
        <w:jc w:val="both"/>
        <w:rPr>
          <w:rFonts w:cs="Calibri"/>
          <w:color w:val="231F20"/>
        </w:rPr>
      </w:pPr>
    </w:p>
    <w:p w14:paraId="7089F716" w14:textId="77777777" w:rsidR="00A44A46" w:rsidRPr="00392E6A" w:rsidRDefault="00A44A46" w:rsidP="00A44A46">
      <w:pPr>
        <w:autoSpaceDE w:val="0"/>
        <w:autoSpaceDN w:val="0"/>
        <w:adjustRightInd w:val="0"/>
        <w:spacing w:after="0" w:line="240" w:lineRule="auto"/>
        <w:jc w:val="both"/>
        <w:rPr>
          <w:rFonts w:cs="Calibri"/>
          <w:color w:val="231F20"/>
        </w:rPr>
      </w:pPr>
      <w:r w:rsidRPr="00392E6A">
        <w:rPr>
          <w:rFonts w:cs="Calibri"/>
          <w:color w:val="231F20"/>
        </w:rPr>
        <w:t xml:space="preserve">Kadar se srečamo s kompetencami z namenom določanja njihove razvitosti pri posamezniku, so kompetence opredeljene z natančnimi </w:t>
      </w:r>
      <w:r w:rsidRPr="00392E6A">
        <w:rPr>
          <w:rFonts w:cs="Calibri"/>
          <w:i/>
          <w:color w:val="231F20"/>
        </w:rPr>
        <w:t>vedenjskimi indikatorji oz. pokazatelji</w:t>
      </w:r>
      <w:r w:rsidRPr="00392E6A">
        <w:rPr>
          <w:rFonts w:cs="Calibri"/>
          <w:color w:val="231F20"/>
        </w:rPr>
        <w:t xml:space="preserve">. To so konkretna vedenja, ki naj bi jih posameznik izkazoval, če je neka kompetenca pri njem razvita. Vedenja so lahko tudi stopnjevana, glede na stopnjo razvitosti kompetence. </w:t>
      </w:r>
    </w:p>
    <w:p w14:paraId="77D8FF8C" w14:textId="77777777" w:rsidR="00A44A46" w:rsidRPr="00392E6A" w:rsidRDefault="00A44A46" w:rsidP="00A44A46">
      <w:pPr>
        <w:autoSpaceDE w:val="0"/>
        <w:autoSpaceDN w:val="0"/>
        <w:adjustRightInd w:val="0"/>
        <w:spacing w:after="0" w:line="240" w:lineRule="auto"/>
        <w:jc w:val="both"/>
        <w:rPr>
          <w:rFonts w:cs="Calibri"/>
          <w:color w:val="231F20"/>
        </w:rPr>
      </w:pPr>
    </w:p>
    <w:p w14:paraId="5AD0A81A" w14:textId="77777777" w:rsidR="00A44A46" w:rsidRPr="00392E6A" w:rsidRDefault="00A44A46" w:rsidP="00A44A46">
      <w:pPr>
        <w:autoSpaceDE w:val="0"/>
        <w:autoSpaceDN w:val="0"/>
        <w:adjustRightInd w:val="0"/>
        <w:spacing w:after="0" w:line="240" w:lineRule="auto"/>
        <w:jc w:val="both"/>
        <w:rPr>
          <w:rFonts w:cs="Calibri"/>
          <w:color w:val="231F20"/>
        </w:rPr>
      </w:pPr>
      <w:r w:rsidRPr="00392E6A">
        <w:rPr>
          <w:rFonts w:cs="Calibri"/>
          <w:color w:val="231F20"/>
        </w:rPr>
        <w:t>Sistematično predstavljen sklop kompetenc, ki so pomembne za kakovostno opravljeno delo na določenem delovnem mestu ali v določeni organizaciji imenujemo</w:t>
      </w:r>
      <w:r w:rsidRPr="00392E6A">
        <w:rPr>
          <w:rFonts w:cs="Calibri"/>
          <w:i/>
          <w:color w:val="231F20"/>
        </w:rPr>
        <w:t xml:space="preserve"> kompetenčni model</w:t>
      </w:r>
      <w:r w:rsidRPr="00392E6A">
        <w:rPr>
          <w:rFonts w:cs="Calibri"/>
          <w:color w:val="231F20"/>
        </w:rPr>
        <w:t>.</w:t>
      </w:r>
    </w:p>
    <w:p w14:paraId="11CDCC3C" w14:textId="77777777" w:rsidR="00A44A46" w:rsidRPr="00392E6A" w:rsidRDefault="00A44A46" w:rsidP="00A44A46">
      <w:pPr>
        <w:autoSpaceDE w:val="0"/>
        <w:autoSpaceDN w:val="0"/>
        <w:adjustRightInd w:val="0"/>
        <w:spacing w:after="0" w:line="240" w:lineRule="auto"/>
        <w:jc w:val="both"/>
        <w:rPr>
          <w:rFonts w:cs="Calibri"/>
          <w:color w:val="231F20"/>
        </w:rPr>
      </w:pPr>
    </w:p>
    <w:p w14:paraId="1F20C4A8" w14:textId="77777777" w:rsidR="00A44A46" w:rsidRPr="00392E6A" w:rsidRDefault="00A44A46" w:rsidP="00A44A46">
      <w:pPr>
        <w:autoSpaceDE w:val="0"/>
        <w:autoSpaceDN w:val="0"/>
        <w:adjustRightInd w:val="0"/>
        <w:spacing w:after="0" w:line="240" w:lineRule="auto"/>
        <w:jc w:val="both"/>
        <w:rPr>
          <w:rFonts w:cs="Calibri"/>
          <w:color w:val="231F20"/>
        </w:rPr>
      </w:pPr>
    </w:p>
    <w:p w14:paraId="472536F9" w14:textId="77777777" w:rsidR="00A44A46" w:rsidRPr="00392E6A" w:rsidRDefault="00A44A46" w:rsidP="00A44A46">
      <w:pPr>
        <w:autoSpaceDE w:val="0"/>
        <w:autoSpaceDN w:val="0"/>
        <w:adjustRightInd w:val="0"/>
        <w:spacing w:after="0" w:line="240" w:lineRule="auto"/>
        <w:jc w:val="both"/>
        <w:rPr>
          <w:rFonts w:cs="Calibri"/>
          <w:color w:val="231F20"/>
        </w:rPr>
      </w:pPr>
    </w:p>
    <w:p w14:paraId="79BAD568" w14:textId="77777777" w:rsidR="00A44A46" w:rsidRPr="00392E6A" w:rsidRDefault="00A44A46" w:rsidP="00A44A46">
      <w:pPr>
        <w:autoSpaceDE w:val="0"/>
        <w:autoSpaceDN w:val="0"/>
        <w:adjustRightInd w:val="0"/>
        <w:spacing w:after="0" w:line="240" w:lineRule="auto"/>
        <w:jc w:val="both"/>
        <w:rPr>
          <w:rFonts w:cs="Calibri"/>
          <w:color w:val="231F20"/>
        </w:rPr>
      </w:pPr>
    </w:p>
    <w:p w14:paraId="0F99E6A7" w14:textId="77777777" w:rsidR="00A44A46" w:rsidRPr="00392E6A" w:rsidRDefault="00A44A46" w:rsidP="00A44A46">
      <w:pPr>
        <w:autoSpaceDE w:val="0"/>
        <w:autoSpaceDN w:val="0"/>
        <w:adjustRightInd w:val="0"/>
        <w:spacing w:after="0" w:line="240" w:lineRule="auto"/>
        <w:jc w:val="both"/>
        <w:rPr>
          <w:rFonts w:cs="Calibri"/>
          <w:color w:val="231F20"/>
        </w:rPr>
      </w:pPr>
    </w:p>
    <w:p w14:paraId="1E324F7D" w14:textId="77777777" w:rsidR="00A44A46" w:rsidRPr="00392E6A" w:rsidRDefault="00A44A46" w:rsidP="00A44A46">
      <w:pPr>
        <w:autoSpaceDE w:val="0"/>
        <w:autoSpaceDN w:val="0"/>
        <w:adjustRightInd w:val="0"/>
        <w:spacing w:after="0" w:line="240" w:lineRule="auto"/>
        <w:jc w:val="both"/>
        <w:rPr>
          <w:rFonts w:cs="Calibri"/>
          <w:color w:val="231F20"/>
        </w:rPr>
      </w:pPr>
    </w:p>
    <w:p w14:paraId="0B203871" w14:textId="77777777" w:rsidR="00A44A46" w:rsidRPr="00392E6A" w:rsidRDefault="00A44A46" w:rsidP="00A44A46">
      <w:pPr>
        <w:autoSpaceDE w:val="0"/>
        <w:autoSpaceDN w:val="0"/>
        <w:adjustRightInd w:val="0"/>
        <w:spacing w:after="0" w:line="240" w:lineRule="auto"/>
        <w:jc w:val="both"/>
        <w:rPr>
          <w:rFonts w:cs="Calibri"/>
          <w:color w:val="231F20"/>
        </w:rPr>
      </w:pPr>
    </w:p>
    <w:p w14:paraId="6E220C35" w14:textId="77777777" w:rsidR="00E9143D" w:rsidRPr="00392E6A" w:rsidRDefault="00E9143D" w:rsidP="00A44A46">
      <w:pPr>
        <w:autoSpaceDE w:val="0"/>
        <w:autoSpaceDN w:val="0"/>
        <w:adjustRightInd w:val="0"/>
        <w:spacing w:after="0" w:line="240" w:lineRule="auto"/>
        <w:jc w:val="both"/>
        <w:rPr>
          <w:rFonts w:cs="Calibri"/>
          <w:color w:val="231F20"/>
        </w:rPr>
      </w:pPr>
    </w:p>
    <w:p w14:paraId="2B3B4032" w14:textId="77777777" w:rsidR="00A44A46" w:rsidRPr="00392E6A" w:rsidRDefault="00A44A46" w:rsidP="00A44A46">
      <w:pPr>
        <w:spacing w:after="0"/>
        <w:jc w:val="both"/>
        <w:rPr>
          <w:rFonts w:cs="Calibri"/>
        </w:rPr>
      </w:pPr>
      <w:r w:rsidRPr="00392E6A">
        <w:rPr>
          <w:rFonts w:cs="Calibri"/>
        </w:rPr>
        <w:t xml:space="preserve">Slika 1: </w:t>
      </w:r>
      <w:r w:rsidRPr="00392E6A">
        <w:rPr>
          <w:rFonts w:cs="Calibri"/>
          <w:i/>
        </w:rPr>
        <w:t>Primer elementov opredeljene kompetence.</w:t>
      </w:r>
    </w:p>
    <w:tbl>
      <w:tblPr>
        <w:tblW w:w="9062" w:type="dxa"/>
        <w:tblCellMar>
          <w:left w:w="0" w:type="dxa"/>
          <w:right w:w="0" w:type="dxa"/>
        </w:tblCellMar>
        <w:tblLook w:val="04A0" w:firstRow="1" w:lastRow="0" w:firstColumn="1" w:lastColumn="0" w:noHBand="0" w:noVBand="1"/>
      </w:tblPr>
      <w:tblGrid>
        <w:gridCol w:w="1833"/>
        <w:gridCol w:w="3119"/>
        <w:gridCol w:w="4110"/>
      </w:tblGrid>
      <w:tr w:rsidR="00A44A46" w:rsidRPr="00392E6A" w14:paraId="1A6C5650" w14:textId="77777777" w:rsidTr="00392E6A">
        <w:trPr>
          <w:trHeight w:val="454"/>
        </w:trPr>
        <w:tc>
          <w:tcPr>
            <w:tcW w:w="1833" w:type="dxa"/>
            <w:tcBorders>
              <w:top w:val="single" w:sz="8" w:space="0" w:color="FFFFFF"/>
              <w:left w:val="single" w:sz="8" w:space="0" w:color="FFFFFF"/>
              <w:bottom w:val="single" w:sz="24" w:space="0" w:color="FFFFFF"/>
              <w:right w:val="single" w:sz="8" w:space="0" w:color="FFFFFF"/>
            </w:tcBorders>
            <w:shd w:val="clear" w:color="auto" w:fill="9CC2E5"/>
            <w:tcMar>
              <w:top w:w="15" w:type="dxa"/>
              <w:left w:w="90" w:type="dxa"/>
              <w:bottom w:w="0" w:type="dxa"/>
              <w:right w:w="90" w:type="dxa"/>
            </w:tcMar>
            <w:vAlign w:val="center"/>
            <w:hideMark/>
          </w:tcPr>
          <w:p w14:paraId="1B1A8A38" w14:textId="77777777" w:rsidR="00A44A46" w:rsidRPr="001174FD" w:rsidRDefault="00A44A46" w:rsidP="00A774A9">
            <w:pPr>
              <w:spacing w:after="0"/>
              <w:jc w:val="both"/>
              <w:rPr>
                <w:rFonts w:cs="Calibri"/>
                <w:b/>
                <w:color w:val="000000" w:themeColor="text1"/>
                <w:sz w:val="20"/>
                <w:szCs w:val="20"/>
                <w:lang w:val="en-GB"/>
              </w:rPr>
            </w:pPr>
            <w:r w:rsidRPr="001174FD">
              <w:rPr>
                <w:rFonts w:cs="Calibri"/>
                <w:b/>
                <w:color w:val="000000" w:themeColor="text1"/>
                <w:sz w:val="20"/>
                <w:szCs w:val="20"/>
                <w:lang w:val="en-GB"/>
              </w:rPr>
              <w:t>IME KOMPETENCE</w:t>
            </w:r>
          </w:p>
        </w:tc>
        <w:tc>
          <w:tcPr>
            <w:tcW w:w="3119" w:type="dxa"/>
            <w:tcBorders>
              <w:top w:val="single" w:sz="8" w:space="0" w:color="FFFFFF"/>
              <w:left w:val="single" w:sz="8" w:space="0" w:color="FFFFFF"/>
              <w:bottom w:val="single" w:sz="24" w:space="0" w:color="FFFFFF"/>
              <w:right w:val="single" w:sz="8" w:space="0" w:color="FFFFFF"/>
            </w:tcBorders>
            <w:shd w:val="clear" w:color="auto" w:fill="9CC2E5"/>
            <w:tcMar>
              <w:top w:w="15" w:type="dxa"/>
              <w:left w:w="90" w:type="dxa"/>
              <w:bottom w:w="0" w:type="dxa"/>
              <w:right w:w="90" w:type="dxa"/>
            </w:tcMar>
            <w:vAlign w:val="center"/>
            <w:hideMark/>
          </w:tcPr>
          <w:p w14:paraId="643547D4" w14:textId="77777777" w:rsidR="00A44A46" w:rsidRPr="001174FD" w:rsidRDefault="00A44A46" w:rsidP="00A774A9">
            <w:pPr>
              <w:spacing w:after="0"/>
              <w:jc w:val="both"/>
              <w:rPr>
                <w:rFonts w:cs="Calibri"/>
                <w:b/>
                <w:color w:val="000000" w:themeColor="text1"/>
                <w:sz w:val="20"/>
                <w:szCs w:val="20"/>
                <w:lang w:val="en-GB"/>
              </w:rPr>
            </w:pPr>
            <w:r w:rsidRPr="001174FD">
              <w:rPr>
                <w:rFonts w:cs="Calibri"/>
                <w:b/>
                <w:bCs/>
                <w:color w:val="000000" w:themeColor="text1"/>
                <w:sz w:val="20"/>
                <w:szCs w:val="20"/>
                <w:lang w:val="en-GB"/>
              </w:rPr>
              <w:t>OPIS KOMPETENCE</w:t>
            </w:r>
          </w:p>
        </w:tc>
        <w:tc>
          <w:tcPr>
            <w:tcW w:w="4110" w:type="dxa"/>
            <w:tcBorders>
              <w:top w:val="single" w:sz="8" w:space="0" w:color="FFFFFF"/>
              <w:left w:val="single" w:sz="8" w:space="0" w:color="FFFFFF"/>
              <w:bottom w:val="single" w:sz="24" w:space="0" w:color="FFFFFF"/>
              <w:right w:val="single" w:sz="8" w:space="0" w:color="FFFFFF"/>
            </w:tcBorders>
            <w:shd w:val="clear" w:color="auto" w:fill="9CC2E5"/>
            <w:tcMar>
              <w:top w:w="15" w:type="dxa"/>
              <w:left w:w="90" w:type="dxa"/>
              <w:bottom w:w="0" w:type="dxa"/>
              <w:right w:w="90" w:type="dxa"/>
            </w:tcMar>
            <w:vAlign w:val="center"/>
            <w:hideMark/>
          </w:tcPr>
          <w:p w14:paraId="6B1186C6" w14:textId="77777777" w:rsidR="00A44A46" w:rsidRPr="001174FD" w:rsidRDefault="00A44A46" w:rsidP="00A774A9">
            <w:pPr>
              <w:spacing w:after="0"/>
              <w:jc w:val="both"/>
              <w:rPr>
                <w:rFonts w:cs="Calibri"/>
                <w:b/>
                <w:color w:val="000000" w:themeColor="text1"/>
                <w:sz w:val="20"/>
                <w:szCs w:val="20"/>
                <w:lang w:val="en-GB"/>
              </w:rPr>
            </w:pPr>
            <w:r w:rsidRPr="001174FD">
              <w:rPr>
                <w:rFonts w:cs="Calibri"/>
                <w:b/>
                <w:color w:val="000000" w:themeColor="text1"/>
                <w:sz w:val="20"/>
                <w:szCs w:val="20"/>
                <w:lang w:val="en-GB"/>
              </w:rPr>
              <w:t>VEDENJSKI POKAZATELJI</w:t>
            </w:r>
          </w:p>
        </w:tc>
      </w:tr>
      <w:tr w:rsidR="00A44A46" w:rsidRPr="00392E6A" w14:paraId="1638A4D7" w14:textId="77777777" w:rsidTr="00A774A9">
        <w:trPr>
          <w:trHeight w:val="1639"/>
        </w:trPr>
        <w:tc>
          <w:tcPr>
            <w:tcW w:w="1833" w:type="dxa"/>
            <w:tcBorders>
              <w:top w:val="single" w:sz="8" w:space="0" w:color="FFFFFF"/>
              <w:left w:val="single" w:sz="8" w:space="0" w:color="FFFFFF"/>
              <w:bottom w:val="single" w:sz="8" w:space="0" w:color="FFFFFF"/>
              <w:right w:val="single" w:sz="8" w:space="0" w:color="FFFFFF"/>
            </w:tcBorders>
            <w:shd w:val="clear" w:color="auto" w:fill="F2F2F2"/>
            <w:tcMar>
              <w:top w:w="15" w:type="dxa"/>
              <w:left w:w="90" w:type="dxa"/>
              <w:bottom w:w="0" w:type="dxa"/>
              <w:right w:w="90" w:type="dxa"/>
            </w:tcMar>
            <w:hideMark/>
          </w:tcPr>
          <w:p w14:paraId="4938029E" w14:textId="77777777" w:rsidR="00A44A46" w:rsidRPr="00392E6A" w:rsidRDefault="00A44A46" w:rsidP="00A774A9">
            <w:pPr>
              <w:spacing w:after="0"/>
              <w:rPr>
                <w:rFonts w:cs="Calibri"/>
                <w:sz w:val="20"/>
                <w:szCs w:val="20"/>
              </w:rPr>
            </w:pPr>
            <w:r w:rsidRPr="00392E6A">
              <w:rPr>
                <w:rFonts w:cs="Calibri"/>
                <w:b/>
                <w:bCs/>
                <w:sz w:val="20"/>
                <w:szCs w:val="20"/>
              </w:rPr>
              <w:t xml:space="preserve">SODELOVANJE </w:t>
            </w:r>
          </w:p>
        </w:tc>
        <w:tc>
          <w:tcPr>
            <w:tcW w:w="3119" w:type="dxa"/>
            <w:tcBorders>
              <w:top w:val="single" w:sz="8" w:space="0" w:color="FFFFFF"/>
              <w:left w:val="single" w:sz="8" w:space="0" w:color="FFFFFF"/>
              <w:bottom w:val="single" w:sz="8" w:space="0" w:color="FFFFFF"/>
              <w:right w:val="single" w:sz="8" w:space="0" w:color="FFFFFF"/>
            </w:tcBorders>
            <w:shd w:val="clear" w:color="auto" w:fill="F2F2F2"/>
            <w:tcMar>
              <w:top w:w="15" w:type="dxa"/>
              <w:left w:w="90" w:type="dxa"/>
              <w:bottom w:w="0" w:type="dxa"/>
              <w:right w:w="90" w:type="dxa"/>
            </w:tcMar>
            <w:hideMark/>
          </w:tcPr>
          <w:p w14:paraId="04C95326" w14:textId="77777777" w:rsidR="00A44A46" w:rsidRPr="00392E6A" w:rsidRDefault="00A44A46" w:rsidP="00A774A9">
            <w:pPr>
              <w:spacing w:after="0"/>
              <w:rPr>
                <w:rFonts w:cs="Calibri"/>
                <w:sz w:val="20"/>
                <w:szCs w:val="20"/>
              </w:rPr>
            </w:pPr>
            <w:r w:rsidRPr="00392E6A">
              <w:rPr>
                <w:rFonts w:cs="Calibri"/>
                <w:sz w:val="20"/>
                <w:szCs w:val="20"/>
              </w:rPr>
              <w:t xml:space="preserve">Sodelavec uspešno sodeluje in podpira skupne cilje. Spoštuje mnenja sodelavcev in njihovo integriteto, pri čemer pa zna predstaviti tudi svoje mnenje. </w:t>
            </w:r>
          </w:p>
        </w:tc>
        <w:tc>
          <w:tcPr>
            <w:tcW w:w="4110" w:type="dxa"/>
            <w:tcBorders>
              <w:top w:val="single" w:sz="8" w:space="0" w:color="FFFFFF"/>
              <w:left w:val="single" w:sz="8" w:space="0" w:color="FFFFFF"/>
              <w:bottom w:val="single" w:sz="8" w:space="0" w:color="FFFFFF"/>
              <w:right w:val="single" w:sz="8" w:space="0" w:color="FFFFFF"/>
            </w:tcBorders>
            <w:shd w:val="clear" w:color="auto" w:fill="F2F2F2"/>
            <w:tcMar>
              <w:top w:w="15" w:type="dxa"/>
              <w:left w:w="90" w:type="dxa"/>
              <w:bottom w:w="0" w:type="dxa"/>
              <w:right w:w="90" w:type="dxa"/>
            </w:tcMar>
            <w:hideMark/>
          </w:tcPr>
          <w:p w14:paraId="3A8793EC" w14:textId="77777777" w:rsidR="00A44A46" w:rsidRPr="00392E6A" w:rsidRDefault="00A44A46" w:rsidP="00A774A9">
            <w:pPr>
              <w:spacing w:after="0"/>
              <w:jc w:val="both"/>
              <w:rPr>
                <w:rFonts w:cs="Calibri"/>
                <w:sz w:val="20"/>
                <w:szCs w:val="20"/>
              </w:rPr>
            </w:pPr>
            <w:r w:rsidRPr="00392E6A">
              <w:rPr>
                <w:rFonts w:cs="Calibri"/>
                <w:sz w:val="20"/>
                <w:szCs w:val="20"/>
              </w:rPr>
              <w:t>Deli svoje mnenje in informacije z drugimi.</w:t>
            </w:r>
          </w:p>
          <w:p w14:paraId="7E42AAA2" w14:textId="77777777" w:rsidR="00A44A46" w:rsidRPr="00392E6A" w:rsidRDefault="00A44A46" w:rsidP="00A774A9">
            <w:pPr>
              <w:spacing w:after="0"/>
              <w:jc w:val="both"/>
              <w:rPr>
                <w:rFonts w:cs="Calibri"/>
                <w:sz w:val="20"/>
                <w:szCs w:val="20"/>
              </w:rPr>
            </w:pPr>
            <w:r w:rsidRPr="00392E6A">
              <w:rPr>
                <w:rFonts w:cs="Calibri"/>
                <w:sz w:val="20"/>
                <w:szCs w:val="20"/>
              </w:rPr>
              <w:t>Pomaga drugim, ko je to potrebno.</w:t>
            </w:r>
          </w:p>
          <w:p w14:paraId="5E990A40" w14:textId="77777777" w:rsidR="00A44A46" w:rsidRPr="00392E6A" w:rsidRDefault="00A44A46" w:rsidP="00A774A9">
            <w:pPr>
              <w:spacing w:after="0"/>
              <w:jc w:val="both"/>
              <w:rPr>
                <w:rFonts w:cs="Calibri"/>
                <w:sz w:val="20"/>
                <w:szCs w:val="20"/>
              </w:rPr>
            </w:pPr>
            <w:r w:rsidRPr="00392E6A">
              <w:rPr>
                <w:rFonts w:cs="Calibri"/>
                <w:sz w:val="20"/>
                <w:szCs w:val="20"/>
              </w:rPr>
              <w:t>Prisluhne in upošteva mnenja drugih.</w:t>
            </w:r>
          </w:p>
          <w:p w14:paraId="302B2DC4" w14:textId="77777777" w:rsidR="00A44A46" w:rsidRPr="00392E6A" w:rsidRDefault="00A44A46" w:rsidP="00A774A9">
            <w:pPr>
              <w:spacing w:after="0"/>
              <w:jc w:val="both"/>
              <w:rPr>
                <w:rFonts w:cs="Calibri"/>
                <w:sz w:val="20"/>
                <w:szCs w:val="20"/>
              </w:rPr>
            </w:pPr>
            <w:r w:rsidRPr="00392E6A">
              <w:rPr>
                <w:rFonts w:cs="Calibri"/>
                <w:sz w:val="20"/>
                <w:szCs w:val="20"/>
              </w:rPr>
              <w:t>Išče načine, da olajša delo tima.</w:t>
            </w:r>
          </w:p>
          <w:p w14:paraId="03877CFE" w14:textId="77777777" w:rsidR="00A44A46" w:rsidRPr="00392E6A" w:rsidRDefault="00A44A46" w:rsidP="00A774A9">
            <w:pPr>
              <w:spacing w:after="0"/>
              <w:jc w:val="both"/>
              <w:rPr>
                <w:rFonts w:cs="Calibri"/>
                <w:sz w:val="20"/>
                <w:szCs w:val="20"/>
              </w:rPr>
            </w:pPr>
            <w:r w:rsidRPr="00392E6A">
              <w:rPr>
                <w:rFonts w:cs="Calibri"/>
                <w:sz w:val="20"/>
                <w:szCs w:val="20"/>
              </w:rPr>
              <w:t>Skrbi za dobro klimo in pripadnost članov tima.</w:t>
            </w:r>
          </w:p>
          <w:p w14:paraId="7FD2C601" w14:textId="77777777" w:rsidR="00A44A46" w:rsidRPr="00392E6A" w:rsidRDefault="00A44A46" w:rsidP="00A774A9">
            <w:pPr>
              <w:spacing w:after="0"/>
              <w:jc w:val="both"/>
              <w:rPr>
                <w:rFonts w:cs="Calibri"/>
                <w:sz w:val="20"/>
                <w:szCs w:val="20"/>
              </w:rPr>
            </w:pPr>
            <w:r w:rsidRPr="00392E6A">
              <w:rPr>
                <w:rFonts w:cs="Calibri"/>
                <w:sz w:val="20"/>
                <w:szCs w:val="20"/>
              </w:rPr>
              <w:t>Povezuje sodelavce na različnih področjih dela.</w:t>
            </w:r>
          </w:p>
          <w:p w14:paraId="54031B3C" w14:textId="77777777" w:rsidR="00A44A46" w:rsidRPr="00392E6A" w:rsidRDefault="00A44A46" w:rsidP="00A774A9">
            <w:pPr>
              <w:spacing w:after="0"/>
              <w:jc w:val="both"/>
              <w:rPr>
                <w:rFonts w:cs="Calibri"/>
                <w:sz w:val="20"/>
                <w:szCs w:val="20"/>
              </w:rPr>
            </w:pPr>
            <w:r w:rsidRPr="00392E6A">
              <w:rPr>
                <w:rFonts w:cs="Calibri"/>
                <w:sz w:val="20"/>
                <w:szCs w:val="20"/>
              </w:rPr>
              <w:t>Je predan skupnim ciljem.</w:t>
            </w:r>
          </w:p>
        </w:tc>
      </w:tr>
    </w:tbl>
    <w:p w14:paraId="16188FFE" w14:textId="77777777" w:rsidR="00A44A46" w:rsidRPr="00392E6A" w:rsidRDefault="00A44A46" w:rsidP="00A44A46">
      <w:pPr>
        <w:spacing w:after="0"/>
        <w:jc w:val="both"/>
        <w:rPr>
          <w:rFonts w:cs="Calibri"/>
          <w:b/>
        </w:rPr>
      </w:pPr>
      <w:r w:rsidRPr="00392E6A">
        <w:rPr>
          <w:rFonts w:cs="Calibri"/>
          <w:b/>
        </w:rPr>
        <w:t>Uporaba kompetenc pri delu z ljudmi</w:t>
      </w:r>
    </w:p>
    <w:p w14:paraId="4758CC7A" w14:textId="77777777" w:rsidR="00A44A46" w:rsidRPr="00392E6A" w:rsidRDefault="00A44A46" w:rsidP="00A44A46">
      <w:pPr>
        <w:autoSpaceDE w:val="0"/>
        <w:autoSpaceDN w:val="0"/>
        <w:adjustRightInd w:val="0"/>
        <w:spacing w:after="0" w:line="240" w:lineRule="auto"/>
        <w:jc w:val="both"/>
        <w:rPr>
          <w:rFonts w:cs="Calibri"/>
        </w:rPr>
      </w:pPr>
      <w:r w:rsidRPr="00392E6A">
        <w:rPr>
          <w:rFonts w:cs="Calibri"/>
        </w:rPr>
        <w:t>Tekom uporabe na kadrovskem področju, so se kompetence pokazale kot zelo uporabne predvsem pri izbiri novih sodelavcev in razvoju zaposlenih. Raziskava, ki so jo leta 2007 izvedli med 27-imi državami članicami EU je pokazala, da so najpogostejši vzroki za uvajanje kompetenc v javni sektor Evropskih držav zlasti želja po izboljšanju postopka selekcije, razvoja zaposlenih, ocenjevanja in nagrajevanja.</w:t>
      </w:r>
    </w:p>
    <w:p w14:paraId="34A94FEB" w14:textId="77777777" w:rsidR="00A44A46" w:rsidRPr="00392E6A" w:rsidRDefault="00A44A46" w:rsidP="00A44A46">
      <w:pPr>
        <w:autoSpaceDE w:val="0"/>
        <w:autoSpaceDN w:val="0"/>
        <w:adjustRightInd w:val="0"/>
        <w:spacing w:after="0" w:line="240" w:lineRule="auto"/>
        <w:jc w:val="both"/>
        <w:rPr>
          <w:rFonts w:cs="Calibri"/>
        </w:rPr>
      </w:pPr>
    </w:p>
    <w:p w14:paraId="5E6BBDEA" w14:textId="77777777" w:rsidR="00A44A46" w:rsidRPr="00392E6A" w:rsidRDefault="00A44A46" w:rsidP="00A44A46">
      <w:pPr>
        <w:autoSpaceDE w:val="0"/>
        <w:autoSpaceDN w:val="0"/>
        <w:adjustRightInd w:val="0"/>
        <w:spacing w:after="0" w:line="240" w:lineRule="auto"/>
        <w:jc w:val="both"/>
        <w:rPr>
          <w:rFonts w:cs="Calibri"/>
        </w:rPr>
      </w:pPr>
    </w:p>
    <w:p w14:paraId="6661A826" w14:textId="77777777" w:rsidR="00A44A46" w:rsidRPr="00392E6A" w:rsidRDefault="00A44A46" w:rsidP="00A44A46">
      <w:pPr>
        <w:autoSpaceDE w:val="0"/>
        <w:autoSpaceDN w:val="0"/>
        <w:adjustRightInd w:val="0"/>
        <w:spacing w:after="0" w:line="240" w:lineRule="auto"/>
        <w:jc w:val="both"/>
        <w:rPr>
          <w:rFonts w:cs="Calibri"/>
        </w:rPr>
      </w:pPr>
      <w:r w:rsidRPr="00392E6A">
        <w:rPr>
          <w:rFonts w:cs="Calibri"/>
        </w:rPr>
        <w:t xml:space="preserve">Slika 2: </w:t>
      </w:r>
      <w:r w:rsidRPr="00392E6A">
        <w:rPr>
          <w:rFonts w:cs="Calibri"/>
          <w:i/>
        </w:rPr>
        <w:t>Težave, ki so jih države članice EU najpogosteje skušale odpraviti z uvedbo kompetenc v organizacijske procese.</w:t>
      </w:r>
    </w:p>
    <w:p w14:paraId="4B7CBA75" w14:textId="31B95F02" w:rsidR="00A44A46" w:rsidRPr="00392E6A" w:rsidRDefault="00B54460" w:rsidP="00A44A46">
      <w:pPr>
        <w:autoSpaceDE w:val="0"/>
        <w:autoSpaceDN w:val="0"/>
        <w:adjustRightInd w:val="0"/>
        <w:spacing w:after="0" w:line="240" w:lineRule="auto"/>
        <w:jc w:val="both"/>
        <w:rPr>
          <w:rFonts w:cs="Calibri"/>
        </w:rPr>
      </w:pPr>
      <w:r w:rsidRPr="00392E6A">
        <w:rPr>
          <w:rFonts w:cs="Calibri"/>
          <w:noProof/>
        </w:rPr>
        <w:drawing>
          <wp:inline distT="0" distB="0" distL="0" distR="0" wp14:anchorId="015EC021" wp14:editId="521BCC8D">
            <wp:extent cx="5748655" cy="2256155"/>
            <wp:effectExtent l="0" t="0" r="0" b="0"/>
            <wp:docPr id="3" name="Chart 1" descr="Države članice so z uvedbo kompetenc želele vzpostaviti ustrezen postopek selekcije, razvoja in ocenjevanja zaposlenih, poleg tega so s tem uresničevale usmeritve vlade ter zasledovale uvajanje sprememb in s tem uvedbo ustreznih kadrovskih postopkov."/>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B09EFA0" w14:textId="77777777" w:rsidR="00A44A46" w:rsidRPr="00392E6A" w:rsidRDefault="00A44A46" w:rsidP="00A44A46">
      <w:pPr>
        <w:autoSpaceDE w:val="0"/>
        <w:autoSpaceDN w:val="0"/>
        <w:adjustRightInd w:val="0"/>
        <w:spacing w:after="0" w:line="240" w:lineRule="auto"/>
        <w:jc w:val="both"/>
        <w:rPr>
          <w:rFonts w:cs="Calibri"/>
        </w:rPr>
      </w:pPr>
      <w:r w:rsidRPr="00392E6A">
        <w:rPr>
          <w:rFonts w:cs="Calibri"/>
        </w:rPr>
        <w:t>Vir: OECD, 2010</w:t>
      </w:r>
    </w:p>
    <w:p w14:paraId="173A8DCA" w14:textId="77777777" w:rsidR="00A44A46" w:rsidRPr="00392E6A" w:rsidRDefault="00A44A46" w:rsidP="00A44A46">
      <w:pPr>
        <w:autoSpaceDE w:val="0"/>
        <w:autoSpaceDN w:val="0"/>
        <w:adjustRightInd w:val="0"/>
        <w:spacing w:after="0" w:line="240" w:lineRule="auto"/>
        <w:jc w:val="both"/>
        <w:rPr>
          <w:rFonts w:cs="Calibri"/>
        </w:rPr>
      </w:pPr>
    </w:p>
    <w:p w14:paraId="3C5E4EDB" w14:textId="77777777" w:rsidR="00E9143D" w:rsidRPr="00392E6A" w:rsidRDefault="00E9143D" w:rsidP="00A44A46">
      <w:pPr>
        <w:autoSpaceDE w:val="0"/>
        <w:autoSpaceDN w:val="0"/>
        <w:adjustRightInd w:val="0"/>
        <w:spacing w:after="0" w:line="240" w:lineRule="auto"/>
        <w:jc w:val="both"/>
        <w:rPr>
          <w:rFonts w:cs="Calibri"/>
        </w:rPr>
      </w:pPr>
    </w:p>
    <w:p w14:paraId="0904048C" w14:textId="77777777" w:rsidR="00A44A46" w:rsidRPr="00392E6A" w:rsidRDefault="00A44A46" w:rsidP="00A44A46">
      <w:pPr>
        <w:autoSpaceDE w:val="0"/>
        <w:autoSpaceDN w:val="0"/>
        <w:adjustRightInd w:val="0"/>
        <w:spacing w:after="0" w:line="240" w:lineRule="auto"/>
        <w:jc w:val="both"/>
        <w:rPr>
          <w:rFonts w:cs="Calibri"/>
        </w:rPr>
      </w:pPr>
      <w:r w:rsidRPr="00392E6A">
        <w:rPr>
          <w:rFonts w:cs="Calibri"/>
        </w:rPr>
        <w:t xml:space="preserve">Tako tudi v Sloveniji v okviru projekta Vzpostavitev kompetenčnega modela v državni upravi uvajamo sistem kompetenc z namenom uresničevanje strateških smernic vlade na področju upravljanja človeških virov. Rezultat projekta bodo določene temeljne, vodstvene in delovno specifične kompetence ter sistem prepoznavanja/presojanja kompetenc. Presoja zaposlenih glede na njihove kompetence v razmerju do potrebnih oziroma pričakovanih kompetenc za opravljanje določenega dela bo temelj za načrtovanje usposabljanj in prožen razvoj kariere. Prav tako pa bo kompetenčni model v prihodnosti lahko podlaga izbirnemu postopku v procesu zaposlovanja, vzpostavitvi celovitega sistema nasledstev in upravljanju delovne uspešnosti.  </w:t>
      </w:r>
    </w:p>
    <w:p w14:paraId="7A2F324B" w14:textId="77777777" w:rsidR="00A44A46" w:rsidRPr="00392E6A" w:rsidRDefault="00A44A46" w:rsidP="00A44A46">
      <w:pPr>
        <w:autoSpaceDE w:val="0"/>
        <w:autoSpaceDN w:val="0"/>
        <w:adjustRightInd w:val="0"/>
        <w:spacing w:after="0" w:line="240" w:lineRule="auto"/>
        <w:rPr>
          <w:rFonts w:cs="Calibri"/>
        </w:rPr>
      </w:pPr>
    </w:p>
    <w:p w14:paraId="7FA9535D" w14:textId="77777777" w:rsidR="00E9143D" w:rsidRPr="00323D74" w:rsidRDefault="00E9143D" w:rsidP="00A44A46">
      <w:pPr>
        <w:autoSpaceDE w:val="0"/>
        <w:autoSpaceDN w:val="0"/>
        <w:adjustRightInd w:val="0"/>
        <w:spacing w:after="0" w:line="240" w:lineRule="auto"/>
        <w:rPr>
          <w:rFonts w:cs="Calibri"/>
        </w:rPr>
      </w:pPr>
    </w:p>
    <w:p w14:paraId="1DF01B30" w14:textId="77777777" w:rsidR="00E9143D" w:rsidRPr="00323D74" w:rsidRDefault="00E9143D" w:rsidP="00A44A46">
      <w:pPr>
        <w:autoSpaceDE w:val="0"/>
        <w:autoSpaceDN w:val="0"/>
        <w:adjustRightInd w:val="0"/>
        <w:spacing w:after="0" w:line="240" w:lineRule="auto"/>
        <w:rPr>
          <w:rFonts w:cs="Calibri"/>
        </w:rPr>
      </w:pPr>
    </w:p>
    <w:p w14:paraId="1F4FB26B" w14:textId="77777777" w:rsidR="00E9143D" w:rsidRPr="00323D74" w:rsidRDefault="00E9143D" w:rsidP="00A44A46">
      <w:pPr>
        <w:autoSpaceDE w:val="0"/>
        <w:autoSpaceDN w:val="0"/>
        <w:adjustRightInd w:val="0"/>
        <w:spacing w:after="0" w:line="240" w:lineRule="auto"/>
        <w:rPr>
          <w:rFonts w:cs="Calibri"/>
        </w:rPr>
      </w:pPr>
    </w:p>
    <w:p w14:paraId="4F7C6C44" w14:textId="77777777" w:rsidR="00A44A46" w:rsidRPr="00392E6A" w:rsidRDefault="00A44A46" w:rsidP="00A44A46">
      <w:pPr>
        <w:autoSpaceDE w:val="0"/>
        <w:autoSpaceDN w:val="0"/>
        <w:adjustRightInd w:val="0"/>
        <w:spacing w:after="0" w:line="240" w:lineRule="auto"/>
        <w:rPr>
          <w:rFonts w:cs="Calibri"/>
          <w:lang w:val="en-GB"/>
        </w:rPr>
      </w:pPr>
      <w:proofErr w:type="spellStart"/>
      <w:r w:rsidRPr="00392E6A">
        <w:rPr>
          <w:rFonts w:cs="Calibri"/>
          <w:lang w:val="en-GB"/>
        </w:rPr>
        <w:t>Literatura</w:t>
      </w:r>
      <w:proofErr w:type="spellEnd"/>
      <w:r w:rsidRPr="00392E6A">
        <w:rPr>
          <w:rFonts w:cs="Calibri"/>
          <w:lang w:val="en-GB"/>
        </w:rPr>
        <w:t>:</w:t>
      </w:r>
    </w:p>
    <w:p w14:paraId="73524BC9" w14:textId="77777777" w:rsidR="00A44A46" w:rsidRPr="00392E6A" w:rsidRDefault="00A44A46" w:rsidP="00A44A46">
      <w:pPr>
        <w:autoSpaceDE w:val="0"/>
        <w:autoSpaceDN w:val="0"/>
        <w:adjustRightInd w:val="0"/>
        <w:spacing w:after="0" w:line="240" w:lineRule="auto"/>
        <w:rPr>
          <w:rFonts w:cs="Calibri"/>
          <w:lang w:val="en-GB"/>
        </w:rPr>
      </w:pPr>
      <w:proofErr w:type="spellStart"/>
      <w:r w:rsidRPr="00392E6A">
        <w:rPr>
          <w:rFonts w:cs="Calibri"/>
          <w:lang w:val="en-GB"/>
        </w:rPr>
        <w:t>Pilichowski</w:t>
      </w:r>
      <w:proofErr w:type="spellEnd"/>
      <w:r w:rsidRPr="00392E6A">
        <w:rPr>
          <w:rFonts w:cs="Calibri"/>
          <w:lang w:val="en-GB"/>
        </w:rPr>
        <w:t xml:space="preserve"> E., Melchor O. H, Anderson B., </w:t>
      </w:r>
      <w:proofErr w:type="spellStart"/>
      <w:r w:rsidRPr="00392E6A">
        <w:rPr>
          <w:rFonts w:cs="Calibri"/>
          <w:lang w:val="en-GB"/>
        </w:rPr>
        <w:t>Beeck</w:t>
      </w:r>
      <w:proofErr w:type="spellEnd"/>
      <w:r w:rsidRPr="00392E6A">
        <w:rPr>
          <w:rFonts w:cs="Calibri"/>
          <w:lang w:val="en-GB"/>
        </w:rPr>
        <w:t xml:space="preserve"> S. O. in </w:t>
      </w:r>
      <w:proofErr w:type="spellStart"/>
      <w:r w:rsidRPr="00392E6A">
        <w:rPr>
          <w:rFonts w:cs="Calibri"/>
          <w:lang w:val="en-GB"/>
        </w:rPr>
        <w:t>Hondeghem</w:t>
      </w:r>
      <w:proofErr w:type="spellEnd"/>
      <w:r w:rsidRPr="00392E6A">
        <w:rPr>
          <w:rFonts w:cs="Calibri"/>
          <w:lang w:val="en-GB"/>
        </w:rPr>
        <w:t xml:space="preserve"> A. (2010). </w:t>
      </w:r>
      <w:r w:rsidRPr="00392E6A">
        <w:rPr>
          <w:rFonts w:cs="Calibri"/>
          <w:bCs/>
          <w:lang w:val="en-GB"/>
        </w:rPr>
        <w:t xml:space="preserve">Managing competencies in government: state of the art practices and issues at stake for the future. </w:t>
      </w:r>
      <w:r w:rsidRPr="00392E6A">
        <w:rPr>
          <w:rFonts w:cs="Calibri"/>
          <w:lang w:val="en-GB"/>
        </w:rPr>
        <w:t xml:space="preserve">OECD Public Employment and Management working party. </w:t>
      </w:r>
      <w:proofErr w:type="spellStart"/>
      <w:r w:rsidRPr="00392E6A">
        <w:rPr>
          <w:rFonts w:cs="Calibri"/>
          <w:bCs/>
          <w:lang w:val="en-GB"/>
        </w:rPr>
        <w:t>Sneto</w:t>
      </w:r>
      <w:proofErr w:type="spellEnd"/>
      <w:r w:rsidRPr="00392E6A">
        <w:rPr>
          <w:rFonts w:cs="Calibri"/>
          <w:bCs/>
          <w:lang w:val="en-GB"/>
        </w:rPr>
        <w:t xml:space="preserve"> 4.4.2018 s </w:t>
      </w:r>
      <w:proofErr w:type="spellStart"/>
      <w:r w:rsidRPr="00392E6A">
        <w:rPr>
          <w:rFonts w:cs="Calibri"/>
          <w:bCs/>
          <w:lang w:val="en-GB"/>
        </w:rPr>
        <w:t>straini</w:t>
      </w:r>
      <w:proofErr w:type="spellEnd"/>
      <w:r w:rsidRPr="00392E6A">
        <w:rPr>
          <w:rFonts w:cs="Calibri"/>
          <w:bCs/>
          <w:lang w:val="en-GB"/>
        </w:rPr>
        <w:t>:</w:t>
      </w:r>
      <w:r w:rsidRPr="00392E6A">
        <w:rPr>
          <w:rFonts w:cs="Calibri"/>
        </w:rPr>
        <w:t xml:space="preserve"> </w:t>
      </w:r>
      <w:hyperlink r:id="rId8" w:history="1">
        <w:r w:rsidRPr="00392E6A">
          <w:rPr>
            <w:rStyle w:val="Hiperpovezava"/>
            <w:rFonts w:cs="Calibri"/>
            <w:bCs/>
            <w:lang w:val="en-GB"/>
          </w:rPr>
          <w:t>http://observgo.uquebec.ca/observgo/fichiers/13281_OCDE.pdf</w:t>
        </w:r>
      </w:hyperlink>
      <w:r w:rsidRPr="00392E6A">
        <w:rPr>
          <w:rFonts w:cs="Calibri"/>
          <w:bCs/>
          <w:lang w:val="en-GB"/>
        </w:rPr>
        <w:t xml:space="preserve"> </w:t>
      </w:r>
    </w:p>
    <w:p w14:paraId="37324B1E" w14:textId="77777777" w:rsidR="00A44A46" w:rsidRPr="00392E6A" w:rsidRDefault="00A44A46" w:rsidP="00A44A46">
      <w:pPr>
        <w:autoSpaceDE w:val="0"/>
        <w:autoSpaceDN w:val="0"/>
        <w:adjustRightInd w:val="0"/>
        <w:spacing w:after="0" w:line="240" w:lineRule="auto"/>
        <w:jc w:val="both"/>
        <w:rPr>
          <w:rFonts w:cs="Calibri"/>
          <w:color w:val="231F20"/>
        </w:rPr>
      </w:pPr>
    </w:p>
    <w:p w14:paraId="1F78835C" w14:textId="77777777" w:rsidR="00A44A46" w:rsidRPr="00392E6A" w:rsidRDefault="00A44A46" w:rsidP="00A44A46">
      <w:pPr>
        <w:spacing w:after="0" w:line="240" w:lineRule="auto"/>
        <w:jc w:val="both"/>
        <w:rPr>
          <w:rFonts w:ascii="Arial" w:hAnsi="Arial" w:cs="Arial"/>
          <w:color w:val="44546A"/>
        </w:rPr>
      </w:pPr>
    </w:p>
    <w:p w14:paraId="6D542282" w14:textId="77777777" w:rsidR="00A44A46" w:rsidRPr="00392E6A" w:rsidRDefault="00A44A46" w:rsidP="00A44A46">
      <w:pPr>
        <w:spacing w:after="0" w:line="240" w:lineRule="auto"/>
        <w:jc w:val="both"/>
        <w:rPr>
          <w:rFonts w:cs="Calibri"/>
        </w:rPr>
      </w:pPr>
      <w:r w:rsidRPr="00392E6A">
        <w:rPr>
          <w:rFonts w:cs="Calibri"/>
        </w:rPr>
        <w:t>Projektna skupina za Vzpostavitev kompetenčnega modela, Ministrstvo za javno upravo, Direktorat za javni sektor, Sektor za upravljanje s kadrovskimi viri</w:t>
      </w:r>
    </w:p>
    <w:p w14:paraId="4FBCB702" w14:textId="77777777" w:rsidR="0050211D" w:rsidRPr="0087389F" w:rsidRDefault="0050211D"/>
    <w:sectPr w:rsidR="0050211D" w:rsidRPr="0087389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0C430" w14:textId="77777777" w:rsidR="00517960" w:rsidRDefault="00517960" w:rsidP="007F2F34">
      <w:pPr>
        <w:spacing w:after="0" w:line="240" w:lineRule="auto"/>
      </w:pPr>
      <w:r>
        <w:separator/>
      </w:r>
    </w:p>
  </w:endnote>
  <w:endnote w:type="continuationSeparator" w:id="0">
    <w:p w14:paraId="14DB099D" w14:textId="77777777" w:rsidR="00517960" w:rsidRDefault="00517960" w:rsidP="007F2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DBBE" w14:textId="77777777" w:rsidR="007F2F34" w:rsidRDefault="00392E6A" w:rsidP="00392E6A">
    <w:pPr>
      <w:pStyle w:val="Noga"/>
      <w:tabs>
        <w:tab w:val="clear" w:pos="9072"/>
        <w:tab w:val="right" w:pos="9026"/>
      </w:tabs>
    </w:pPr>
    <w:r>
      <w:tab/>
    </w:r>
    <w:r w:rsidR="007F2F34">
      <w:t>Skupaj za razvoj in rast!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34680" w14:textId="77777777" w:rsidR="00517960" w:rsidRDefault="00517960" w:rsidP="007F2F34">
      <w:pPr>
        <w:spacing w:after="0" w:line="240" w:lineRule="auto"/>
      </w:pPr>
      <w:r>
        <w:separator/>
      </w:r>
    </w:p>
  </w:footnote>
  <w:footnote w:type="continuationSeparator" w:id="0">
    <w:p w14:paraId="68548FE4" w14:textId="77777777" w:rsidR="00517960" w:rsidRDefault="00517960" w:rsidP="007F2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03B1B" w14:textId="404C5862" w:rsidR="007F2F34" w:rsidRDefault="00B54460">
    <w:pPr>
      <w:pStyle w:val="Glava"/>
    </w:pPr>
    <w:r>
      <w:rPr>
        <w:noProof/>
      </w:rPr>
      <w:drawing>
        <wp:anchor distT="0" distB="0" distL="114300" distR="114300" simplePos="0" relativeHeight="251657728" behindDoc="1" locked="0" layoutInCell="1" allowOverlap="1" wp14:anchorId="542CA8D5" wp14:editId="44991877">
          <wp:simplePos x="0" y="0"/>
          <wp:positionH relativeFrom="page">
            <wp:posOffset>4921250</wp:posOffset>
          </wp:positionH>
          <wp:positionV relativeFrom="page">
            <wp:posOffset>461645</wp:posOffset>
          </wp:positionV>
          <wp:extent cx="2372360" cy="313055"/>
          <wp:effectExtent l="0" t="0" r="0" b="0"/>
          <wp:wrapNone/>
          <wp:docPr id="1531973637" name="Slika 82"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2"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2E6A">
      <w:rPr>
        <w:rFonts w:ascii="Arial" w:hAnsi="Arial" w:cs="Arial"/>
        <w:noProof/>
        <w:sz w:val="28"/>
        <w:szCs w:val="28"/>
        <w:lang w:eastAsia="sl-SI"/>
      </w:rPr>
      <w:drawing>
        <wp:inline distT="0" distB="0" distL="0" distR="0" wp14:anchorId="603AF8F6" wp14:editId="643E05C3">
          <wp:extent cx="752475" cy="1057275"/>
          <wp:effectExtent l="0" t="0" r="0" b="0"/>
          <wp:docPr id="1" name="Slika 84" descr="Logotip z napisom &quot;Skupaj za razvoj in ras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84" descr="Logotip z napisom &quot;Skupaj za razvoj in rast&quo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1057275"/>
                  </a:xfrm>
                  <a:prstGeom prst="rect">
                    <a:avLst/>
                  </a:prstGeom>
                  <a:noFill/>
                  <a:ln>
                    <a:noFill/>
                  </a:ln>
                </pic:spPr>
              </pic:pic>
            </a:graphicData>
          </a:graphic>
        </wp:inline>
      </w:drawing>
    </w:r>
    <w:r w:rsidR="007F2F34">
      <w:t xml:space="preserve">                                                                                                                 </w:t>
    </w:r>
    <w:r w:rsidRPr="00392E6A">
      <w:rPr>
        <w:rFonts w:ascii="Arial" w:hAnsi="Arial" w:cs="Arial"/>
        <w:noProof/>
        <w:sz w:val="28"/>
        <w:szCs w:val="28"/>
        <w:lang w:eastAsia="sl-SI"/>
      </w:rPr>
      <w:drawing>
        <wp:inline distT="0" distB="0" distL="0" distR="0" wp14:anchorId="516DEE60" wp14:editId="2D437CCF">
          <wp:extent cx="1304925" cy="647700"/>
          <wp:effectExtent l="0" t="0" r="0" b="0"/>
          <wp:docPr id="2" name="Slika 85" descr="Logotip evropskega socialnega skl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85" descr="Logotip evropskega socialnega sklad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04925" cy="647700"/>
                  </a:xfrm>
                  <a:prstGeom prst="rect">
                    <a:avLst/>
                  </a:prstGeom>
                  <a:noFill/>
                  <a:ln>
                    <a:noFill/>
                  </a:ln>
                </pic:spPr>
              </pic:pic>
            </a:graphicData>
          </a:graphic>
        </wp:inline>
      </w:drawing>
    </w:r>
    <w:r w:rsidR="007F2F3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902F44"/>
    <w:multiLevelType w:val="hybridMultilevel"/>
    <w:tmpl w:val="6158E8FC"/>
    <w:lvl w:ilvl="0" w:tplc="B7B29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5083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89F"/>
    <w:rsid w:val="000C5F09"/>
    <w:rsid w:val="001174FD"/>
    <w:rsid w:val="003209E3"/>
    <w:rsid w:val="00323D74"/>
    <w:rsid w:val="00392E6A"/>
    <w:rsid w:val="00492E50"/>
    <w:rsid w:val="0050211D"/>
    <w:rsid w:val="00517960"/>
    <w:rsid w:val="0072350A"/>
    <w:rsid w:val="007E1430"/>
    <w:rsid w:val="007F2F34"/>
    <w:rsid w:val="0087389F"/>
    <w:rsid w:val="00873DB6"/>
    <w:rsid w:val="008D05CB"/>
    <w:rsid w:val="008F48B2"/>
    <w:rsid w:val="00935570"/>
    <w:rsid w:val="00A44A46"/>
    <w:rsid w:val="00A774A9"/>
    <w:rsid w:val="00B160B4"/>
    <w:rsid w:val="00B54460"/>
    <w:rsid w:val="00C9786C"/>
    <w:rsid w:val="00D1588E"/>
    <w:rsid w:val="00E9143D"/>
    <w:rsid w:val="00FF15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0A43A5C4"/>
  <w15:chartTrackingRefBased/>
  <w15:docId w15:val="{9BBAF6CF-CDAC-42D3-BB82-1B8E9BD4D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44A46"/>
    <w:pPr>
      <w:spacing w:after="160" w:line="259"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uiPriority w:val="99"/>
    <w:semiHidden/>
    <w:unhideWhenUsed/>
    <w:rsid w:val="0087389F"/>
    <w:rPr>
      <w:sz w:val="16"/>
      <w:szCs w:val="16"/>
    </w:rPr>
  </w:style>
  <w:style w:type="paragraph" w:styleId="Pripombabesedilo">
    <w:name w:val="annotation text"/>
    <w:basedOn w:val="Navaden"/>
    <w:link w:val="PripombabesediloZnak"/>
    <w:uiPriority w:val="99"/>
    <w:semiHidden/>
    <w:unhideWhenUsed/>
    <w:rsid w:val="0087389F"/>
    <w:pPr>
      <w:spacing w:line="240" w:lineRule="auto"/>
    </w:pPr>
    <w:rPr>
      <w:sz w:val="20"/>
      <w:szCs w:val="20"/>
    </w:rPr>
  </w:style>
  <w:style w:type="character" w:customStyle="1" w:styleId="PripombabesediloZnak">
    <w:name w:val="Pripomba – besedilo Znak"/>
    <w:link w:val="Pripombabesedilo"/>
    <w:uiPriority w:val="99"/>
    <w:semiHidden/>
    <w:rsid w:val="0087389F"/>
    <w:rPr>
      <w:sz w:val="20"/>
      <w:szCs w:val="20"/>
    </w:rPr>
  </w:style>
  <w:style w:type="paragraph" w:styleId="Besedilooblaka">
    <w:name w:val="Balloon Text"/>
    <w:basedOn w:val="Navaden"/>
    <w:link w:val="BesedilooblakaZnak"/>
    <w:uiPriority w:val="99"/>
    <w:semiHidden/>
    <w:unhideWhenUsed/>
    <w:rsid w:val="0087389F"/>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87389F"/>
    <w:rPr>
      <w:rFonts w:ascii="Segoe UI" w:hAnsi="Segoe UI" w:cs="Segoe UI"/>
      <w:sz w:val="18"/>
      <w:szCs w:val="18"/>
    </w:rPr>
  </w:style>
  <w:style w:type="paragraph" w:styleId="Glava">
    <w:name w:val="header"/>
    <w:basedOn w:val="Navaden"/>
    <w:link w:val="GlavaZnak"/>
    <w:uiPriority w:val="99"/>
    <w:unhideWhenUsed/>
    <w:rsid w:val="007F2F34"/>
    <w:pPr>
      <w:tabs>
        <w:tab w:val="center" w:pos="4536"/>
        <w:tab w:val="right" w:pos="9072"/>
      </w:tabs>
      <w:spacing w:after="0" w:line="240" w:lineRule="auto"/>
    </w:pPr>
  </w:style>
  <w:style w:type="character" w:customStyle="1" w:styleId="GlavaZnak">
    <w:name w:val="Glava Znak"/>
    <w:basedOn w:val="Privzetapisavaodstavka"/>
    <w:link w:val="Glava"/>
    <w:uiPriority w:val="99"/>
    <w:rsid w:val="007F2F34"/>
  </w:style>
  <w:style w:type="paragraph" w:styleId="Noga">
    <w:name w:val="footer"/>
    <w:basedOn w:val="Navaden"/>
    <w:link w:val="NogaZnak"/>
    <w:uiPriority w:val="99"/>
    <w:unhideWhenUsed/>
    <w:rsid w:val="007F2F34"/>
    <w:pPr>
      <w:tabs>
        <w:tab w:val="center" w:pos="4536"/>
        <w:tab w:val="right" w:pos="9072"/>
      </w:tabs>
      <w:spacing w:after="0" w:line="240" w:lineRule="auto"/>
    </w:pPr>
  </w:style>
  <w:style w:type="character" w:customStyle="1" w:styleId="NogaZnak">
    <w:name w:val="Noga Znak"/>
    <w:basedOn w:val="Privzetapisavaodstavka"/>
    <w:link w:val="Noga"/>
    <w:uiPriority w:val="99"/>
    <w:rsid w:val="007F2F34"/>
  </w:style>
  <w:style w:type="character" w:styleId="Hiperpovezava">
    <w:name w:val="Hyperlink"/>
    <w:uiPriority w:val="99"/>
    <w:unhideWhenUsed/>
    <w:rsid w:val="00A44A46"/>
    <w:rPr>
      <w:color w:val="0563C1"/>
      <w:u w:val="single"/>
    </w:rPr>
  </w:style>
  <w:style w:type="paragraph" w:styleId="Odstavekseznama">
    <w:name w:val="List Paragraph"/>
    <w:basedOn w:val="Navaden"/>
    <w:uiPriority w:val="34"/>
    <w:qFormat/>
    <w:rsid w:val="00A44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bservgo.uquebec.ca/observgo/fichiers/13281_OCDE.pdf"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Documents\KOP_JU\Komunikacijska%20podpora\Splo&#353;no%20o%20kompetencah%20in%20modelih\Grafi%20za%20&#269;lane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manualLayout>
          <c:layoutTarget val="inner"/>
          <c:xMode val="edge"/>
          <c:yMode val="edge"/>
          <c:x val="6.6580927384076991E-2"/>
          <c:y val="6.0601851851851872E-2"/>
          <c:w val="0.90286351706036749"/>
          <c:h val="0.6285721055701371"/>
        </c:manualLayout>
      </c:layout>
      <c:barChart>
        <c:barDir val="col"/>
        <c:grouping val="clustered"/>
        <c:varyColors val="0"/>
        <c:ser>
          <c:idx val="0"/>
          <c:order val="0"/>
          <c:tx>
            <c:strRef>
              <c:f>Sheet1!$B$2</c:f>
              <c:strCache>
                <c:ptCount val="1"/>
              </c:strCache>
            </c:strRef>
          </c:tx>
          <c:spPr>
            <a:solidFill>
              <a:schemeClr val="accent1"/>
            </a:solidFill>
            <a:ln>
              <a:noFill/>
            </a:ln>
            <a:effectLst/>
          </c:spPr>
          <c:invertIfNegative val="0"/>
          <c:dPt>
            <c:idx val="0"/>
            <c:invertIfNegative val="0"/>
            <c:bubble3D val="0"/>
            <c:spPr>
              <a:solidFill>
                <a:schemeClr val="accent5">
                  <a:lumMod val="60000"/>
                  <a:lumOff val="40000"/>
                </a:schemeClr>
              </a:solidFill>
              <a:ln>
                <a:noFill/>
              </a:ln>
              <a:effectLst/>
            </c:spPr>
            <c:extLst>
              <c:ext xmlns:c16="http://schemas.microsoft.com/office/drawing/2014/chart" uri="{C3380CC4-5D6E-409C-BE32-E72D297353CC}">
                <c16:uniqueId val="{00000001-8F95-45C7-833D-61C20BCFC49C}"/>
              </c:ext>
            </c:extLst>
          </c:dPt>
          <c:dPt>
            <c:idx val="1"/>
            <c:invertIfNegative val="0"/>
            <c:bubble3D val="0"/>
            <c:spPr>
              <a:solidFill>
                <a:schemeClr val="accent5">
                  <a:lumMod val="60000"/>
                  <a:lumOff val="40000"/>
                </a:schemeClr>
              </a:solidFill>
              <a:ln>
                <a:noFill/>
              </a:ln>
              <a:effectLst/>
            </c:spPr>
            <c:extLst>
              <c:ext xmlns:c16="http://schemas.microsoft.com/office/drawing/2014/chart" uri="{C3380CC4-5D6E-409C-BE32-E72D297353CC}">
                <c16:uniqueId val="{00000003-8F95-45C7-833D-61C20BCFC49C}"/>
              </c:ext>
            </c:extLst>
          </c:dPt>
          <c:dPt>
            <c:idx val="2"/>
            <c:invertIfNegative val="0"/>
            <c:bubble3D val="0"/>
            <c:spPr>
              <a:solidFill>
                <a:schemeClr val="accent5">
                  <a:lumMod val="60000"/>
                  <a:lumOff val="40000"/>
                </a:schemeClr>
              </a:solidFill>
              <a:ln>
                <a:noFill/>
              </a:ln>
              <a:effectLst/>
            </c:spPr>
            <c:extLst>
              <c:ext xmlns:c16="http://schemas.microsoft.com/office/drawing/2014/chart" uri="{C3380CC4-5D6E-409C-BE32-E72D297353CC}">
                <c16:uniqueId val="{00000005-8F95-45C7-833D-61C20BCFC49C}"/>
              </c:ext>
            </c:extLst>
          </c:dPt>
          <c:dPt>
            <c:idx val="3"/>
            <c:invertIfNegative val="0"/>
            <c:bubble3D val="0"/>
            <c:spPr>
              <a:solidFill>
                <a:schemeClr val="accent5">
                  <a:lumMod val="60000"/>
                  <a:lumOff val="40000"/>
                </a:schemeClr>
              </a:solidFill>
              <a:ln>
                <a:noFill/>
              </a:ln>
              <a:effectLst/>
            </c:spPr>
            <c:extLst>
              <c:ext xmlns:c16="http://schemas.microsoft.com/office/drawing/2014/chart" uri="{C3380CC4-5D6E-409C-BE32-E72D297353CC}">
                <c16:uniqueId val="{00000007-8F95-45C7-833D-61C20BCFC49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Sheet1!$A$3:$A$6</c:f>
              <c:strCache>
                <c:ptCount val="4"/>
                <c:pt idx="0">
                  <c:v>Vzpostavitev ustreznejše metode selekcije, razvoja, ocenjevanja ali nagrajevanja</c:v>
                </c:pt>
                <c:pt idx="1">
                  <c:v>Uresničevanje zahtev ali usmeritev vlade</c:v>
                </c:pt>
                <c:pt idx="2">
                  <c:v>Ustreznejši kadrovski procesi, v skladu s spremenjeno vlogo državne uprave</c:v>
                </c:pt>
                <c:pt idx="3">
                  <c:v>Uvajanje sprememb v organizacijske enote</c:v>
                </c:pt>
              </c:strCache>
            </c:strRef>
          </c:cat>
          <c:val>
            <c:numRef>
              <c:f>Sheet1!$B$3:$B$6</c:f>
              <c:numCache>
                <c:formatCode>General</c:formatCode>
                <c:ptCount val="4"/>
                <c:pt idx="0">
                  <c:v>11</c:v>
                </c:pt>
                <c:pt idx="1">
                  <c:v>5</c:v>
                </c:pt>
                <c:pt idx="2">
                  <c:v>5</c:v>
                </c:pt>
                <c:pt idx="3">
                  <c:v>5</c:v>
                </c:pt>
              </c:numCache>
            </c:numRef>
          </c:val>
          <c:extLst>
            <c:ext xmlns:c16="http://schemas.microsoft.com/office/drawing/2014/chart" uri="{C3380CC4-5D6E-409C-BE32-E72D297353CC}">
              <c16:uniqueId val="{00000008-8F95-45C7-833D-61C20BCFC49C}"/>
            </c:ext>
          </c:extLst>
        </c:ser>
        <c:dLbls>
          <c:showLegendKey val="0"/>
          <c:showVal val="0"/>
          <c:showCatName val="0"/>
          <c:showSerName val="0"/>
          <c:showPercent val="0"/>
          <c:showBubbleSize val="0"/>
        </c:dLbls>
        <c:gapWidth val="219"/>
        <c:overlap val="-27"/>
        <c:axId val="450401504"/>
        <c:axId val="450403472"/>
      </c:barChart>
      <c:catAx>
        <c:axId val="450401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50403472"/>
        <c:crosses val="autoZero"/>
        <c:auto val="1"/>
        <c:lblAlgn val="ctr"/>
        <c:lblOffset val="100"/>
        <c:noMultiLvlLbl val="0"/>
      </c:catAx>
      <c:valAx>
        <c:axId val="450403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504015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TotalTime>
  <Pages>3</Pages>
  <Words>736</Words>
  <Characters>4197</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4924</CharactersWithSpaces>
  <SharedDoc>false</SharedDoc>
  <HLinks>
    <vt:vector size="6" baseType="variant">
      <vt:variant>
        <vt:i4>7340119</vt:i4>
      </vt:variant>
      <vt:variant>
        <vt:i4>0</vt:i4>
      </vt:variant>
      <vt:variant>
        <vt:i4>0</vt:i4>
      </vt:variant>
      <vt:variant>
        <vt:i4>5</vt:i4>
      </vt:variant>
      <vt:variant>
        <vt:lpwstr>http://observgo.uquebec.ca/observgo/fichiers/13281_OCDE.pdf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Urša Grm</dc:creator>
  <cp:keywords/>
  <dc:description/>
  <cp:lastModifiedBy>Eva Calligaro</cp:lastModifiedBy>
  <cp:revision>3</cp:revision>
  <dcterms:created xsi:type="dcterms:W3CDTF">2025-03-18T06:34:00Z</dcterms:created>
  <dcterms:modified xsi:type="dcterms:W3CDTF">2025-03-18T06:38:00Z</dcterms:modified>
</cp:coreProperties>
</file>