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7A47" w14:textId="77777777" w:rsidR="002E6282" w:rsidRPr="001B4AEC" w:rsidRDefault="002E6282" w:rsidP="0021188F">
      <w:pPr>
        <w:pStyle w:val="tevilnatoka"/>
        <w:numPr>
          <w:ilvl w:val="0"/>
          <w:numId w:val="0"/>
        </w:numPr>
        <w:spacing w:line="260" w:lineRule="exact"/>
        <w:rPr>
          <w:sz w:val="16"/>
          <w:lang w:val="en-GB"/>
        </w:rPr>
      </w:pPr>
    </w:p>
    <w:p w14:paraId="26798240" w14:textId="3C799B84" w:rsidR="002E6282" w:rsidRPr="001B4AEC" w:rsidRDefault="002E6282" w:rsidP="002E6282">
      <w:pPr>
        <w:pStyle w:val="tevilnatoka"/>
        <w:numPr>
          <w:ilvl w:val="0"/>
          <w:numId w:val="0"/>
        </w:numPr>
        <w:spacing w:line="260" w:lineRule="exact"/>
        <w:ind w:left="851" w:hanging="143"/>
        <w:rPr>
          <w:sz w:val="16"/>
          <w:lang w:val="en-GB"/>
        </w:rPr>
      </w:pPr>
    </w:p>
    <w:p w14:paraId="1E86A206" w14:textId="33553EEE" w:rsidR="002E6282" w:rsidRPr="001B4AEC" w:rsidRDefault="002E6282" w:rsidP="002E6282">
      <w:pPr>
        <w:pStyle w:val="tevilnatoka"/>
        <w:numPr>
          <w:ilvl w:val="0"/>
          <w:numId w:val="0"/>
        </w:numPr>
        <w:spacing w:line="260" w:lineRule="exact"/>
        <w:ind w:left="851" w:hanging="143"/>
        <w:rPr>
          <w:sz w:val="16"/>
          <w:lang w:val="en-GB"/>
        </w:rPr>
      </w:pPr>
    </w:p>
    <w:p w14:paraId="2E0292AD" w14:textId="685C0295" w:rsidR="002E6282" w:rsidRPr="001B4AEC" w:rsidRDefault="00DE797D" w:rsidP="002E6282">
      <w:pPr>
        <w:pStyle w:val="tevilnatoka"/>
        <w:numPr>
          <w:ilvl w:val="0"/>
          <w:numId w:val="0"/>
        </w:numPr>
        <w:spacing w:line="260" w:lineRule="exact"/>
        <w:ind w:left="851" w:hanging="143"/>
        <w:rPr>
          <w:sz w:val="16"/>
          <w:lang w:val="en-GB"/>
        </w:rPr>
      </w:pPr>
      <w:r>
        <w:rPr>
          <w:rFonts w:ascii="Calibri" w:hAnsi="Calibri" w:cs="Calibri"/>
          <w:b/>
          <w:bCs/>
          <w:noProof/>
          <w:sz w:val="40"/>
          <w:szCs w:val="40"/>
          <w:lang w:val="en-GB"/>
        </w:rPr>
        <w:drawing>
          <wp:anchor distT="0" distB="0" distL="114300" distR="114300" simplePos="0" relativeHeight="251658240" behindDoc="0" locked="0" layoutInCell="1" allowOverlap="1" wp14:anchorId="002D6F68" wp14:editId="64D7447E">
            <wp:simplePos x="0" y="0"/>
            <wp:positionH relativeFrom="column">
              <wp:posOffset>91752</wp:posOffset>
            </wp:positionH>
            <wp:positionV relativeFrom="paragraph">
              <wp:posOffset>54143</wp:posOffset>
            </wp:positionV>
            <wp:extent cx="1578418" cy="1050410"/>
            <wp:effectExtent l="0" t="0" r="0" b="0"/>
            <wp:wrapNone/>
            <wp:docPr id="1349334510" name="Slika 2" descr="logotip Vlade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34510" name="Slika 2" descr="logotip Vlade Republike Sloveni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8418" cy="1050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A4D34D" w14:textId="15007F45" w:rsidR="002E6282" w:rsidRPr="001B4AEC" w:rsidRDefault="002E6282" w:rsidP="002E6282">
      <w:pPr>
        <w:pStyle w:val="tevilnatoka"/>
        <w:numPr>
          <w:ilvl w:val="0"/>
          <w:numId w:val="0"/>
        </w:numPr>
        <w:spacing w:line="260" w:lineRule="exact"/>
        <w:rPr>
          <w:sz w:val="16"/>
          <w:lang w:val="en-GB"/>
        </w:rPr>
      </w:pPr>
    </w:p>
    <w:p w14:paraId="00771AB0" w14:textId="77777777" w:rsidR="002E6282" w:rsidRPr="001B4AEC" w:rsidRDefault="002E6282" w:rsidP="002E6282">
      <w:pPr>
        <w:pStyle w:val="tevilnatoka"/>
        <w:numPr>
          <w:ilvl w:val="0"/>
          <w:numId w:val="0"/>
        </w:numPr>
        <w:spacing w:line="260" w:lineRule="exact"/>
        <w:ind w:left="851" w:hanging="143"/>
        <w:rPr>
          <w:sz w:val="16"/>
          <w:lang w:val="en-GB"/>
        </w:rPr>
      </w:pPr>
    </w:p>
    <w:p w14:paraId="744776A6" w14:textId="7ADB811A" w:rsidR="002E6282" w:rsidRPr="001B4AEC" w:rsidRDefault="002E6282" w:rsidP="002E6282">
      <w:pPr>
        <w:pStyle w:val="tevilnatoka"/>
        <w:numPr>
          <w:ilvl w:val="0"/>
          <w:numId w:val="0"/>
        </w:numPr>
        <w:spacing w:line="260" w:lineRule="exact"/>
        <w:ind w:left="851" w:hanging="143"/>
        <w:rPr>
          <w:sz w:val="16"/>
          <w:lang w:val="en-GB"/>
        </w:rPr>
      </w:pPr>
    </w:p>
    <w:p w14:paraId="5AC38A78" w14:textId="77777777" w:rsidR="002E6282" w:rsidRPr="001B4AEC" w:rsidRDefault="002E6282" w:rsidP="002E6282">
      <w:pPr>
        <w:pStyle w:val="tevilnatoka"/>
        <w:numPr>
          <w:ilvl w:val="0"/>
          <w:numId w:val="0"/>
        </w:numPr>
        <w:spacing w:line="260" w:lineRule="exact"/>
        <w:ind w:left="851" w:hanging="143"/>
        <w:rPr>
          <w:sz w:val="16"/>
          <w:lang w:val="en-GB"/>
        </w:rPr>
      </w:pPr>
    </w:p>
    <w:p w14:paraId="509282A7" w14:textId="143A3A0E" w:rsidR="002E6282" w:rsidRPr="00725D34" w:rsidRDefault="002E6282" w:rsidP="00276C28">
      <w:pPr>
        <w:pStyle w:val="tevilnatoka"/>
        <w:numPr>
          <w:ilvl w:val="0"/>
          <w:numId w:val="0"/>
        </w:numPr>
        <w:spacing w:line="260" w:lineRule="exact"/>
        <w:ind w:left="851"/>
        <w:rPr>
          <w:rFonts w:cs="Arial"/>
          <w:sz w:val="16"/>
          <w:lang w:val="it-IT"/>
        </w:rPr>
      </w:pPr>
      <w:proofErr w:type="spellStart"/>
      <w:r w:rsidRPr="00725D34">
        <w:rPr>
          <w:sz w:val="16"/>
          <w:lang w:val="it-IT"/>
        </w:rPr>
        <w:t>Gregorčičeva</w:t>
      </w:r>
      <w:proofErr w:type="spellEnd"/>
      <w:r w:rsidRPr="00725D34">
        <w:rPr>
          <w:sz w:val="16"/>
          <w:lang w:val="it-IT"/>
        </w:rPr>
        <w:t xml:space="preserve"> 20–25, </w:t>
      </w:r>
      <w:proofErr w:type="spellStart"/>
      <w:r w:rsidRPr="00725D34">
        <w:rPr>
          <w:sz w:val="16"/>
          <w:lang w:val="it-IT"/>
        </w:rPr>
        <w:t>Sl</w:t>
      </w:r>
      <w:proofErr w:type="spellEnd"/>
      <w:r w:rsidRPr="00725D34">
        <w:rPr>
          <w:sz w:val="16"/>
          <w:lang w:val="it-IT"/>
        </w:rPr>
        <w:t xml:space="preserve">–1001 </w:t>
      </w:r>
      <w:proofErr w:type="spellStart"/>
      <w:r w:rsidRPr="00725D34">
        <w:rPr>
          <w:sz w:val="16"/>
          <w:lang w:val="it-IT"/>
        </w:rPr>
        <w:t>Ljubljana</w:t>
      </w:r>
      <w:proofErr w:type="spellEnd"/>
      <w:r w:rsidRPr="00725D34">
        <w:rPr>
          <w:sz w:val="16"/>
          <w:lang w:val="it-IT"/>
        </w:rPr>
        <w:tab/>
      </w:r>
      <w:r w:rsidRPr="00725D34">
        <w:rPr>
          <w:sz w:val="16"/>
          <w:lang w:val="it-IT"/>
        </w:rPr>
        <w:tab/>
        <w:t xml:space="preserve">   T: +386 1 478 1000</w:t>
      </w:r>
    </w:p>
    <w:p w14:paraId="1FAB14BD" w14:textId="77777777" w:rsidR="002E6282" w:rsidRPr="00897E55" w:rsidRDefault="002E6282" w:rsidP="002E6282">
      <w:pPr>
        <w:pStyle w:val="Glava"/>
        <w:tabs>
          <w:tab w:val="left" w:pos="5112"/>
        </w:tabs>
        <w:rPr>
          <w:rFonts w:ascii="Arial" w:hAnsi="Arial" w:cs="Arial"/>
          <w:sz w:val="16"/>
          <w:lang w:val="it-IT"/>
        </w:rPr>
      </w:pPr>
      <w:r w:rsidRPr="00725D34">
        <w:rPr>
          <w:rFonts w:ascii="Arial" w:hAnsi="Arial" w:cs="Arial"/>
          <w:sz w:val="16"/>
          <w:lang w:val="it-IT"/>
        </w:rPr>
        <w:tab/>
      </w:r>
      <w:r w:rsidRPr="00725D34">
        <w:rPr>
          <w:rFonts w:ascii="Arial" w:hAnsi="Arial" w:cs="Arial"/>
          <w:sz w:val="16"/>
          <w:lang w:val="it-IT"/>
        </w:rPr>
        <w:tab/>
      </w:r>
      <w:r w:rsidRPr="00897E55">
        <w:rPr>
          <w:rFonts w:ascii="Arial" w:hAnsi="Arial" w:cs="Arial"/>
          <w:sz w:val="16"/>
          <w:lang w:val="it-IT"/>
        </w:rPr>
        <w:t>E-mail: gp.gs@gov.si</w:t>
      </w:r>
    </w:p>
    <w:p w14:paraId="014768DC" w14:textId="77777777" w:rsidR="002E6282" w:rsidRPr="001B4AEC" w:rsidRDefault="002E6282" w:rsidP="002E6282">
      <w:pPr>
        <w:pStyle w:val="Glava"/>
        <w:tabs>
          <w:tab w:val="left" w:pos="5112"/>
        </w:tabs>
        <w:rPr>
          <w:rFonts w:ascii="Arial" w:hAnsi="Arial" w:cs="Arial"/>
          <w:sz w:val="16"/>
          <w:lang w:val="en-GB"/>
        </w:rPr>
      </w:pPr>
      <w:r w:rsidRPr="00897E55">
        <w:rPr>
          <w:rFonts w:ascii="Arial" w:hAnsi="Arial" w:cs="Arial"/>
          <w:sz w:val="16"/>
          <w:lang w:val="it-IT"/>
        </w:rPr>
        <w:tab/>
        <w:t xml:space="preserve"> </w:t>
      </w:r>
      <w:r w:rsidRPr="00897E55">
        <w:rPr>
          <w:rFonts w:ascii="Arial" w:hAnsi="Arial" w:cs="Arial"/>
          <w:sz w:val="16"/>
          <w:lang w:val="it-IT"/>
        </w:rPr>
        <w:tab/>
      </w:r>
      <w:r w:rsidRPr="001B4AEC">
        <w:rPr>
          <w:rFonts w:ascii="Arial" w:hAnsi="Arial" w:cs="Arial"/>
          <w:sz w:val="16"/>
          <w:lang w:val="en-GB"/>
        </w:rPr>
        <w:t>http://www.vlada.si/</w:t>
      </w:r>
    </w:p>
    <w:p w14:paraId="518619A8" w14:textId="186ED7A9" w:rsidR="00BA3FE3" w:rsidRPr="001B4AEC" w:rsidRDefault="00BA3FE3" w:rsidP="00DC3DB0">
      <w:pPr>
        <w:pStyle w:val="Navadensplet"/>
        <w:spacing w:before="0" w:beforeAutospacing="0" w:after="200" w:afterAutospacing="0"/>
        <w:jc w:val="both"/>
        <w:rPr>
          <w:rFonts w:ascii="Arial" w:hAnsi="Arial" w:cs="Arial"/>
          <w:b/>
          <w:bCs/>
          <w:sz w:val="20"/>
          <w:szCs w:val="20"/>
          <w:lang w:val="en-GB"/>
        </w:rPr>
      </w:pPr>
    </w:p>
    <w:p w14:paraId="20932158" w14:textId="25B8B5F4" w:rsidR="00BA3FE3" w:rsidRPr="001B4AEC" w:rsidRDefault="00BA3FE3" w:rsidP="00DC3DB0">
      <w:pPr>
        <w:pStyle w:val="Navadensplet"/>
        <w:spacing w:before="0" w:beforeAutospacing="0" w:after="200" w:afterAutospacing="0"/>
        <w:jc w:val="both"/>
        <w:rPr>
          <w:rFonts w:ascii="Arial" w:hAnsi="Arial" w:cs="Arial"/>
          <w:b/>
          <w:bCs/>
          <w:sz w:val="20"/>
          <w:szCs w:val="20"/>
          <w:lang w:val="en-GB"/>
        </w:rPr>
      </w:pPr>
    </w:p>
    <w:p w14:paraId="4772E23E" w14:textId="474C5FEB" w:rsidR="004C362A" w:rsidRPr="001B4AEC" w:rsidRDefault="00B23303" w:rsidP="001736BB">
      <w:pPr>
        <w:pStyle w:val="Navadensplet"/>
        <w:tabs>
          <w:tab w:val="left" w:pos="1701"/>
        </w:tabs>
        <w:spacing w:before="0" w:beforeAutospacing="0" w:after="0" w:afterAutospacing="0" w:line="260" w:lineRule="exact"/>
        <w:jc w:val="both"/>
        <w:rPr>
          <w:rFonts w:ascii="Arial" w:hAnsi="Arial" w:cs="Arial"/>
          <w:bCs/>
          <w:sz w:val="20"/>
          <w:szCs w:val="20"/>
          <w:lang w:val="en-GB"/>
        </w:rPr>
      </w:pPr>
      <w:r w:rsidRPr="001B4AEC">
        <w:rPr>
          <w:rFonts w:ascii="Arial" w:hAnsi="Arial" w:cs="Arial"/>
          <w:sz w:val="20"/>
          <w:szCs w:val="20"/>
          <w:lang w:val="en-GB"/>
        </w:rPr>
        <w:t xml:space="preserve">Ref. No: </w:t>
      </w:r>
      <w:r w:rsidRPr="001B4AEC">
        <w:rPr>
          <w:rFonts w:ascii="Arial" w:hAnsi="Arial" w:cs="Arial"/>
          <w:sz w:val="20"/>
          <w:szCs w:val="20"/>
          <w:lang w:val="en-GB"/>
        </w:rPr>
        <w:tab/>
        <w:t>10001-2/2025/6</w:t>
      </w:r>
    </w:p>
    <w:p w14:paraId="7C775F43" w14:textId="58088BD1" w:rsidR="00B23303" w:rsidRPr="001B4AEC" w:rsidRDefault="00B23303" w:rsidP="001736BB">
      <w:pPr>
        <w:pStyle w:val="Navadensplet"/>
        <w:tabs>
          <w:tab w:val="left" w:pos="1701"/>
        </w:tabs>
        <w:spacing w:before="0" w:beforeAutospacing="0" w:after="0" w:afterAutospacing="0" w:line="260" w:lineRule="exact"/>
        <w:jc w:val="both"/>
        <w:rPr>
          <w:rFonts w:ascii="Arial" w:hAnsi="Arial" w:cs="Arial"/>
          <w:bCs/>
          <w:sz w:val="20"/>
          <w:szCs w:val="20"/>
          <w:lang w:val="en-GB"/>
        </w:rPr>
      </w:pPr>
      <w:r w:rsidRPr="001B4AEC">
        <w:rPr>
          <w:rFonts w:ascii="Arial" w:hAnsi="Arial" w:cs="Arial"/>
          <w:sz w:val="20"/>
          <w:szCs w:val="20"/>
          <w:lang w:val="en-GB"/>
        </w:rPr>
        <w:t xml:space="preserve">Date: </w:t>
      </w:r>
      <w:r w:rsidRPr="001B4AEC">
        <w:rPr>
          <w:rFonts w:ascii="Arial" w:hAnsi="Arial" w:cs="Arial"/>
          <w:sz w:val="20"/>
          <w:szCs w:val="20"/>
          <w:lang w:val="en-GB"/>
        </w:rPr>
        <w:tab/>
        <w:t>8 May 2025</w:t>
      </w:r>
    </w:p>
    <w:p w14:paraId="1FE232B2" w14:textId="15C68DD0" w:rsidR="00DD7A4D" w:rsidRPr="001B4AEC" w:rsidRDefault="00DD7A4D" w:rsidP="00983A12">
      <w:pPr>
        <w:pStyle w:val="Navadensplet"/>
        <w:spacing w:before="0" w:beforeAutospacing="0" w:after="200" w:afterAutospacing="0"/>
        <w:rPr>
          <w:rFonts w:ascii="Calibri" w:hAnsi="Calibri" w:cs="Calibri"/>
          <w:b/>
          <w:bCs/>
          <w:sz w:val="40"/>
          <w:szCs w:val="40"/>
          <w:lang w:val="en-GB"/>
        </w:rPr>
      </w:pPr>
      <w:bookmarkStart w:id="0" w:name="_Hlk113341590"/>
    </w:p>
    <w:p w14:paraId="43BF9AA0" w14:textId="157ED75A" w:rsidR="00DD7A4D" w:rsidRPr="001B4AEC" w:rsidRDefault="00DD7A4D" w:rsidP="00E65B77">
      <w:pPr>
        <w:pStyle w:val="Navadensplet"/>
        <w:spacing w:before="0" w:beforeAutospacing="0" w:after="200" w:afterAutospacing="0"/>
        <w:jc w:val="center"/>
        <w:rPr>
          <w:rFonts w:ascii="Calibri" w:hAnsi="Calibri" w:cs="Calibri"/>
          <w:b/>
          <w:bCs/>
          <w:sz w:val="40"/>
          <w:szCs w:val="40"/>
          <w:lang w:val="en-GB"/>
        </w:rPr>
      </w:pPr>
    </w:p>
    <w:p w14:paraId="0D7EB165" w14:textId="77777777" w:rsidR="00B23303" w:rsidRPr="001B4AEC" w:rsidRDefault="00B23303" w:rsidP="00DE797D">
      <w:pPr>
        <w:pStyle w:val="Navadensplet"/>
        <w:spacing w:before="0" w:beforeAutospacing="0" w:after="200" w:afterAutospacing="0"/>
        <w:jc w:val="center"/>
        <w:rPr>
          <w:rFonts w:ascii="Calibri" w:hAnsi="Calibri" w:cs="Calibri"/>
          <w:b/>
          <w:bCs/>
          <w:sz w:val="40"/>
          <w:szCs w:val="40"/>
          <w:lang w:val="en-GB"/>
        </w:rPr>
      </w:pPr>
    </w:p>
    <w:bookmarkEnd w:id="0"/>
    <w:p w14:paraId="79939715" w14:textId="40CD42A6" w:rsidR="00BE4F27" w:rsidRPr="001B4AEC" w:rsidRDefault="00725D34" w:rsidP="00DE797D">
      <w:pPr>
        <w:pStyle w:val="Navadensplet"/>
        <w:spacing w:before="0" w:beforeAutospacing="0" w:after="200" w:afterAutospacing="0"/>
        <w:jc w:val="center"/>
        <w:rPr>
          <w:rFonts w:ascii="Arial" w:hAnsi="Arial" w:cs="Arial"/>
          <w:b/>
          <w:bCs/>
          <w:sz w:val="32"/>
          <w:szCs w:val="32"/>
          <w:lang w:val="en-GB"/>
        </w:rPr>
      </w:pPr>
      <w:r w:rsidRPr="00725D34">
        <w:rPr>
          <w:rFonts w:ascii="Calibri" w:hAnsi="Calibri" w:cs="Calibri"/>
          <w:b/>
          <w:bCs/>
          <w:sz w:val="40"/>
          <w:szCs w:val="40"/>
        </w:rPr>
        <w:t>HUMAN RESOURCE MANAGEMENT STRATEGY IN STATE ADMINISTRATION UNTIL 20</w:t>
      </w:r>
      <w:r w:rsidR="00A9383F">
        <w:rPr>
          <w:rFonts w:ascii="Calibri" w:hAnsi="Calibri" w:cs="Calibri"/>
          <w:b/>
          <w:bCs/>
          <w:sz w:val="40"/>
          <w:szCs w:val="40"/>
        </w:rPr>
        <w:t>30</w:t>
      </w:r>
    </w:p>
    <w:p w14:paraId="6901A744" w14:textId="1DBC9A61" w:rsidR="00DD7A4D" w:rsidRPr="001B4AEC" w:rsidRDefault="00DD7A4D" w:rsidP="00DE797D">
      <w:pPr>
        <w:pStyle w:val="Navadensplet"/>
        <w:spacing w:before="0" w:beforeAutospacing="0" w:after="200" w:afterAutospacing="0"/>
        <w:jc w:val="center"/>
        <w:rPr>
          <w:rFonts w:ascii="Arial" w:hAnsi="Arial" w:cs="Arial"/>
          <w:b/>
          <w:bCs/>
          <w:sz w:val="32"/>
          <w:szCs w:val="32"/>
          <w:lang w:val="en-GB"/>
        </w:rPr>
      </w:pPr>
    </w:p>
    <w:p w14:paraId="7F7AC7BF" w14:textId="77777777" w:rsidR="00DD7A4D" w:rsidRPr="001B4AEC" w:rsidRDefault="00DD7A4D" w:rsidP="00DE797D">
      <w:pPr>
        <w:pStyle w:val="Navadensplet"/>
        <w:spacing w:before="0" w:beforeAutospacing="0" w:after="200" w:afterAutospacing="0"/>
        <w:jc w:val="center"/>
        <w:rPr>
          <w:rFonts w:ascii="Arial" w:hAnsi="Arial" w:cs="Arial"/>
          <w:b/>
          <w:bCs/>
          <w:sz w:val="32"/>
          <w:szCs w:val="32"/>
          <w:lang w:val="en-GB"/>
        </w:rPr>
      </w:pPr>
    </w:p>
    <w:p w14:paraId="244DE7BE" w14:textId="481255B9" w:rsidR="00DD7A4D" w:rsidRPr="001B4AEC" w:rsidRDefault="001D5508" w:rsidP="00DE797D">
      <w:pPr>
        <w:ind w:left="360"/>
        <w:jc w:val="center"/>
        <w:rPr>
          <w:rFonts w:ascii="Calibri" w:eastAsia="MS Gothic" w:hAnsi="Calibri" w:cs="Calibri"/>
          <w:b/>
          <w:bCs/>
          <w:sz w:val="36"/>
          <w:szCs w:val="36"/>
          <w:lang w:val="en-GB"/>
        </w:rPr>
      </w:pPr>
      <w:r>
        <w:rPr>
          <w:rFonts w:ascii="Calibri" w:eastAsia="MS Gothic" w:hAnsi="Calibri" w:cs="Calibri"/>
          <w:b/>
          <w:bCs/>
          <w:sz w:val="36"/>
          <w:szCs w:val="36"/>
          <w:lang w:val="en-GB"/>
        </w:rPr>
        <w:t>People are the key to better</w:t>
      </w:r>
      <w:r w:rsidR="00DD7A4D" w:rsidRPr="001B4AEC">
        <w:rPr>
          <w:rFonts w:ascii="Calibri" w:eastAsia="MS Gothic" w:hAnsi="Calibri" w:cs="Calibri"/>
          <w:b/>
          <w:bCs/>
          <w:sz w:val="36"/>
          <w:szCs w:val="36"/>
          <w:lang w:val="en-GB"/>
        </w:rPr>
        <w:t xml:space="preserve"> administration.</w:t>
      </w:r>
    </w:p>
    <w:p w14:paraId="5BC03984" w14:textId="545B9C97" w:rsidR="00DD7A4D" w:rsidRPr="001B4AEC" w:rsidRDefault="00DD7A4D" w:rsidP="00DE797D">
      <w:pPr>
        <w:jc w:val="center"/>
        <w:rPr>
          <w:b/>
          <w:color w:val="0070C0"/>
          <w:sz w:val="44"/>
          <w:szCs w:val="44"/>
          <w:lang w:val="en-GB"/>
        </w:rPr>
      </w:pPr>
    </w:p>
    <w:p w14:paraId="4A604ABC" w14:textId="77777777" w:rsidR="002D79EA" w:rsidRPr="001B4AEC" w:rsidRDefault="002D79EA" w:rsidP="00DE797D">
      <w:pPr>
        <w:pStyle w:val="Navadensplet"/>
        <w:spacing w:before="0" w:beforeAutospacing="0" w:after="200" w:afterAutospacing="0"/>
        <w:jc w:val="center"/>
        <w:rPr>
          <w:rFonts w:ascii="Calibri" w:hAnsi="Calibri" w:cs="Calibri"/>
          <w:b/>
          <w:bCs/>
          <w:sz w:val="36"/>
          <w:szCs w:val="36"/>
          <w:lang w:val="en-GB"/>
        </w:rPr>
      </w:pPr>
    </w:p>
    <w:p w14:paraId="42DCCF98" w14:textId="77777777" w:rsidR="00DD7A4D" w:rsidRPr="001B4AEC" w:rsidRDefault="00DD7A4D" w:rsidP="00DE797D">
      <w:pPr>
        <w:pStyle w:val="Navadensplet"/>
        <w:spacing w:before="0" w:beforeAutospacing="0" w:after="200" w:afterAutospacing="0"/>
        <w:jc w:val="center"/>
        <w:rPr>
          <w:rFonts w:ascii="Calibri" w:hAnsi="Calibri" w:cs="Calibri"/>
          <w:b/>
          <w:bCs/>
          <w:sz w:val="36"/>
          <w:szCs w:val="36"/>
          <w:lang w:val="en-GB"/>
        </w:rPr>
      </w:pPr>
    </w:p>
    <w:p w14:paraId="22D34752" w14:textId="77777777" w:rsidR="00A166E9" w:rsidRPr="001B4AEC" w:rsidRDefault="00A166E9" w:rsidP="00DE797D">
      <w:pPr>
        <w:ind w:left="720"/>
        <w:jc w:val="center"/>
        <w:rPr>
          <w:rFonts w:ascii="Arial" w:hAnsi="Arial" w:cs="Arial"/>
          <w:b/>
          <w:bCs/>
          <w:noProof/>
          <w:sz w:val="20"/>
          <w:szCs w:val="20"/>
          <w:lang w:val="en-GB"/>
        </w:rPr>
      </w:pPr>
      <w:bookmarkStart w:id="1" w:name="_Hlk113282912"/>
      <w:bookmarkStart w:id="2" w:name="_Hlk113286921"/>
    </w:p>
    <w:p w14:paraId="32FC20AF" w14:textId="77777777" w:rsidR="00B23303" w:rsidRPr="001B4AEC" w:rsidRDefault="00B23303" w:rsidP="00DE797D">
      <w:pPr>
        <w:ind w:left="720"/>
        <w:jc w:val="center"/>
        <w:rPr>
          <w:rFonts w:ascii="Arial" w:hAnsi="Arial" w:cs="Arial"/>
          <w:b/>
          <w:bCs/>
          <w:noProof/>
          <w:sz w:val="20"/>
          <w:szCs w:val="20"/>
          <w:lang w:val="en-GB"/>
        </w:rPr>
      </w:pPr>
    </w:p>
    <w:p w14:paraId="7565861B" w14:textId="77777777" w:rsidR="00A166E9" w:rsidRPr="001B4AEC" w:rsidRDefault="00A166E9" w:rsidP="00DE797D">
      <w:pPr>
        <w:ind w:left="720"/>
        <w:jc w:val="center"/>
        <w:rPr>
          <w:rFonts w:ascii="Arial" w:hAnsi="Arial" w:cs="Arial"/>
          <w:b/>
          <w:bCs/>
          <w:noProof/>
          <w:sz w:val="20"/>
          <w:szCs w:val="20"/>
          <w:lang w:val="en-GB"/>
        </w:rPr>
      </w:pPr>
    </w:p>
    <w:p w14:paraId="64125291" w14:textId="77777777" w:rsidR="0021188F" w:rsidRPr="001B4AEC" w:rsidRDefault="0021188F" w:rsidP="00DE797D">
      <w:pPr>
        <w:ind w:left="720"/>
        <w:jc w:val="center"/>
        <w:rPr>
          <w:rFonts w:ascii="Arial" w:hAnsi="Arial" w:cs="Arial"/>
          <w:b/>
          <w:bCs/>
          <w:noProof/>
          <w:sz w:val="20"/>
          <w:szCs w:val="20"/>
          <w:lang w:val="en-GB"/>
        </w:rPr>
      </w:pPr>
    </w:p>
    <w:p w14:paraId="5967EF3E" w14:textId="77777777" w:rsidR="00A166E9" w:rsidRPr="001B4AEC" w:rsidRDefault="00A166E9" w:rsidP="00DE797D">
      <w:pPr>
        <w:ind w:left="720"/>
        <w:jc w:val="center"/>
        <w:rPr>
          <w:rFonts w:ascii="Arial" w:hAnsi="Arial" w:cs="Arial"/>
          <w:b/>
          <w:bCs/>
          <w:noProof/>
          <w:sz w:val="20"/>
          <w:szCs w:val="20"/>
          <w:lang w:val="en-GB"/>
        </w:rPr>
      </w:pPr>
    </w:p>
    <w:p w14:paraId="0E7CCF0A" w14:textId="77777777" w:rsidR="005F547F" w:rsidRPr="001B4AEC" w:rsidRDefault="005F547F" w:rsidP="00DE797D">
      <w:pPr>
        <w:ind w:left="720"/>
        <w:jc w:val="center"/>
        <w:rPr>
          <w:rFonts w:ascii="Calibri" w:hAnsi="Calibri" w:cs="Calibri"/>
          <w:b/>
          <w:bCs/>
          <w:sz w:val="26"/>
          <w:szCs w:val="26"/>
          <w:lang w:val="en-GB"/>
        </w:rPr>
      </w:pPr>
    </w:p>
    <w:p w14:paraId="3A17459A" w14:textId="1D8EB2DB" w:rsidR="00705220" w:rsidRPr="001B4AEC" w:rsidRDefault="00705220" w:rsidP="002D79EA">
      <w:pPr>
        <w:ind w:left="720"/>
        <w:jc w:val="both"/>
        <w:rPr>
          <w:rFonts w:ascii="Calibri" w:hAnsi="Calibri" w:cs="Calibri"/>
          <w:b/>
          <w:bCs/>
          <w:sz w:val="26"/>
          <w:szCs w:val="26"/>
          <w:lang w:val="en-GB"/>
        </w:rPr>
      </w:pPr>
    </w:p>
    <w:p w14:paraId="68ECF125" w14:textId="610E074D" w:rsidR="007726CB" w:rsidRPr="001B4AEC" w:rsidRDefault="007726CB" w:rsidP="002D79EA">
      <w:pPr>
        <w:ind w:left="720"/>
        <w:jc w:val="both"/>
        <w:rPr>
          <w:rFonts w:ascii="Calibri" w:hAnsi="Calibri" w:cs="Calibri"/>
          <w:b/>
          <w:bCs/>
          <w:sz w:val="26"/>
          <w:szCs w:val="26"/>
          <w:lang w:val="en-GB"/>
        </w:rPr>
      </w:pPr>
    </w:p>
    <w:p w14:paraId="68ECC433" w14:textId="6A684013" w:rsidR="00044435" w:rsidRDefault="00044435">
      <w:pPr>
        <w:rPr>
          <w:rFonts w:ascii="Arial" w:hAnsi="Arial" w:cs="Arial"/>
          <w:b/>
          <w:bCs/>
          <w:sz w:val="26"/>
          <w:szCs w:val="26"/>
          <w:lang w:val="en-GB"/>
        </w:rPr>
      </w:pPr>
      <w:r>
        <w:rPr>
          <w:rFonts w:ascii="Arial" w:hAnsi="Arial" w:cs="Arial"/>
          <w:b/>
          <w:bCs/>
          <w:sz w:val="26"/>
          <w:szCs w:val="26"/>
          <w:lang w:val="en-GB"/>
        </w:rPr>
        <w:br w:type="page"/>
      </w:r>
    </w:p>
    <w:p w14:paraId="3C6F0746" w14:textId="77777777" w:rsidR="00811C2F" w:rsidRPr="001B4AEC" w:rsidRDefault="00811C2F">
      <w:pPr>
        <w:rPr>
          <w:rFonts w:ascii="Arial" w:hAnsi="Arial" w:cs="Arial"/>
          <w:b/>
          <w:bCs/>
          <w:sz w:val="26"/>
          <w:szCs w:val="26"/>
          <w:lang w:val="en-GB"/>
        </w:rPr>
      </w:pPr>
    </w:p>
    <w:p w14:paraId="39566582" w14:textId="110CEA15" w:rsidR="00727F6F" w:rsidRPr="001B4AEC" w:rsidRDefault="005C7F7E" w:rsidP="003E39C9">
      <w:pPr>
        <w:spacing w:after="360" w:line="276" w:lineRule="auto"/>
        <w:rPr>
          <w:rFonts w:asciiTheme="majorHAnsi" w:hAnsiTheme="majorHAnsi" w:cstheme="majorHAnsi"/>
          <w:b/>
          <w:bCs/>
          <w:sz w:val="26"/>
          <w:szCs w:val="26"/>
          <w:lang w:val="en-GB"/>
        </w:rPr>
      </w:pPr>
      <w:r w:rsidRPr="001B4AEC">
        <w:rPr>
          <w:rFonts w:asciiTheme="majorHAnsi" w:hAnsiTheme="majorHAnsi" w:cstheme="majorHAnsi"/>
          <w:b/>
          <w:bCs/>
          <w:sz w:val="26"/>
          <w:szCs w:val="26"/>
          <w:lang w:val="en-GB"/>
        </w:rPr>
        <w:t xml:space="preserve">Table of contents </w:t>
      </w:r>
    </w:p>
    <w:p w14:paraId="089B2F1E" w14:textId="7CBAD00C" w:rsidR="00093B3A" w:rsidRDefault="00093B3A">
      <w:pPr>
        <w:pStyle w:val="Kazalovsebine1"/>
        <w:tabs>
          <w:tab w:val="left" w:pos="480"/>
        </w:tabs>
        <w:rPr>
          <w:rFonts w:asciiTheme="minorHAnsi" w:eastAsiaTheme="minorEastAsia" w:hAnsiTheme="minorHAnsi" w:cstheme="minorBidi"/>
          <w:b w:val="0"/>
          <w:noProof/>
          <w:kern w:val="2"/>
          <w14:ligatures w14:val="standardContextual"/>
        </w:rPr>
      </w:pPr>
      <w:r>
        <w:rPr>
          <w:rFonts w:ascii="Arial" w:hAnsi="Arial" w:cs="Arial"/>
          <w:b w:val="0"/>
          <w:lang w:val="en-GB"/>
        </w:rPr>
        <w:fldChar w:fldCharType="begin"/>
      </w:r>
      <w:r>
        <w:rPr>
          <w:rFonts w:ascii="Arial" w:hAnsi="Arial" w:cs="Arial"/>
          <w:b w:val="0"/>
          <w:lang w:val="en-GB"/>
        </w:rPr>
        <w:instrText xml:space="preserve"> TOC \o "1-3" \h \z \u </w:instrText>
      </w:r>
      <w:r>
        <w:rPr>
          <w:rFonts w:ascii="Arial" w:hAnsi="Arial" w:cs="Arial"/>
          <w:b w:val="0"/>
          <w:lang w:val="en-GB"/>
        </w:rPr>
        <w:fldChar w:fldCharType="separate"/>
      </w:r>
      <w:hyperlink w:anchor="_Toc205539559" w:history="1">
        <w:r w:rsidRPr="004B6579">
          <w:rPr>
            <w:rStyle w:val="Hiperpovezava"/>
            <w:rFonts w:eastAsia="DejaVu Sans"/>
            <w:noProof/>
            <w:lang w:val="en-GB"/>
          </w:rPr>
          <w:t>1.</w:t>
        </w:r>
        <w:r>
          <w:rPr>
            <w:rFonts w:asciiTheme="minorHAnsi" w:eastAsiaTheme="minorEastAsia" w:hAnsiTheme="minorHAnsi" w:cstheme="minorBidi"/>
            <w:b w:val="0"/>
            <w:noProof/>
            <w:kern w:val="2"/>
            <w14:ligatures w14:val="standardContextual"/>
          </w:rPr>
          <w:tab/>
        </w:r>
        <w:r w:rsidRPr="004B6579">
          <w:rPr>
            <w:rStyle w:val="Hiperpovezava"/>
            <w:rFonts w:eastAsia="DejaVu Sans"/>
            <w:noProof/>
            <w:lang w:val="en-GB"/>
          </w:rPr>
          <w:t>Introduction</w:t>
        </w:r>
        <w:r>
          <w:rPr>
            <w:noProof/>
            <w:webHidden/>
          </w:rPr>
          <w:tab/>
        </w:r>
        <w:r>
          <w:rPr>
            <w:noProof/>
            <w:webHidden/>
          </w:rPr>
          <w:fldChar w:fldCharType="begin"/>
        </w:r>
        <w:r>
          <w:rPr>
            <w:noProof/>
            <w:webHidden/>
          </w:rPr>
          <w:instrText xml:space="preserve"> PAGEREF _Toc205539559 \h </w:instrText>
        </w:r>
        <w:r>
          <w:rPr>
            <w:noProof/>
            <w:webHidden/>
          </w:rPr>
        </w:r>
        <w:r>
          <w:rPr>
            <w:noProof/>
            <w:webHidden/>
          </w:rPr>
          <w:fldChar w:fldCharType="separate"/>
        </w:r>
        <w:r>
          <w:rPr>
            <w:noProof/>
            <w:webHidden/>
          </w:rPr>
          <w:t>3</w:t>
        </w:r>
        <w:r>
          <w:rPr>
            <w:noProof/>
            <w:webHidden/>
          </w:rPr>
          <w:fldChar w:fldCharType="end"/>
        </w:r>
      </w:hyperlink>
    </w:p>
    <w:p w14:paraId="446B3D22" w14:textId="62B7CDE5" w:rsidR="00093B3A" w:rsidRDefault="00093B3A">
      <w:pPr>
        <w:pStyle w:val="Kazalovsebine1"/>
        <w:tabs>
          <w:tab w:val="left" w:pos="480"/>
        </w:tabs>
        <w:rPr>
          <w:rFonts w:asciiTheme="minorHAnsi" w:eastAsiaTheme="minorEastAsia" w:hAnsiTheme="minorHAnsi" w:cstheme="minorBidi"/>
          <w:b w:val="0"/>
          <w:noProof/>
          <w:kern w:val="2"/>
          <w14:ligatures w14:val="standardContextual"/>
        </w:rPr>
      </w:pPr>
      <w:hyperlink w:anchor="_Toc205539560" w:history="1">
        <w:r w:rsidRPr="004B6579">
          <w:rPr>
            <w:rStyle w:val="Hiperpovezava"/>
            <w:rFonts w:eastAsia="DejaVu Sans"/>
            <w:noProof/>
            <w:lang w:val="en-GB"/>
          </w:rPr>
          <w:t>2.</w:t>
        </w:r>
        <w:r>
          <w:rPr>
            <w:rFonts w:asciiTheme="minorHAnsi" w:eastAsiaTheme="minorEastAsia" w:hAnsiTheme="minorHAnsi" w:cstheme="minorBidi"/>
            <w:b w:val="0"/>
            <w:noProof/>
            <w:kern w:val="2"/>
            <w14:ligatures w14:val="standardContextual"/>
          </w:rPr>
          <w:tab/>
        </w:r>
        <w:r w:rsidRPr="004B6579">
          <w:rPr>
            <w:rStyle w:val="Hiperpovezava"/>
            <w:rFonts w:eastAsia="DejaVu Sans"/>
            <w:noProof/>
            <w:lang w:val="en-GB"/>
          </w:rPr>
          <w:t>A brief overview of the current situation and key challenges</w:t>
        </w:r>
        <w:r>
          <w:rPr>
            <w:noProof/>
            <w:webHidden/>
          </w:rPr>
          <w:tab/>
        </w:r>
        <w:r>
          <w:rPr>
            <w:noProof/>
            <w:webHidden/>
          </w:rPr>
          <w:fldChar w:fldCharType="begin"/>
        </w:r>
        <w:r>
          <w:rPr>
            <w:noProof/>
            <w:webHidden/>
          </w:rPr>
          <w:instrText xml:space="preserve"> PAGEREF _Toc205539560 \h </w:instrText>
        </w:r>
        <w:r>
          <w:rPr>
            <w:noProof/>
            <w:webHidden/>
          </w:rPr>
        </w:r>
        <w:r>
          <w:rPr>
            <w:noProof/>
            <w:webHidden/>
          </w:rPr>
          <w:fldChar w:fldCharType="separate"/>
        </w:r>
        <w:r>
          <w:rPr>
            <w:noProof/>
            <w:webHidden/>
          </w:rPr>
          <w:t>4</w:t>
        </w:r>
        <w:r>
          <w:rPr>
            <w:noProof/>
            <w:webHidden/>
          </w:rPr>
          <w:fldChar w:fldCharType="end"/>
        </w:r>
      </w:hyperlink>
    </w:p>
    <w:p w14:paraId="611513C5" w14:textId="0278E69D" w:rsidR="00093B3A" w:rsidRDefault="00093B3A">
      <w:pPr>
        <w:pStyle w:val="Kazalovsebine1"/>
        <w:tabs>
          <w:tab w:val="left" w:pos="480"/>
        </w:tabs>
        <w:rPr>
          <w:rFonts w:asciiTheme="minorHAnsi" w:eastAsiaTheme="minorEastAsia" w:hAnsiTheme="minorHAnsi" w:cstheme="minorBidi"/>
          <w:b w:val="0"/>
          <w:noProof/>
          <w:kern w:val="2"/>
          <w14:ligatures w14:val="standardContextual"/>
        </w:rPr>
      </w:pPr>
      <w:hyperlink w:anchor="_Toc205539561" w:history="1">
        <w:r w:rsidRPr="004B6579">
          <w:rPr>
            <w:rStyle w:val="Hiperpovezava"/>
            <w:rFonts w:eastAsia="DejaVu Sans"/>
            <w:noProof/>
            <w:lang w:val="en-GB"/>
          </w:rPr>
          <w:t>3.</w:t>
        </w:r>
        <w:r>
          <w:rPr>
            <w:rFonts w:asciiTheme="minorHAnsi" w:eastAsiaTheme="minorEastAsia" w:hAnsiTheme="minorHAnsi" w:cstheme="minorBidi"/>
            <w:b w:val="0"/>
            <w:noProof/>
            <w:kern w:val="2"/>
            <w14:ligatures w14:val="standardContextual"/>
          </w:rPr>
          <w:tab/>
        </w:r>
        <w:r w:rsidRPr="004B6579">
          <w:rPr>
            <w:rStyle w:val="Hiperpovezava"/>
            <w:rFonts w:eastAsia="DejaVu Sans"/>
            <w:noProof/>
            <w:lang w:val="en-GB"/>
          </w:rPr>
          <w:t>Vision</w:t>
        </w:r>
        <w:r>
          <w:rPr>
            <w:noProof/>
            <w:webHidden/>
          </w:rPr>
          <w:tab/>
        </w:r>
        <w:r>
          <w:rPr>
            <w:noProof/>
            <w:webHidden/>
          </w:rPr>
          <w:fldChar w:fldCharType="begin"/>
        </w:r>
        <w:r>
          <w:rPr>
            <w:noProof/>
            <w:webHidden/>
          </w:rPr>
          <w:instrText xml:space="preserve"> PAGEREF _Toc205539561 \h </w:instrText>
        </w:r>
        <w:r>
          <w:rPr>
            <w:noProof/>
            <w:webHidden/>
          </w:rPr>
        </w:r>
        <w:r>
          <w:rPr>
            <w:noProof/>
            <w:webHidden/>
          </w:rPr>
          <w:fldChar w:fldCharType="separate"/>
        </w:r>
        <w:r>
          <w:rPr>
            <w:noProof/>
            <w:webHidden/>
          </w:rPr>
          <w:t>10</w:t>
        </w:r>
        <w:r>
          <w:rPr>
            <w:noProof/>
            <w:webHidden/>
          </w:rPr>
          <w:fldChar w:fldCharType="end"/>
        </w:r>
      </w:hyperlink>
    </w:p>
    <w:p w14:paraId="00A46548" w14:textId="7FEFD1DF" w:rsidR="00093B3A" w:rsidRDefault="00093B3A">
      <w:pPr>
        <w:pStyle w:val="Kazalovsebine1"/>
        <w:tabs>
          <w:tab w:val="left" w:pos="480"/>
        </w:tabs>
        <w:rPr>
          <w:rFonts w:asciiTheme="minorHAnsi" w:eastAsiaTheme="minorEastAsia" w:hAnsiTheme="minorHAnsi" w:cstheme="minorBidi"/>
          <w:b w:val="0"/>
          <w:noProof/>
          <w:kern w:val="2"/>
          <w14:ligatures w14:val="standardContextual"/>
        </w:rPr>
      </w:pPr>
      <w:hyperlink w:anchor="_Toc205539562" w:history="1">
        <w:r w:rsidRPr="004B6579">
          <w:rPr>
            <w:rStyle w:val="Hiperpovezava"/>
            <w:rFonts w:eastAsia="DejaVu Sans"/>
            <w:noProof/>
            <w:lang w:val="en-GB"/>
          </w:rPr>
          <w:t>4.</w:t>
        </w:r>
        <w:r>
          <w:rPr>
            <w:rFonts w:asciiTheme="minorHAnsi" w:eastAsiaTheme="minorEastAsia" w:hAnsiTheme="minorHAnsi" w:cstheme="minorBidi"/>
            <w:b w:val="0"/>
            <w:noProof/>
            <w:kern w:val="2"/>
            <w14:ligatures w14:val="standardContextual"/>
          </w:rPr>
          <w:tab/>
        </w:r>
        <w:r w:rsidRPr="004B6579">
          <w:rPr>
            <w:rStyle w:val="Hiperpovezava"/>
            <w:rFonts w:eastAsia="DejaVu Sans"/>
            <w:noProof/>
            <w:lang w:val="en-GB"/>
          </w:rPr>
          <w:t>Basic strategic framework and guidelines</w:t>
        </w:r>
        <w:r>
          <w:rPr>
            <w:noProof/>
            <w:webHidden/>
          </w:rPr>
          <w:tab/>
        </w:r>
        <w:r>
          <w:rPr>
            <w:noProof/>
            <w:webHidden/>
          </w:rPr>
          <w:fldChar w:fldCharType="begin"/>
        </w:r>
        <w:r>
          <w:rPr>
            <w:noProof/>
            <w:webHidden/>
          </w:rPr>
          <w:instrText xml:space="preserve"> PAGEREF _Toc205539562 \h </w:instrText>
        </w:r>
        <w:r>
          <w:rPr>
            <w:noProof/>
            <w:webHidden/>
          </w:rPr>
        </w:r>
        <w:r>
          <w:rPr>
            <w:noProof/>
            <w:webHidden/>
          </w:rPr>
          <w:fldChar w:fldCharType="separate"/>
        </w:r>
        <w:r>
          <w:rPr>
            <w:noProof/>
            <w:webHidden/>
          </w:rPr>
          <w:t>11</w:t>
        </w:r>
        <w:r>
          <w:rPr>
            <w:noProof/>
            <w:webHidden/>
          </w:rPr>
          <w:fldChar w:fldCharType="end"/>
        </w:r>
      </w:hyperlink>
    </w:p>
    <w:p w14:paraId="3DCE202C" w14:textId="5AE569F0" w:rsidR="00093B3A" w:rsidRDefault="00093B3A">
      <w:pPr>
        <w:pStyle w:val="Kazalovsebine1"/>
        <w:tabs>
          <w:tab w:val="left" w:pos="480"/>
        </w:tabs>
        <w:rPr>
          <w:rFonts w:asciiTheme="minorHAnsi" w:eastAsiaTheme="minorEastAsia" w:hAnsiTheme="minorHAnsi" w:cstheme="minorBidi"/>
          <w:b w:val="0"/>
          <w:noProof/>
          <w:kern w:val="2"/>
          <w14:ligatures w14:val="standardContextual"/>
        </w:rPr>
      </w:pPr>
      <w:hyperlink w:anchor="_Toc205539563" w:history="1">
        <w:r w:rsidRPr="004B6579">
          <w:rPr>
            <w:rStyle w:val="Hiperpovezava"/>
            <w:rFonts w:eastAsia="DejaVu Sans"/>
            <w:noProof/>
            <w:lang w:val="en-GB"/>
          </w:rPr>
          <w:t>5.</w:t>
        </w:r>
        <w:r>
          <w:rPr>
            <w:rFonts w:asciiTheme="minorHAnsi" w:eastAsiaTheme="minorEastAsia" w:hAnsiTheme="minorHAnsi" w:cstheme="minorBidi"/>
            <w:b w:val="0"/>
            <w:noProof/>
            <w:kern w:val="2"/>
            <w14:ligatures w14:val="standardContextual"/>
          </w:rPr>
          <w:tab/>
        </w:r>
        <w:r w:rsidRPr="004B6579">
          <w:rPr>
            <w:rStyle w:val="Hiperpovezava"/>
            <w:rFonts w:eastAsia="DejaVu Sans"/>
            <w:noProof/>
            <w:lang w:val="en-GB"/>
          </w:rPr>
          <w:t>Key strategic priorities</w:t>
        </w:r>
        <w:r>
          <w:rPr>
            <w:noProof/>
            <w:webHidden/>
          </w:rPr>
          <w:tab/>
        </w:r>
        <w:r>
          <w:rPr>
            <w:noProof/>
            <w:webHidden/>
          </w:rPr>
          <w:fldChar w:fldCharType="begin"/>
        </w:r>
        <w:r>
          <w:rPr>
            <w:noProof/>
            <w:webHidden/>
          </w:rPr>
          <w:instrText xml:space="preserve"> PAGEREF _Toc205539563 \h </w:instrText>
        </w:r>
        <w:r>
          <w:rPr>
            <w:noProof/>
            <w:webHidden/>
          </w:rPr>
        </w:r>
        <w:r>
          <w:rPr>
            <w:noProof/>
            <w:webHidden/>
          </w:rPr>
          <w:fldChar w:fldCharType="separate"/>
        </w:r>
        <w:r>
          <w:rPr>
            <w:noProof/>
            <w:webHidden/>
          </w:rPr>
          <w:t>13</w:t>
        </w:r>
        <w:r>
          <w:rPr>
            <w:noProof/>
            <w:webHidden/>
          </w:rPr>
          <w:fldChar w:fldCharType="end"/>
        </w:r>
      </w:hyperlink>
    </w:p>
    <w:p w14:paraId="27B5077C" w14:textId="5D6318CA" w:rsidR="00093B3A" w:rsidRDefault="00093B3A">
      <w:pPr>
        <w:pStyle w:val="Kazalovsebine2"/>
        <w:rPr>
          <w:rFonts w:asciiTheme="minorHAnsi" w:eastAsiaTheme="minorEastAsia" w:hAnsiTheme="minorHAnsi" w:cstheme="minorBidi"/>
          <w:b w:val="0"/>
          <w:noProof/>
          <w:kern w:val="2"/>
          <w14:ligatures w14:val="standardContextual"/>
        </w:rPr>
      </w:pPr>
      <w:hyperlink w:anchor="_Toc205539564" w:history="1">
        <w:r w:rsidRPr="004B6579">
          <w:rPr>
            <w:rStyle w:val="Hiperpovezava"/>
            <w:rFonts w:eastAsia="DejaVu Sans"/>
            <w:bCs/>
            <w:noProof/>
            <w:lang w:val="en-GB"/>
          </w:rPr>
          <w:t>5.1 State administration – an attractive working environment</w:t>
        </w:r>
        <w:r>
          <w:rPr>
            <w:noProof/>
            <w:webHidden/>
          </w:rPr>
          <w:tab/>
        </w:r>
        <w:r>
          <w:rPr>
            <w:noProof/>
            <w:webHidden/>
          </w:rPr>
          <w:fldChar w:fldCharType="begin"/>
        </w:r>
        <w:r>
          <w:rPr>
            <w:noProof/>
            <w:webHidden/>
          </w:rPr>
          <w:instrText xml:space="preserve"> PAGEREF _Toc205539564 \h </w:instrText>
        </w:r>
        <w:r>
          <w:rPr>
            <w:noProof/>
            <w:webHidden/>
          </w:rPr>
        </w:r>
        <w:r>
          <w:rPr>
            <w:noProof/>
            <w:webHidden/>
          </w:rPr>
          <w:fldChar w:fldCharType="separate"/>
        </w:r>
        <w:r>
          <w:rPr>
            <w:noProof/>
            <w:webHidden/>
          </w:rPr>
          <w:t>13</w:t>
        </w:r>
        <w:r>
          <w:rPr>
            <w:noProof/>
            <w:webHidden/>
          </w:rPr>
          <w:fldChar w:fldCharType="end"/>
        </w:r>
      </w:hyperlink>
    </w:p>
    <w:p w14:paraId="66ECFAA2" w14:textId="09B333A2" w:rsidR="00093B3A" w:rsidRDefault="00093B3A">
      <w:pPr>
        <w:pStyle w:val="Kazalovsebine2"/>
        <w:rPr>
          <w:rFonts w:asciiTheme="minorHAnsi" w:eastAsiaTheme="minorEastAsia" w:hAnsiTheme="minorHAnsi" w:cstheme="minorBidi"/>
          <w:b w:val="0"/>
          <w:noProof/>
          <w:kern w:val="2"/>
          <w14:ligatures w14:val="standardContextual"/>
        </w:rPr>
      </w:pPr>
      <w:hyperlink w:anchor="_Toc205539565" w:history="1">
        <w:r w:rsidRPr="004B6579">
          <w:rPr>
            <w:rStyle w:val="Hiperpovezava"/>
            <w:rFonts w:eastAsia="DejaVu Sans"/>
            <w:bCs/>
            <w:noProof/>
            <w:lang w:val="en-GB"/>
          </w:rPr>
          <w:t>5.2 Competent and motivated public employee</w:t>
        </w:r>
        <w:r>
          <w:rPr>
            <w:noProof/>
            <w:webHidden/>
          </w:rPr>
          <w:tab/>
        </w:r>
        <w:r>
          <w:rPr>
            <w:noProof/>
            <w:webHidden/>
          </w:rPr>
          <w:fldChar w:fldCharType="begin"/>
        </w:r>
        <w:r>
          <w:rPr>
            <w:noProof/>
            <w:webHidden/>
          </w:rPr>
          <w:instrText xml:space="preserve"> PAGEREF _Toc205539565 \h </w:instrText>
        </w:r>
        <w:r>
          <w:rPr>
            <w:noProof/>
            <w:webHidden/>
          </w:rPr>
        </w:r>
        <w:r>
          <w:rPr>
            <w:noProof/>
            <w:webHidden/>
          </w:rPr>
          <w:fldChar w:fldCharType="separate"/>
        </w:r>
        <w:r>
          <w:rPr>
            <w:noProof/>
            <w:webHidden/>
          </w:rPr>
          <w:t>16</w:t>
        </w:r>
        <w:r>
          <w:rPr>
            <w:noProof/>
            <w:webHidden/>
          </w:rPr>
          <w:fldChar w:fldCharType="end"/>
        </w:r>
      </w:hyperlink>
    </w:p>
    <w:p w14:paraId="2C5809D8" w14:textId="227DCCB4" w:rsidR="00093B3A" w:rsidRDefault="00093B3A">
      <w:pPr>
        <w:pStyle w:val="Kazalovsebine1"/>
        <w:tabs>
          <w:tab w:val="left" w:pos="480"/>
        </w:tabs>
        <w:rPr>
          <w:rFonts w:asciiTheme="minorHAnsi" w:eastAsiaTheme="minorEastAsia" w:hAnsiTheme="minorHAnsi" w:cstheme="minorBidi"/>
          <w:b w:val="0"/>
          <w:noProof/>
          <w:kern w:val="2"/>
          <w14:ligatures w14:val="standardContextual"/>
        </w:rPr>
      </w:pPr>
      <w:hyperlink w:anchor="_Toc205539566" w:history="1">
        <w:r w:rsidRPr="004B6579">
          <w:rPr>
            <w:rStyle w:val="Hiperpovezava"/>
            <w:rFonts w:eastAsia="DejaVu Sans"/>
            <w:noProof/>
            <w:lang w:val="en-GB"/>
          </w:rPr>
          <w:t>6.</w:t>
        </w:r>
        <w:r>
          <w:rPr>
            <w:rFonts w:asciiTheme="minorHAnsi" w:eastAsiaTheme="minorEastAsia" w:hAnsiTheme="minorHAnsi" w:cstheme="minorBidi"/>
            <w:b w:val="0"/>
            <w:noProof/>
            <w:kern w:val="2"/>
            <w14:ligatures w14:val="standardContextual"/>
          </w:rPr>
          <w:tab/>
        </w:r>
        <w:r w:rsidRPr="004B6579">
          <w:rPr>
            <w:rStyle w:val="Hiperpovezava"/>
            <w:rFonts w:eastAsia="DejaVu Sans"/>
            <w:noProof/>
            <w:lang w:val="en-GB"/>
          </w:rPr>
          <w:t>Sources and references</w:t>
        </w:r>
        <w:r>
          <w:rPr>
            <w:noProof/>
            <w:webHidden/>
          </w:rPr>
          <w:tab/>
        </w:r>
        <w:r>
          <w:rPr>
            <w:noProof/>
            <w:webHidden/>
          </w:rPr>
          <w:fldChar w:fldCharType="begin"/>
        </w:r>
        <w:r>
          <w:rPr>
            <w:noProof/>
            <w:webHidden/>
          </w:rPr>
          <w:instrText xml:space="preserve"> PAGEREF _Toc205539566 \h </w:instrText>
        </w:r>
        <w:r>
          <w:rPr>
            <w:noProof/>
            <w:webHidden/>
          </w:rPr>
        </w:r>
        <w:r>
          <w:rPr>
            <w:noProof/>
            <w:webHidden/>
          </w:rPr>
          <w:fldChar w:fldCharType="separate"/>
        </w:r>
        <w:r>
          <w:rPr>
            <w:noProof/>
            <w:webHidden/>
          </w:rPr>
          <w:t>20</w:t>
        </w:r>
        <w:r>
          <w:rPr>
            <w:noProof/>
            <w:webHidden/>
          </w:rPr>
          <w:fldChar w:fldCharType="end"/>
        </w:r>
      </w:hyperlink>
    </w:p>
    <w:p w14:paraId="70B6B257" w14:textId="487E7A03" w:rsidR="002C4D52" w:rsidRPr="00276C28" w:rsidRDefault="00093B3A" w:rsidP="00161223">
      <w:pPr>
        <w:spacing w:line="276" w:lineRule="auto"/>
        <w:jc w:val="both"/>
        <w:rPr>
          <w:rFonts w:ascii="Arial" w:hAnsi="Arial" w:cs="Arial"/>
          <w:kern w:val="32"/>
          <w:lang w:val="en-GB"/>
        </w:rPr>
      </w:pPr>
      <w:r>
        <w:rPr>
          <w:rFonts w:ascii="Arial" w:hAnsi="Arial" w:cs="Arial"/>
          <w:b/>
          <w:lang w:val="en-GB"/>
        </w:rPr>
        <w:fldChar w:fldCharType="end"/>
      </w:r>
      <w:r w:rsidR="005C7F7E" w:rsidRPr="00276C28">
        <w:rPr>
          <w:rFonts w:ascii="Arial" w:hAnsi="Arial" w:cs="Arial"/>
          <w:lang w:val="en-GB"/>
        </w:rPr>
        <w:br w:type="page"/>
      </w:r>
    </w:p>
    <w:p w14:paraId="48CE5834" w14:textId="09A3EC8E" w:rsidR="00664B9C" w:rsidRPr="001B4AEC" w:rsidRDefault="0019746E" w:rsidP="00A27626">
      <w:pPr>
        <w:pStyle w:val="Slog1"/>
        <w:spacing w:before="360" w:after="160" w:line="276" w:lineRule="auto"/>
        <w:rPr>
          <w:lang w:val="en-GB"/>
        </w:rPr>
      </w:pPr>
      <w:bookmarkStart w:id="3" w:name="_Toc205539559"/>
      <w:r w:rsidRPr="001B4AEC">
        <w:rPr>
          <w:lang w:val="en-GB"/>
        </w:rPr>
        <w:lastRenderedPageBreak/>
        <w:t>Introduction</w:t>
      </w:r>
      <w:bookmarkEnd w:id="3"/>
    </w:p>
    <w:p w14:paraId="0F632C2D" w14:textId="334A590F" w:rsidR="00644FC7" w:rsidRPr="000B616D" w:rsidRDefault="00BB67E9" w:rsidP="00A27626">
      <w:pPr>
        <w:spacing w:before="360" w:after="160" w:line="276" w:lineRule="auto"/>
        <w:jc w:val="both"/>
        <w:rPr>
          <w:rFonts w:ascii="Calibri" w:eastAsia="Arial" w:hAnsi="Calibri" w:cs="Calibri"/>
          <w:color w:val="000000"/>
          <w:sz w:val="22"/>
          <w:szCs w:val="22"/>
          <w:lang w:val="en-GB"/>
        </w:rPr>
      </w:pPr>
      <w:bookmarkStart w:id="4" w:name="_Hlk166666150"/>
      <w:r w:rsidRPr="000B616D">
        <w:rPr>
          <w:rFonts w:ascii="Calibri" w:hAnsi="Calibri" w:cs="Calibri"/>
          <w:sz w:val="22"/>
          <w:szCs w:val="22"/>
          <w:lang w:val="en-GB"/>
        </w:rPr>
        <w:t>The Ministry of Public Administrati</w:t>
      </w:r>
      <w:r w:rsidR="00A9383F" w:rsidRPr="000B616D">
        <w:rPr>
          <w:rFonts w:ascii="Calibri" w:hAnsi="Calibri" w:cs="Calibri"/>
          <w:sz w:val="22"/>
          <w:szCs w:val="22"/>
          <w:lang w:val="en-GB"/>
        </w:rPr>
        <w:t xml:space="preserve">on prepared a </w:t>
      </w:r>
      <w:r w:rsidR="00A9383F">
        <w:rPr>
          <w:rFonts w:ascii="Calibri" w:hAnsi="Calibri" w:cs="Calibri"/>
          <w:sz w:val="22"/>
          <w:szCs w:val="22"/>
          <w:lang w:val="en-GB"/>
        </w:rPr>
        <w:t>H</w:t>
      </w:r>
      <w:r w:rsidR="00A9383F" w:rsidRPr="00A9383F">
        <w:rPr>
          <w:rFonts w:ascii="Calibri" w:hAnsi="Calibri" w:cs="Calibri"/>
          <w:sz w:val="22"/>
          <w:szCs w:val="22"/>
          <w:lang w:val="en-GB"/>
        </w:rPr>
        <w:t xml:space="preserve">uman </w:t>
      </w:r>
      <w:r w:rsidR="00A9383F">
        <w:rPr>
          <w:rFonts w:ascii="Calibri" w:hAnsi="Calibri" w:cs="Calibri"/>
          <w:sz w:val="22"/>
          <w:szCs w:val="22"/>
          <w:lang w:val="en-GB"/>
        </w:rPr>
        <w:t>R</w:t>
      </w:r>
      <w:r w:rsidR="00A9383F" w:rsidRPr="00A9383F">
        <w:rPr>
          <w:rFonts w:ascii="Calibri" w:hAnsi="Calibri" w:cs="Calibri"/>
          <w:sz w:val="22"/>
          <w:szCs w:val="22"/>
          <w:lang w:val="en-GB"/>
        </w:rPr>
        <w:t xml:space="preserve">esource </w:t>
      </w:r>
      <w:r w:rsidR="00A9383F">
        <w:rPr>
          <w:rFonts w:ascii="Calibri" w:hAnsi="Calibri" w:cs="Calibri"/>
          <w:sz w:val="22"/>
          <w:szCs w:val="22"/>
          <w:lang w:val="en-GB"/>
        </w:rPr>
        <w:t>M</w:t>
      </w:r>
      <w:r w:rsidR="00A9383F" w:rsidRPr="00A9383F">
        <w:rPr>
          <w:rFonts w:ascii="Calibri" w:hAnsi="Calibri" w:cs="Calibri"/>
          <w:sz w:val="22"/>
          <w:szCs w:val="22"/>
          <w:lang w:val="en-GB"/>
        </w:rPr>
        <w:t xml:space="preserve">anagement </w:t>
      </w:r>
      <w:r w:rsidR="00A9383F">
        <w:rPr>
          <w:rFonts w:ascii="Calibri" w:hAnsi="Calibri" w:cs="Calibri"/>
          <w:sz w:val="22"/>
          <w:szCs w:val="22"/>
          <w:lang w:val="en-GB"/>
        </w:rPr>
        <w:t>S</w:t>
      </w:r>
      <w:r w:rsidR="00A9383F" w:rsidRPr="00A9383F">
        <w:rPr>
          <w:rFonts w:ascii="Calibri" w:hAnsi="Calibri" w:cs="Calibri"/>
          <w:sz w:val="22"/>
          <w:szCs w:val="22"/>
          <w:lang w:val="en-GB"/>
        </w:rPr>
        <w:t xml:space="preserve">trategy in </w:t>
      </w:r>
      <w:r w:rsidR="00A9383F">
        <w:rPr>
          <w:rFonts w:ascii="Calibri" w:hAnsi="Calibri" w:cs="Calibri"/>
          <w:sz w:val="22"/>
          <w:szCs w:val="22"/>
          <w:lang w:val="en-GB"/>
        </w:rPr>
        <w:t>S</w:t>
      </w:r>
      <w:r w:rsidR="00A9383F" w:rsidRPr="00A9383F">
        <w:rPr>
          <w:rFonts w:ascii="Calibri" w:hAnsi="Calibri" w:cs="Calibri"/>
          <w:sz w:val="22"/>
          <w:szCs w:val="22"/>
          <w:lang w:val="en-GB"/>
        </w:rPr>
        <w:t xml:space="preserve">tate </w:t>
      </w:r>
      <w:r w:rsidR="00A9383F">
        <w:rPr>
          <w:rFonts w:ascii="Calibri" w:hAnsi="Calibri" w:cs="Calibri"/>
          <w:sz w:val="22"/>
          <w:szCs w:val="22"/>
          <w:lang w:val="en-GB"/>
        </w:rPr>
        <w:t>A</w:t>
      </w:r>
      <w:r w:rsidR="00A9383F" w:rsidRPr="00A9383F">
        <w:rPr>
          <w:rFonts w:ascii="Calibri" w:hAnsi="Calibri" w:cs="Calibri"/>
          <w:sz w:val="22"/>
          <w:szCs w:val="22"/>
          <w:lang w:val="en-GB"/>
        </w:rPr>
        <w:t>dministration</w:t>
      </w:r>
      <w:r w:rsidR="00A9383F">
        <w:rPr>
          <w:rFonts w:ascii="Calibri" w:hAnsi="Calibri" w:cs="Calibri"/>
          <w:sz w:val="22"/>
          <w:szCs w:val="22"/>
          <w:lang w:val="en-GB"/>
        </w:rPr>
        <w:t xml:space="preserve"> </w:t>
      </w:r>
      <w:r w:rsidR="00A9383F" w:rsidRPr="00A9383F">
        <w:rPr>
          <w:rFonts w:ascii="Calibri" w:hAnsi="Calibri" w:cs="Calibri"/>
          <w:sz w:val="22"/>
          <w:szCs w:val="22"/>
          <w:lang w:val="en-GB"/>
        </w:rPr>
        <w:t>until 203</w:t>
      </w:r>
      <w:r w:rsidR="00A9383F" w:rsidRPr="000B616D">
        <w:rPr>
          <w:rFonts w:ascii="Calibri" w:hAnsi="Calibri" w:cs="Calibri"/>
          <w:sz w:val="22"/>
          <w:szCs w:val="22"/>
          <w:lang w:val="en-GB"/>
        </w:rPr>
        <w:t xml:space="preserve">0 </w:t>
      </w:r>
      <w:bookmarkEnd w:id="4"/>
      <w:r w:rsidRPr="000B616D">
        <w:rPr>
          <w:rFonts w:ascii="Calibri" w:hAnsi="Calibri" w:cs="Calibri"/>
          <w:sz w:val="22"/>
          <w:szCs w:val="22"/>
          <w:lang w:val="en-GB"/>
        </w:rPr>
        <w:t xml:space="preserve">(hereinafter: Strategy) with the intent to establish </w:t>
      </w:r>
      <w:r w:rsidRPr="000B616D">
        <w:rPr>
          <w:rFonts w:ascii="Calibri" w:hAnsi="Calibri" w:cs="Calibri"/>
          <w:color w:val="000000"/>
          <w:sz w:val="22"/>
          <w:szCs w:val="22"/>
          <w:lang w:val="en-GB"/>
        </w:rPr>
        <w:t xml:space="preserve">strategic and comprehensive </w:t>
      </w:r>
      <w:r w:rsidR="000B616D" w:rsidRPr="000B616D">
        <w:rPr>
          <w:rFonts w:ascii="Calibri" w:hAnsi="Calibri" w:cs="Calibri"/>
          <w:color w:val="000000"/>
          <w:sz w:val="22"/>
          <w:szCs w:val="22"/>
          <w:lang w:val="en-GB"/>
        </w:rPr>
        <w:t>human resource management</w:t>
      </w:r>
      <w:r w:rsidRPr="000B616D">
        <w:rPr>
          <w:rFonts w:ascii="Calibri" w:hAnsi="Calibri" w:cs="Calibri"/>
          <w:color w:val="000000"/>
          <w:sz w:val="22"/>
          <w:szCs w:val="22"/>
          <w:lang w:val="en-GB"/>
        </w:rPr>
        <w:t xml:space="preserve">, </w:t>
      </w:r>
      <w:r w:rsidRPr="000B616D">
        <w:rPr>
          <w:rFonts w:ascii="Calibri" w:hAnsi="Calibri" w:cs="Calibri"/>
          <w:noProof/>
          <w:sz w:val="22"/>
          <w:szCs w:val="22"/>
          <w:lang w:val="en-GB"/>
        </w:rPr>
        <w:t>effectively utilise the potential of public employees</w:t>
      </w:r>
      <w:r w:rsidRPr="000B616D">
        <w:rPr>
          <w:rFonts w:ascii="Calibri" w:hAnsi="Calibri" w:cs="Calibri"/>
          <w:color w:val="000000"/>
          <w:sz w:val="22"/>
          <w:szCs w:val="22"/>
          <w:lang w:val="en-GB"/>
        </w:rPr>
        <w:t xml:space="preserve"> and create an attractive work environment with a development-oriented organisational culture</w:t>
      </w:r>
      <w:r w:rsidRPr="000B616D">
        <w:rPr>
          <w:rFonts w:ascii="Calibri" w:hAnsi="Calibri" w:cs="Calibri"/>
          <w:noProof/>
          <w:sz w:val="22"/>
          <w:szCs w:val="22"/>
          <w:lang w:val="en-GB"/>
        </w:rPr>
        <w:t>.</w:t>
      </w:r>
      <w:r w:rsidR="001B4AEC" w:rsidRPr="000B616D">
        <w:rPr>
          <w:rFonts w:ascii="Calibri" w:hAnsi="Calibri" w:cs="Calibri"/>
          <w:noProof/>
          <w:sz w:val="22"/>
          <w:szCs w:val="22"/>
          <w:lang w:val="en-GB"/>
        </w:rPr>
        <w:t xml:space="preserve"> </w:t>
      </w:r>
      <w:r w:rsidRPr="000B616D">
        <w:rPr>
          <w:rFonts w:ascii="Calibri" w:hAnsi="Calibri" w:cs="Calibri"/>
          <w:sz w:val="22"/>
          <w:szCs w:val="22"/>
          <w:lang w:val="en-GB"/>
        </w:rPr>
        <w:t>Although the Strategy primarily addresses state administration bodies, its measures are also applicable across the entire public sector.</w:t>
      </w:r>
    </w:p>
    <w:p w14:paraId="77C5F902" w14:textId="39260F2F" w:rsidR="00644FC7" w:rsidRPr="001B4AEC" w:rsidRDefault="00802494" w:rsidP="00A27626">
      <w:pPr>
        <w:spacing w:before="160" w:after="160" w:line="276" w:lineRule="auto"/>
        <w:jc w:val="both"/>
        <w:rPr>
          <w:rFonts w:ascii="Calibri" w:eastAsia="Arial" w:hAnsi="Calibri" w:cs="Calibri"/>
          <w:color w:val="000000"/>
          <w:sz w:val="22"/>
          <w:szCs w:val="22"/>
          <w:lang w:val="en-GB"/>
        </w:rPr>
      </w:pPr>
      <w:r w:rsidRPr="000B616D">
        <w:rPr>
          <w:rFonts w:ascii="Calibri" w:hAnsi="Calibri" w:cs="Calibri"/>
          <w:color w:val="000000"/>
          <w:sz w:val="22"/>
          <w:szCs w:val="22"/>
          <w:lang w:val="en-GB"/>
        </w:rPr>
        <w:t xml:space="preserve">The Strategy also aims to preserve the existing solutions that have proven effective in </w:t>
      </w:r>
      <w:r w:rsidR="000B616D" w:rsidRPr="000B616D">
        <w:rPr>
          <w:rFonts w:ascii="Calibri" w:hAnsi="Calibri" w:cs="Calibri"/>
          <w:color w:val="000000"/>
          <w:sz w:val="22"/>
          <w:szCs w:val="22"/>
          <w:lang w:val="en-GB"/>
        </w:rPr>
        <w:t>human resource managemen</w:t>
      </w:r>
      <w:r w:rsidR="000B616D">
        <w:rPr>
          <w:rFonts w:ascii="Calibri" w:hAnsi="Calibri" w:cs="Calibri"/>
          <w:color w:val="000000"/>
          <w:sz w:val="22"/>
          <w:szCs w:val="22"/>
          <w:lang w:val="en-GB"/>
        </w:rPr>
        <w:t>t.</w:t>
      </w:r>
      <w:r w:rsidR="00A9383F">
        <w:rPr>
          <w:rFonts w:ascii="Calibri" w:hAnsi="Calibri" w:cs="Calibri"/>
          <w:color w:val="000000"/>
          <w:sz w:val="22"/>
          <w:szCs w:val="22"/>
          <w:lang w:val="en-GB"/>
        </w:rPr>
        <w:t xml:space="preserve"> </w:t>
      </w:r>
      <w:r w:rsidRPr="000B616D">
        <w:rPr>
          <w:rFonts w:ascii="Calibri" w:hAnsi="Calibri" w:cs="Calibri"/>
          <w:sz w:val="22"/>
          <w:szCs w:val="22"/>
          <w:lang w:val="en-GB"/>
        </w:rPr>
        <w:t>Given the numerous social, technological</w:t>
      </w:r>
      <w:r w:rsidRPr="001B4AEC">
        <w:rPr>
          <w:rFonts w:ascii="Calibri" w:hAnsi="Calibri" w:cs="Calibri"/>
          <w:sz w:val="22"/>
          <w:szCs w:val="22"/>
          <w:lang w:val="en-GB"/>
        </w:rPr>
        <w:t xml:space="preserve"> and demographic changes the state administration must prepare for, it is essential to maintain a forward-looking approach.</w:t>
      </w:r>
    </w:p>
    <w:p w14:paraId="631F72CB" w14:textId="16EEB35B" w:rsidR="000F40A8" w:rsidRPr="001B4AEC" w:rsidRDefault="00D71E22" w:rsidP="00A27626">
      <w:pPr>
        <w:spacing w:before="160" w:after="160" w:line="276" w:lineRule="auto"/>
        <w:jc w:val="both"/>
        <w:rPr>
          <w:rFonts w:ascii="Calibri" w:hAnsi="Calibri" w:cs="Calibri"/>
          <w:b/>
          <w:bCs/>
          <w:sz w:val="22"/>
          <w:szCs w:val="22"/>
          <w:lang w:val="en-GB"/>
        </w:rPr>
      </w:pPr>
      <w:r w:rsidRPr="001B4AEC">
        <w:rPr>
          <w:rFonts w:ascii="Calibri" w:hAnsi="Calibri" w:cs="Calibri"/>
          <w:sz w:val="22"/>
          <w:szCs w:val="22"/>
          <w:lang w:val="en-GB"/>
        </w:rPr>
        <w:t xml:space="preserve">With their knowledge, skills, competences and personal attributes, public employees represent one of the key pillars supporting the successful and efficient performance of administrative tasks. It is therefore important that the state administration employs individuals whose values are consistent with its vision and guiding principles. In this way, an organisational culture is fostered that enables public employees to carry out their duties with dedication and professionalism, thereby contributing to the administration's success and objectives. In addition, public employees must be motivated and provided with opportunities for career development. It is essential to foster a culture and environment that encourage long-term commitment. </w:t>
      </w:r>
    </w:p>
    <w:p w14:paraId="031E5AA7" w14:textId="7125B5CC" w:rsidR="000F40A8" w:rsidRPr="001B4AEC" w:rsidRDefault="000F40A8" w:rsidP="004004E3">
      <w:pPr>
        <w:spacing w:before="160" w:after="160" w:line="276" w:lineRule="auto"/>
        <w:jc w:val="both"/>
        <w:rPr>
          <w:rFonts w:ascii="Calibri" w:hAnsi="Calibri" w:cs="Calibri"/>
          <w:sz w:val="22"/>
          <w:szCs w:val="22"/>
          <w:lang w:val="en-GB"/>
        </w:rPr>
      </w:pPr>
      <w:r w:rsidRPr="001B4AEC">
        <w:rPr>
          <w:rFonts w:ascii="Calibri" w:hAnsi="Calibri" w:cs="Calibri"/>
          <w:sz w:val="22"/>
          <w:szCs w:val="22"/>
          <w:lang w:val="en-GB"/>
        </w:rPr>
        <w:t xml:space="preserve">The Strategy outlines the Ministry of Public Administration's intended improvements to employee management within the state administration, with the aim of establishing a strategic and comprehensive approach. On the one hand, the objectives aim to strengthen the recognition of the state administration and create an attractive working environment. The objectives and measures, including the </w:t>
      </w:r>
      <w:r w:rsidRPr="001B4AEC">
        <w:rPr>
          <w:rFonts w:ascii="Calibri" w:hAnsi="Calibri" w:cs="Calibri"/>
          <w:noProof/>
          <w:sz w:val="22"/>
          <w:szCs w:val="22"/>
          <w:lang w:val="en-GB"/>
        </w:rPr>
        <w:t>establishment of a state administration brand</w:t>
      </w:r>
      <w:r w:rsidRPr="001B4AEC">
        <w:rPr>
          <w:rFonts w:ascii="Calibri" w:hAnsi="Calibri" w:cs="Calibri"/>
          <w:sz w:val="22"/>
          <w:szCs w:val="22"/>
          <w:lang w:val="en-GB"/>
        </w:rPr>
        <w:t>,</w:t>
      </w:r>
      <w:r w:rsidRPr="001B4AEC">
        <w:rPr>
          <w:rStyle w:val="Sprotnaopomba-sklic"/>
          <w:rFonts w:ascii="Calibri" w:hAnsi="Calibri" w:cs="Calibri"/>
          <w:sz w:val="22"/>
          <w:szCs w:val="22"/>
          <w:lang w:val="en-GB"/>
        </w:rPr>
        <w:footnoteReference w:id="1"/>
      </w:r>
      <w:r w:rsidRPr="001B4AEC">
        <w:rPr>
          <w:rFonts w:ascii="Calibri" w:hAnsi="Calibri" w:cs="Calibri"/>
          <w:sz w:val="22"/>
          <w:szCs w:val="22"/>
          <w:lang w:val="en-GB"/>
        </w:rPr>
        <w:t xml:space="preserve"> the updating of selection procedures, the simplification of open competition procedures for public employees employment and the revitalisation of the scholarship policy, are aimed at </w:t>
      </w:r>
      <w:r w:rsidRPr="001B4AEC">
        <w:rPr>
          <w:rFonts w:ascii="Calibri" w:hAnsi="Calibri" w:cs="Calibri"/>
          <w:noProof/>
          <w:sz w:val="22"/>
          <w:szCs w:val="22"/>
          <w:lang w:val="en-GB"/>
        </w:rPr>
        <w:t>job seekers as well as individuals seeking new career challenges.</w:t>
      </w:r>
      <w:r w:rsidRPr="001B4AEC">
        <w:rPr>
          <w:rFonts w:ascii="Calibri" w:hAnsi="Calibri" w:cs="Calibri"/>
          <w:sz w:val="22"/>
          <w:szCs w:val="22"/>
          <w:lang w:val="en-GB"/>
        </w:rPr>
        <w:t xml:space="preserve"> On the other hand, the Strategy will contribute to creating conditions that promote capacity building and enhance the motivation of public employees. By </w:t>
      </w:r>
      <w:r w:rsidRPr="001B4AEC">
        <w:rPr>
          <w:rFonts w:ascii="Calibri" w:hAnsi="Calibri" w:cs="Calibri"/>
          <w:noProof/>
          <w:sz w:val="22"/>
          <w:szCs w:val="22"/>
          <w:lang w:val="en-GB"/>
        </w:rPr>
        <w:t>i</w:t>
      </w:r>
      <w:r w:rsidRPr="001B4AEC">
        <w:rPr>
          <w:rFonts w:ascii="Calibri" w:hAnsi="Calibri" w:cs="Calibri"/>
          <w:sz w:val="22"/>
          <w:szCs w:val="22"/>
          <w:lang w:val="en-GB"/>
        </w:rPr>
        <w:t xml:space="preserve">dentifying and developing talent, facilitating the transfer of key knowledge and experience from senior to junior personnel, strengthening the culture of lifelong learning, establishing approaches to senior </w:t>
      </w:r>
      <w:r w:rsidR="000B616D">
        <w:rPr>
          <w:rFonts w:ascii="Calibri" w:hAnsi="Calibri" w:cs="Calibri"/>
          <w:sz w:val="22"/>
          <w:szCs w:val="22"/>
          <w:lang w:val="en-GB"/>
        </w:rPr>
        <w:t>human resource management</w:t>
      </w:r>
      <w:r w:rsidRPr="001B4AEC">
        <w:rPr>
          <w:rFonts w:ascii="Calibri" w:hAnsi="Calibri" w:cs="Calibri"/>
          <w:sz w:val="22"/>
          <w:szCs w:val="22"/>
          <w:lang w:val="en-GB"/>
        </w:rPr>
        <w:t>, promoting public employee mobility and introducing flexible forms of work, the Strategy will create conditions for personal growth and career development. It represents a set of continuous, planned measures for employee management that will support state administration bodies in achieving their objectives.</w:t>
      </w:r>
    </w:p>
    <w:p w14:paraId="28BF3501" w14:textId="77777777" w:rsidR="00A9383F" w:rsidRDefault="000F40A8" w:rsidP="004004E3">
      <w:pPr>
        <w:spacing w:before="160" w:after="160" w:line="276" w:lineRule="auto"/>
        <w:jc w:val="both"/>
        <w:rPr>
          <w:rFonts w:ascii="Calibri" w:hAnsi="Calibri" w:cs="Calibri"/>
          <w:sz w:val="22"/>
          <w:szCs w:val="22"/>
          <w:lang w:val="en-GB"/>
        </w:rPr>
      </w:pPr>
      <w:bookmarkStart w:id="5" w:name="_Hlk184293194"/>
      <w:r w:rsidRPr="001B4AEC">
        <w:rPr>
          <w:rFonts w:ascii="Calibri" w:hAnsi="Calibri" w:cs="Calibri"/>
          <w:sz w:val="22"/>
          <w:szCs w:val="22"/>
          <w:lang w:val="en-GB"/>
        </w:rPr>
        <w:t xml:space="preserve">The Strategy also </w:t>
      </w:r>
      <w:r w:rsidRPr="00BD1745">
        <w:rPr>
          <w:rFonts w:ascii="Calibri" w:hAnsi="Calibri" w:cs="Calibri"/>
          <w:sz w:val="22"/>
          <w:szCs w:val="22"/>
          <w:lang w:val="en-GB"/>
        </w:rPr>
        <w:t xml:space="preserve">includes a brief overview of the current situation and the main challenges the state administration faces in </w:t>
      </w:r>
      <w:r w:rsidR="000B616D" w:rsidRPr="00BD1745">
        <w:rPr>
          <w:rFonts w:ascii="Calibri" w:hAnsi="Calibri" w:cs="Calibri"/>
          <w:sz w:val="22"/>
          <w:szCs w:val="22"/>
          <w:lang w:val="en-GB"/>
        </w:rPr>
        <w:t>human resource management</w:t>
      </w:r>
      <w:r w:rsidRPr="00BD1745">
        <w:rPr>
          <w:rFonts w:ascii="Calibri" w:hAnsi="Calibri" w:cs="Calibri"/>
          <w:sz w:val="22"/>
          <w:szCs w:val="22"/>
          <w:lang w:val="en-GB"/>
        </w:rPr>
        <w:t xml:space="preserve">. The following section presents the development vision and outlines two key priorities, together with the corresponding objectives and implementation measures. In addressing these challenges, the financial aspect will serve as an important motivational </w:t>
      </w:r>
      <w:r w:rsidRPr="00BD1745">
        <w:rPr>
          <w:rFonts w:ascii="Calibri" w:hAnsi="Calibri" w:cs="Calibri"/>
          <w:sz w:val="22"/>
          <w:szCs w:val="22"/>
          <w:lang w:val="en-GB"/>
        </w:rPr>
        <w:lastRenderedPageBreak/>
        <w:t>factor for employees. The Ministry of Public Administration</w:t>
      </w:r>
      <w:r w:rsidRPr="001B4AEC">
        <w:rPr>
          <w:rFonts w:ascii="Calibri" w:hAnsi="Calibri" w:cs="Calibri"/>
          <w:sz w:val="22"/>
          <w:szCs w:val="22"/>
          <w:lang w:val="en-GB"/>
        </w:rPr>
        <w:t xml:space="preserve"> has devoted particular attention to this, including during the formulation of the public sector pay reform.</w:t>
      </w:r>
      <w:bookmarkEnd w:id="5"/>
      <w:r w:rsidRPr="001B4AEC">
        <w:rPr>
          <w:rStyle w:val="Sprotnaopomba-sklic"/>
          <w:rFonts w:ascii="Calibri" w:hAnsi="Calibri" w:cs="Calibri"/>
          <w:sz w:val="22"/>
          <w:szCs w:val="22"/>
          <w:lang w:val="en-GB"/>
        </w:rPr>
        <w:footnoteReference w:id="2"/>
      </w:r>
    </w:p>
    <w:p w14:paraId="520485D7" w14:textId="6A5A641A" w:rsidR="00111BE6" w:rsidRPr="001B4AEC" w:rsidRDefault="000F40A8" w:rsidP="004004E3">
      <w:pPr>
        <w:spacing w:before="160" w:after="160" w:line="276" w:lineRule="auto"/>
        <w:jc w:val="both"/>
        <w:rPr>
          <w:rFonts w:ascii="Calibri" w:hAnsi="Calibri" w:cs="Calibri"/>
          <w:color w:val="222222"/>
          <w:sz w:val="22"/>
          <w:szCs w:val="22"/>
          <w:lang w:val="en-GB"/>
        </w:rPr>
      </w:pPr>
      <w:r w:rsidRPr="001B4AEC">
        <w:rPr>
          <w:rFonts w:ascii="Calibri" w:hAnsi="Calibri" w:cs="Calibri"/>
          <w:color w:val="222222"/>
          <w:sz w:val="22"/>
          <w:szCs w:val="22"/>
          <w:lang w:val="en-GB"/>
        </w:rPr>
        <w:t xml:space="preserve">The Strategy was developed with the aim of implementing priorities, objectives and measures as tools and a professional support framework for public employees in the performance of their duties. These elements will also serve as a foundation to help them, individually and collectively, become even better employees, colleagues and leaders. </w:t>
      </w:r>
    </w:p>
    <w:p w14:paraId="0C8F7F11" w14:textId="769CDC12" w:rsidR="007A0364" w:rsidRPr="001B4AEC" w:rsidRDefault="00664B9C" w:rsidP="00E81B0F">
      <w:pPr>
        <w:pStyle w:val="Slog1"/>
        <w:spacing w:before="360" w:after="160" w:line="276" w:lineRule="auto"/>
        <w:rPr>
          <w:lang w:val="en-GB"/>
        </w:rPr>
      </w:pPr>
      <w:bookmarkStart w:id="6" w:name="_Toc205539560"/>
      <w:r w:rsidRPr="001B4AEC">
        <w:rPr>
          <w:lang w:val="en-GB"/>
        </w:rPr>
        <w:t>A brief overview of the current situation and key challenges</w:t>
      </w:r>
      <w:bookmarkEnd w:id="6"/>
    </w:p>
    <w:p w14:paraId="6D0B52DE" w14:textId="30394AD3" w:rsidR="00422C36" w:rsidRPr="001B4AEC" w:rsidRDefault="00164379" w:rsidP="00E81B0F">
      <w:pPr>
        <w:spacing w:before="360" w:after="160" w:line="276" w:lineRule="auto"/>
        <w:jc w:val="both"/>
        <w:rPr>
          <w:rFonts w:ascii="Calibri" w:eastAsia="Calibri" w:hAnsi="Calibri" w:cs="Calibri"/>
          <w:sz w:val="22"/>
          <w:szCs w:val="22"/>
          <w:lang w:val="en-GB"/>
        </w:rPr>
      </w:pPr>
      <w:r w:rsidRPr="001B4AEC">
        <w:rPr>
          <w:rFonts w:ascii="Calibri" w:hAnsi="Calibri" w:cs="Calibri"/>
          <w:noProof/>
          <w:sz w:val="22"/>
          <w:szCs w:val="22"/>
          <w:lang w:val="en-GB"/>
        </w:rPr>
        <w:t>Rapid social and technological changes, as well as unforeseeable emergencies, significantly affect the functioning of the state administration. </w:t>
      </w:r>
      <w:r w:rsidRPr="001B4AEC">
        <w:rPr>
          <w:rFonts w:ascii="Calibri" w:hAnsi="Calibri" w:cs="Calibri"/>
          <w:sz w:val="22"/>
          <w:szCs w:val="22"/>
          <w:lang w:val="en-GB"/>
        </w:rPr>
        <w:t>All of this presents a challenge that requires a comprehensive approach, taking into account that one of the key elements of an efficient state administration is a professional, responsible and motivated public employee.</w:t>
      </w:r>
    </w:p>
    <w:p w14:paraId="7E458C99" w14:textId="4CB7DBAA" w:rsidR="00422C36" w:rsidRPr="001B4AEC" w:rsidRDefault="008075EE" w:rsidP="004004E3">
      <w:pPr>
        <w:suppressAutoHyphens/>
        <w:autoSpaceDN w:val="0"/>
        <w:spacing w:before="160" w:after="160" w:line="276" w:lineRule="auto"/>
        <w:jc w:val="both"/>
        <w:textAlignment w:val="baseline"/>
        <w:rPr>
          <w:rFonts w:ascii="Calibri" w:eastAsia="Calibri" w:hAnsi="Calibri" w:cs="Calibri"/>
          <w:noProof/>
          <w:sz w:val="22"/>
          <w:szCs w:val="22"/>
          <w:lang w:val="en-GB"/>
        </w:rPr>
      </w:pPr>
      <w:r w:rsidRPr="001B4AEC">
        <w:rPr>
          <w:rFonts w:ascii="Calibri" w:eastAsia="Calibri" w:hAnsi="Calibri" w:cs="Calibri"/>
          <w:noProof/>
          <w:sz w:val="22"/>
          <w:szCs w:val="22"/>
          <w:lang w:val="en-GB"/>
        </w:rPr>
        <w:t>A crisis such as the COVID-19 epidemic demonstrated that the state administration is capable of performing its duties with agility and flexibility, even beyond established frameworks. Based on the experiences gained, proven effective practices in performing various tasks should be retained and integrated into the existing work process organisation. However, the need to harmonise the entirety of state administration has become evident.</w:t>
      </w:r>
    </w:p>
    <w:p w14:paraId="3F767DA8" w14:textId="4EB6FDC8" w:rsidR="00164379" w:rsidRPr="001B4AEC" w:rsidRDefault="008075EE" w:rsidP="004004E3">
      <w:pPr>
        <w:suppressAutoHyphens/>
        <w:autoSpaceDN w:val="0"/>
        <w:spacing w:before="160" w:after="160" w:line="276" w:lineRule="auto"/>
        <w:jc w:val="both"/>
        <w:textAlignment w:val="baseline"/>
        <w:rPr>
          <w:rFonts w:ascii="Calibri" w:eastAsia="Calibri" w:hAnsi="Calibri" w:cs="Calibri"/>
          <w:noProof/>
          <w:sz w:val="22"/>
          <w:szCs w:val="22"/>
          <w:lang w:val="en-GB"/>
        </w:rPr>
      </w:pPr>
      <w:r w:rsidRPr="001B4AEC">
        <w:rPr>
          <w:rFonts w:ascii="Calibri" w:eastAsia="Calibri" w:hAnsi="Calibri" w:cs="Calibri"/>
          <w:noProof/>
          <w:sz w:val="22"/>
          <w:szCs w:val="22"/>
          <w:lang w:val="en-GB"/>
        </w:rPr>
        <w:t>Furthermore, the COVID-19 crisis highlighted deficiencies in the human resource management function. It lacks a strategic approach to the identification and development of talent, including activities and processes such as the systematic definition of key positions, succession planning,</w:t>
      </w:r>
      <w:r w:rsidRPr="001B4AEC">
        <w:rPr>
          <w:rStyle w:val="Sprotnaopomba-sklic"/>
          <w:rFonts w:ascii="Calibri" w:eastAsia="Calibri" w:hAnsi="Calibri" w:cs="Calibri"/>
          <w:noProof/>
          <w:sz w:val="22"/>
          <w:szCs w:val="22"/>
          <w:lang w:val="en-GB"/>
        </w:rPr>
        <w:footnoteReference w:id="3"/>
      </w:r>
      <w:r w:rsidRPr="001B4AEC">
        <w:rPr>
          <w:rFonts w:ascii="Calibri" w:eastAsia="Calibri" w:hAnsi="Calibri" w:cs="Calibri"/>
          <w:noProof/>
          <w:sz w:val="22"/>
          <w:szCs w:val="22"/>
          <w:lang w:val="en-GB"/>
        </w:rPr>
        <w:t xml:space="preserve"> and the development of a talent pool.</w:t>
      </w:r>
    </w:p>
    <w:p w14:paraId="2FB79E3A" w14:textId="0ECF38D7" w:rsidR="00765C33" w:rsidRPr="001B4AEC" w:rsidRDefault="0089761A" w:rsidP="004004E3">
      <w:pPr>
        <w:spacing w:before="160" w:after="160" w:line="276" w:lineRule="auto"/>
        <w:jc w:val="both"/>
        <w:rPr>
          <w:rFonts w:ascii="Calibri" w:hAnsi="Calibri" w:cs="Calibri"/>
          <w:sz w:val="22"/>
          <w:szCs w:val="22"/>
          <w:lang w:val="en-GB"/>
        </w:rPr>
      </w:pPr>
      <w:r w:rsidRPr="001B4AEC">
        <w:rPr>
          <w:rFonts w:ascii="Calibri" w:hAnsi="Calibri" w:cs="Calibri"/>
          <w:sz w:val="22"/>
          <w:szCs w:val="22"/>
          <w:lang w:val="en-GB"/>
        </w:rPr>
        <w:t>Numerous state administration bodies are facing challenges in attracting personnel, not only due to demographic shifts, labour market changes and lengthy, complex and inconsistent selection procedures, but also because of the perception of the state administration as a rigid, formal and bureaucratic organisation, particularly among younger people, which makes it an unattractive employer. The state administration does not sufficiently promote the values, organisational culture and advantages it embodies or represents as an employer.</w:t>
      </w:r>
    </w:p>
    <w:p w14:paraId="3E6E0AA8" w14:textId="1605B73F" w:rsidR="00D4503E" w:rsidRPr="001B4AEC" w:rsidRDefault="00104F14" w:rsidP="004004E3">
      <w:pPr>
        <w:spacing w:before="160" w:after="160" w:line="276" w:lineRule="auto"/>
        <w:jc w:val="both"/>
        <w:rPr>
          <w:rFonts w:ascii="Calibri" w:hAnsi="Calibri" w:cs="Calibri"/>
          <w:noProof/>
          <w:sz w:val="22"/>
          <w:szCs w:val="22"/>
          <w:lang w:val="en-GB"/>
        </w:rPr>
      </w:pPr>
      <w:r w:rsidRPr="001B4AEC">
        <w:rPr>
          <w:rFonts w:ascii="Calibri" w:hAnsi="Calibri" w:cs="Calibri"/>
          <w:sz w:val="22"/>
          <w:szCs w:val="22"/>
          <w:lang w:val="en-GB"/>
        </w:rPr>
        <w:t>The declining trend in applications for job vacancy announcements is evident in both managerial positions</w:t>
      </w:r>
      <w:r w:rsidRPr="001B4AEC">
        <w:rPr>
          <w:rStyle w:val="Sprotnaopomba-sklic"/>
          <w:rFonts w:ascii="Calibri" w:hAnsi="Calibri" w:cs="Calibri"/>
          <w:sz w:val="22"/>
          <w:szCs w:val="22"/>
          <w:lang w:val="en-GB"/>
        </w:rPr>
        <w:footnoteReference w:id="4"/>
      </w:r>
      <w:r w:rsidRPr="001B4AEC">
        <w:rPr>
          <w:rFonts w:ascii="Calibri" w:hAnsi="Calibri" w:cs="Calibri"/>
          <w:sz w:val="22"/>
          <w:szCs w:val="22"/>
          <w:lang w:val="en-GB"/>
        </w:rPr>
        <w:t xml:space="preserve"> and internship opportunities.</w:t>
      </w:r>
      <w:r w:rsidRPr="001B4AEC">
        <w:rPr>
          <w:rStyle w:val="Sprotnaopomba-sklic"/>
          <w:rFonts w:ascii="Calibri" w:hAnsi="Calibri" w:cs="Calibri"/>
          <w:sz w:val="22"/>
          <w:szCs w:val="22"/>
          <w:lang w:val="en-GB"/>
        </w:rPr>
        <w:footnoteReference w:id="5"/>
      </w:r>
      <w:r w:rsidRPr="001B4AEC">
        <w:rPr>
          <w:rFonts w:ascii="Calibri" w:hAnsi="Calibri" w:cs="Calibri"/>
          <w:sz w:val="22"/>
          <w:szCs w:val="22"/>
          <w:lang w:val="en-GB"/>
        </w:rPr>
        <w:t xml:space="preserve"> D</w:t>
      </w:r>
      <w:r w:rsidRPr="001B4AEC">
        <w:rPr>
          <w:rFonts w:ascii="Calibri" w:hAnsi="Calibri" w:cs="Calibri"/>
          <w:noProof/>
          <w:sz w:val="22"/>
          <w:szCs w:val="22"/>
          <w:lang w:val="en-GB"/>
        </w:rPr>
        <w:t>ata from Chart 1 show that each year, several internship positions within the state administration are published. However, the number of applications for these positions is declining.</w:t>
      </w:r>
    </w:p>
    <w:p w14:paraId="3E2C2A92" w14:textId="3A2AE5D3" w:rsidR="002C4D52" w:rsidRPr="001B4AEC" w:rsidRDefault="002C4D52" w:rsidP="004004E3">
      <w:pPr>
        <w:spacing w:before="160" w:after="160" w:line="276" w:lineRule="auto"/>
        <w:jc w:val="both"/>
        <w:rPr>
          <w:rFonts w:ascii="Calibri" w:hAnsi="Calibri" w:cs="Calibri"/>
          <w:noProof/>
          <w:sz w:val="22"/>
          <w:szCs w:val="22"/>
          <w:lang w:val="en-GB"/>
        </w:rPr>
      </w:pPr>
      <w:r w:rsidRPr="001B4AEC">
        <w:rPr>
          <w:rFonts w:ascii="Calibri" w:hAnsi="Calibri" w:cs="Calibri"/>
          <w:noProof/>
          <w:sz w:val="22"/>
          <w:szCs w:val="22"/>
          <w:lang w:val="en-GB"/>
        </w:rPr>
        <w:br w:type="page"/>
      </w:r>
    </w:p>
    <w:p w14:paraId="749DC118" w14:textId="46DCD8A8" w:rsidR="005C5EF7" w:rsidRDefault="00BA3FE3" w:rsidP="004004E3">
      <w:pPr>
        <w:spacing w:before="160" w:after="160" w:line="276" w:lineRule="auto"/>
        <w:jc w:val="both"/>
        <w:rPr>
          <w:rFonts w:ascii="Calibri" w:hAnsi="Calibri" w:cs="Calibri"/>
          <w:noProof/>
          <w:sz w:val="22"/>
          <w:szCs w:val="22"/>
          <w:lang w:val="en-GB"/>
        </w:rPr>
      </w:pPr>
      <w:r w:rsidRPr="001B4AEC">
        <w:rPr>
          <w:rFonts w:ascii="Calibri" w:hAnsi="Calibri" w:cs="Calibri"/>
          <w:noProof/>
          <w:sz w:val="22"/>
          <w:szCs w:val="22"/>
          <w:lang w:val="en-GB"/>
        </w:rPr>
        <w:lastRenderedPageBreak/>
        <w:t>Chart 1: Number of published vacant internship positions within the state administration and the average number of applications</w:t>
      </w:r>
    </w:p>
    <w:p w14:paraId="6AC54BA3" w14:textId="2DF3A201" w:rsidR="005C5EF7" w:rsidRPr="001B4AEC" w:rsidRDefault="005C5EF7" w:rsidP="004004E3">
      <w:pPr>
        <w:spacing w:before="160" w:after="160" w:line="276" w:lineRule="auto"/>
        <w:jc w:val="both"/>
        <w:rPr>
          <w:rFonts w:ascii="Calibri" w:hAnsi="Calibri" w:cs="Calibri"/>
          <w:noProof/>
          <w:sz w:val="22"/>
          <w:szCs w:val="22"/>
          <w:lang w:val="en-GB"/>
        </w:rPr>
      </w:pPr>
      <w:r>
        <w:rPr>
          <w:noProof/>
        </w:rPr>
        <w:drawing>
          <wp:inline distT="0" distB="0" distL="0" distR="0" wp14:anchorId="769AC884" wp14:editId="554E2815">
            <wp:extent cx="5748793" cy="3498215"/>
            <wp:effectExtent l="0" t="0" r="4445" b="6985"/>
            <wp:docPr id="715739043" name="Grafikon 1" descr="Number of published vacant internship positions within the state administration and the average number of applications">
              <a:extLst xmlns:a="http://schemas.openxmlformats.org/drawingml/2006/main">
                <a:ext uri="{FF2B5EF4-FFF2-40B4-BE49-F238E27FC236}">
                  <a16:creationId xmlns:a16="http://schemas.microsoft.com/office/drawing/2014/main" id="{12658B5A-0013-41A9-B1AD-9C6ED0F843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4BDBCE" w14:textId="77777777" w:rsidR="00163578" w:rsidRPr="001B4AEC" w:rsidRDefault="00C04CC7" w:rsidP="004004E3">
      <w:pPr>
        <w:pStyle w:val="Odstavekseznama"/>
        <w:spacing w:before="160" w:after="160" w:line="276" w:lineRule="auto"/>
        <w:ind w:left="0"/>
        <w:jc w:val="both"/>
        <w:rPr>
          <w:rFonts w:ascii="Calibri" w:hAnsi="Calibri" w:cs="Calibri"/>
          <w:sz w:val="22"/>
          <w:szCs w:val="22"/>
          <w:lang w:val="en-GB"/>
        </w:rPr>
      </w:pPr>
      <w:r w:rsidRPr="001B4AEC">
        <w:rPr>
          <w:rFonts w:ascii="Calibri" w:hAnsi="Calibri" w:cs="Calibri"/>
          <w:sz w:val="22"/>
          <w:szCs w:val="22"/>
          <w:lang w:val="en-GB"/>
        </w:rPr>
        <w:t>Source: Ministry of Public Administration, Trainees analysis, 2022</w:t>
      </w:r>
    </w:p>
    <w:p w14:paraId="3A21A411" w14:textId="4AD98686" w:rsidR="00422C36" w:rsidRPr="001B4AEC" w:rsidRDefault="00B155A3" w:rsidP="004004E3">
      <w:pPr>
        <w:spacing w:before="160" w:after="160" w:line="276" w:lineRule="auto"/>
        <w:jc w:val="both"/>
        <w:rPr>
          <w:rFonts w:ascii="Calibri" w:hAnsi="Calibri" w:cs="Calibri"/>
          <w:sz w:val="22"/>
          <w:szCs w:val="22"/>
          <w:lang w:val="en-GB"/>
        </w:rPr>
      </w:pPr>
      <w:r w:rsidRPr="001B4AEC">
        <w:rPr>
          <w:rFonts w:ascii="Calibri" w:hAnsi="Calibri" w:cs="Calibri"/>
          <w:noProof/>
          <w:sz w:val="22"/>
          <w:szCs w:val="22"/>
          <w:lang w:val="en-GB"/>
        </w:rPr>
        <w:t xml:space="preserve">Based on its analysis, the Ministry of Public Administration concludes that in 2022 there were still an average of </w:t>
      </w:r>
      <w:r w:rsidRPr="001B4AEC">
        <w:rPr>
          <w:rFonts w:ascii="Calibri" w:hAnsi="Calibri" w:cs="Calibri"/>
          <w:sz w:val="22"/>
          <w:szCs w:val="22"/>
          <w:lang w:val="en-GB"/>
        </w:rPr>
        <w:t>12.5 applications per published internship position and that between 70% and 80% of published job vacancies were successfully filled.</w:t>
      </w:r>
      <w:r w:rsidRPr="001B4AEC">
        <w:rPr>
          <w:rStyle w:val="Sprotnaopomba-sklic"/>
          <w:rFonts w:ascii="Calibri" w:hAnsi="Calibri" w:cs="Calibri"/>
          <w:sz w:val="22"/>
          <w:szCs w:val="22"/>
          <w:lang w:val="en-GB"/>
        </w:rPr>
        <w:footnoteReference w:id="6"/>
      </w:r>
      <w:r w:rsidRPr="001B4AEC">
        <w:rPr>
          <w:rFonts w:ascii="Calibri" w:hAnsi="Calibri" w:cs="Calibri"/>
          <w:sz w:val="22"/>
          <w:szCs w:val="22"/>
          <w:lang w:val="en-GB"/>
        </w:rPr>
        <w:t xml:space="preserve"> Notwithstanding the above, the </w:t>
      </w:r>
      <w:r w:rsidRPr="001B4AEC">
        <w:rPr>
          <w:rFonts w:ascii="Calibri" w:hAnsi="Calibri" w:cs="Calibri"/>
          <w:noProof/>
          <w:sz w:val="22"/>
          <w:szCs w:val="22"/>
          <w:lang w:val="en-GB"/>
        </w:rPr>
        <w:t xml:space="preserve">downward trend in applications must to be addressed through measures presented in the Strategy. </w:t>
      </w:r>
    </w:p>
    <w:p w14:paraId="48A83272" w14:textId="51574BA8" w:rsidR="00645F6F" w:rsidRPr="001B4AEC" w:rsidRDefault="00422C36" w:rsidP="004004E3">
      <w:pPr>
        <w:spacing w:before="160" w:after="160" w:line="276" w:lineRule="auto"/>
        <w:jc w:val="both"/>
        <w:rPr>
          <w:rFonts w:asciiTheme="minorHAnsi" w:hAnsiTheme="minorHAnsi" w:cstheme="minorHAnsi"/>
          <w:sz w:val="22"/>
          <w:szCs w:val="22"/>
          <w:lang w:val="en-GB"/>
        </w:rPr>
      </w:pPr>
      <w:r w:rsidRPr="001B4AEC">
        <w:rPr>
          <w:rFonts w:ascii="Calibri" w:hAnsi="Calibri" w:cs="Calibri"/>
          <w:sz w:val="22"/>
          <w:szCs w:val="22"/>
          <w:lang w:val="en-GB"/>
        </w:rPr>
        <w:t>Among the key social changes today are demographic shifts, reflected on the one hand in declining birth rates and on the other in an ageing population. Employment is closely linked to shifts in the demographic structure of the population. This will be one of the key factors in the future and will need to be taken into account in determining the scope and structure of public sector employment. The risk is even more pronounced in the state administration, as one of the recruitment requirements for official posts is Slovenian citizenship. This means that, unlike in other parts of the public sector, these positions cannot be filled by foreign labour</w:t>
      </w:r>
      <w:r w:rsidR="009D10F7">
        <w:rPr>
          <w:rFonts w:ascii="Calibri" w:hAnsi="Calibri" w:cs="Calibri"/>
          <w:sz w:val="22"/>
          <w:szCs w:val="22"/>
          <w:lang w:val="en-GB"/>
        </w:rPr>
        <w:t xml:space="preserve"> force</w:t>
      </w:r>
      <w:r w:rsidRPr="001B4AEC">
        <w:rPr>
          <w:rFonts w:ascii="Calibri" w:hAnsi="Calibri" w:cs="Calibri"/>
          <w:sz w:val="22"/>
          <w:szCs w:val="22"/>
          <w:lang w:val="en-GB"/>
        </w:rPr>
        <w:t xml:space="preserve">. </w:t>
      </w:r>
    </w:p>
    <w:p w14:paraId="3B5A21FA" w14:textId="77777777" w:rsidR="00011573" w:rsidRPr="001B4AEC" w:rsidRDefault="00011573" w:rsidP="004004E3">
      <w:pPr>
        <w:spacing w:before="160" w:after="160" w:line="276" w:lineRule="auto"/>
        <w:jc w:val="both"/>
        <w:rPr>
          <w:rFonts w:ascii="Calibri" w:hAnsi="Calibri" w:cs="Calibri"/>
          <w:sz w:val="22"/>
          <w:szCs w:val="22"/>
          <w:lang w:val="en-GB"/>
        </w:rPr>
      </w:pPr>
    </w:p>
    <w:p w14:paraId="36E14467" w14:textId="77777777" w:rsidR="00011573" w:rsidRPr="001B4AEC" w:rsidRDefault="00011573" w:rsidP="004004E3">
      <w:pPr>
        <w:spacing w:before="160" w:after="160" w:line="276" w:lineRule="auto"/>
        <w:jc w:val="both"/>
        <w:rPr>
          <w:rFonts w:ascii="Calibri" w:hAnsi="Calibri" w:cs="Calibri"/>
          <w:sz w:val="22"/>
          <w:szCs w:val="22"/>
          <w:lang w:val="en-GB"/>
        </w:rPr>
      </w:pPr>
    </w:p>
    <w:p w14:paraId="4AB86DF7" w14:textId="77777777" w:rsidR="00011573" w:rsidRPr="001B4AEC" w:rsidRDefault="00011573" w:rsidP="004004E3">
      <w:pPr>
        <w:spacing w:before="160" w:after="160" w:line="276" w:lineRule="auto"/>
        <w:jc w:val="both"/>
        <w:rPr>
          <w:rFonts w:ascii="Calibri" w:hAnsi="Calibri" w:cs="Calibri"/>
          <w:sz w:val="22"/>
          <w:szCs w:val="22"/>
          <w:lang w:val="en-GB"/>
        </w:rPr>
      </w:pPr>
    </w:p>
    <w:p w14:paraId="0A1807EC" w14:textId="77777777" w:rsidR="00011573" w:rsidRPr="001B4AEC" w:rsidRDefault="00011573" w:rsidP="004004E3">
      <w:pPr>
        <w:spacing w:before="160" w:after="160" w:line="276" w:lineRule="auto"/>
        <w:jc w:val="both"/>
        <w:rPr>
          <w:rFonts w:ascii="Calibri" w:hAnsi="Calibri" w:cs="Calibri"/>
          <w:sz w:val="22"/>
          <w:szCs w:val="22"/>
          <w:lang w:val="en-GB"/>
        </w:rPr>
      </w:pPr>
    </w:p>
    <w:p w14:paraId="7F47EA3C" w14:textId="77777777" w:rsidR="00011573" w:rsidRPr="001B4AEC" w:rsidRDefault="00011573" w:rsidP="004004E3">
      <w:pPr>
        <w:spacing w:before="160" w:after="160" w:line="276" w:lineRule="auto"/>
        <w:jc w:val="both"/>
        <w:rPr>
          <w:rFonts w:ascii="Calibri" w:hAnsi="Calibri" w:cs="Calibri"/>
          <w:sz w:val="22"/>
          <w:szCs w:val="22"/>
          <w:lang w:val="en-GB"/>
        </w:rPr>
      </w:pPr>
    </w:p>
    <w:p w14:paraId="5535B7E1" w14:textId="77777777" w:rsidR="00011573" w:rsidRPr="001B4AEC" w:rsidRDefault="00011573" w:rsidP="004004E3">
      <w:pPr>
        <w:spacing w:before="160" w:after="160" w:line="276" w:lineRule="auto"/>
        <w:jc w:val="both"/>
        <w:rPr>
          <w:rFonts w:ascii="Calibri" w:hAnsi="Calibri" w:cs="Calibri"/>
          <w:sz w:val="22"/>
          <w:szCs w:val="22"/>
          <w:lang w:val="en-GB"/>
        </w:rPr>
      </w:pPr>
    </w:p>
    <w:p w14:paraId="00CC4E0C" w14:textId="77777777" w:rsidR="00011573" w:rsidRPr="001B4AEC" w:rsidRDefault="00011573" w:rsidP="004004E3">
      <w:pPr>
        <w:spacing w:before="160" w:after="160" w:line="276" w:lineRule="auto"/>
        <w:jc w:val="both"/>
        <w:rPr>
          <w:rFonts w:ascii="Calibri" w:hAnsi="Calibri" w:cs="Calibri"/>
          <w:sz w:val="22"/>
          <w:szCs w:val="22"/>
          <w:lang w:val="en-GB"/>
        </w:rPr>
      </w:pPr>
    </w:p>
    <w:p w14:paraId="5984CCB9" w14:textId="51F8AD39" w:rsidR="00947DC1" w:rsidRDefault="008075EE" w:rsidP="004004E3">
      <w:pPr>
        <w:spacing w:before="160" w:after="160" w:line="276" w:lineRule="auto"/>
        <w:jc w:val="both"/>
        <w:rPr>
          <w:rFonts w:cs="Calibri"/>
          <w:sz w:val="22"/>
          <w:szCs w:val="22"/>
          <w:lang w:val="en-GB"/>
        </w:rPr>
      </w:pPr>
      <w:r w:rsidRPr="001B4AEC">
        <w:rPr>
          <w:rFonts w:ascii="Calibri" w:hAnsi="Calibri" w:cs="Calibri"/>
          <w:sz w:val="22"/>
          <w:szCs w:val="22"/>
          <w:lang w:val="en-GB"/>
        </w:rPr>
        <w:t xml:space="preserve">Chart 2: Projection of demographic </w:t>
      </w:r>
      <w:r w:rsidR="00E86563">
        <w:rPr>
          <w:rFonts w:ascii="Calibri" w:hAnsi="Calibri" w:cs="Calibri"/>
          <w:sz w:val="22"/>
          <w:szCs w:val="22"/>
          <w:lang w:val="en-GB"/>
        </w:rPr>
        <w:t>trends</w:t>
      </w:r>
      <w:r w:rsidRPr="001B4AEC">
        <w:rPr>
          <w:rFonts w:ascii="Calibri" w:hAnsi="Calibri" w:cs="Calibri"/>
          <w:sz w:val="22"/>
          <w:szCs w:val="22"/>
          <w:lang w:val="en-GB"/>
        </w:rPr>
        <w:t xml:space="preserve"> in Slovenia by age group</w:t>
      </w:r>
      <w:r w:rsidRPr="001B4AEC">
        <w:rPr>
          <w:rFonts w:cs="Calibri"/>
          <w:sz w:val="22"/>
          <w:szCs w:val="22"/>
          <w:lang w:val="en-GB"/>
        </w:rPr>
        <w:t xml:space="preserve"> </w:t>
      </w:r>
    </w:p>
    <w:p w14:paraId="66DF0E88" w14:textId="163D58BE" w:rsidR="00E86563" w:rsidRPr="001B4AEC" w:rsidRDefault="00E86563" w:rsidP="00E86563">
      <w:pPr>
        <w:spacing w:before="160" w:after="160" w:line="276" w:lineRule="auto"/>
        <w:jc w:val="center"/>
        <w:rPr>
          <w:rFonts w:ascii="Calibri" w:hAnsi="Calibri" w:cs="Calibri"/>
          <w:sz w:val="22"/>
          <w:szCs w:val="22"/>
          <w:lang w:val="en-GB"/>
        </w:rPr>
      </w:pPr>
      <w:r>
        <w:rPr>
          <w:noProof/>
        </w:rPr>
        <w:drawing>
          <wp:inline distT="0" distB="0" distL="0" distR="0" wp14:anchorId="4A8222A0" wp14:editId="6858C4A1">
            <wp:extent cx="4572000" cy="2743200"/>
            <wp:effectExtent l="0" t="0" r="0" b="0"/>
            <wp:docPr id="1970292273" name="Grafikon 1" descr="Projection of demographic trends in Slovenia by age group ">
              <a:extLst xmlns:a="http://schemas.openxmlformats.org/drawingml/2006/main">
                <a:ext uri="{FF2B5EF4-FFF2-40B4-BE49-F238E27FC236}">
                  <a16:creationId xmlns:a16="http://schemas.microsoft.com/office/drawing/2014/main" id="{B6C0FD31-E2F4-B61E-7650-A2A3FF0B0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8F7042" w14:textId="4CF0D240" w:rsidR="00947DC1" w:rsidRPr="001B4AEC" w:rsidRDefault="00A15789" w:rsidP="00A15789">
      <w:pPr>
        <w:tabs>
          <w:tab w:val="left" w:pos="993"/>
        </w:tabs>
        <w:spacing w:before="160" w:after="160" w:line="276" w:lineRule="auto"/>
        <w:rPr>
          <w:rFonts w:ascii="Calibri" w:hAnsi="Calibri" w:cs="Calibri"/>
          <w:sz w:val="22"/>
          <w:szCs w:val="22"/>
          <w:lang w:val="en-GB"/>
        </w:rPr>
      </w:pPr>
      <w:r w:rsidRPr="001B4AEC">
        <w:rPr>
          <w:rFonts w:ascii="Calibri" w:hAnsi="Calibri" w:cs="Calibri"/>
          <w:sz w:val="22"/>
          <w:szCs w:val="22"/>
          <w:lang w:val="en-GB"/>
        </w:rPr>
        <w:t>Source: Eurostat, EUROPOP2023, baseline projection</w:t>
      </w:r>
    </w:p>
    <w:p w14:paraId="6B05E80C" w14:textId="2D3ECF82" w:rsidR="00AC49DF" w:rsidRPr="001B4AEC" w:rsidRDefault="00B64FA8" w:rsidP="004004E3">
      <w:pPr>
        <w:pStyle w:val="Sprotnaopomba-besedilo"/>
        <w:spacing w:before="160" w:after="160" w:line="276" w:lineRule="auto"/>
        <w:jc w:val="both"/>
        <w:rPr>
          <w:rFonts w:ascii="Calibri" w:hAnsi="Calibri" w:cs="Calibri"/>
          <w:noProof/>
          <w:sz w:val="22"/>
          <w:szCs w:val="22"/>
          <w:lang w:val="en-GB"/>
        </w:rPr>
      </w:pPr>
      <w:r w:rsidRPr="001B4AEC">
        <w:rPr>
          <w:rFonts w:ascii="Calibri" w:hAnsi="Calibri"/>
          <w:kern w:val="0"/>
          <w:sz w:val="22"/>
          <w:szCs w:val="22"/>
          <w:lang w:val="en-GB"/>
        </w:rPr>
        <w:t xml:space="preserve">The ageing of the overall population also affects the age structure of public employees and consequently results in </w:t>
      </w:r>
      <w:r w:rsidRPr="001B4AEC">
        <w:rPr>
          <w:rFonts w:ascii="Calibri" w:hAnsi="Calibri"/>
          <w:noProof/>
          <w:sz w:val="22"/>
          <w:szCs w:val="22"/>
          <w:lang w:val="en-GB"/>
        </w:rPr>
        <w:t xml:space="preserve">longer lengths of service. </w:t>
      </w:r>
      <w:r w:rsidRPr="001B4AEC">
        <w:rPr>
          <w:rFonts w:ascii="Calibri" w:hAnsi="Calibri"/>
          <w:kern w:val="0"/>
          <w:sz w:val="22"/>
          <w:szCs w:val="22"/>
          <w:lang w:val="en-GB"/>
        </w:rPr>
        <w:t xml:space="preserve">The issue of population ageing affects all Member States of the European Union. </w:t>
      </w:r>
      <w:r w:rsidRPr="001B4AEC">
        <w:rPr>
          <w:rFonts w:asciiTheme="minorHAnsi" w:hAnsiTheme="minorHAnsi"/>
          <w:sz w:val="22"/>
          <w:szCs w:val="22"/>
          <w:lang w:val="en-GB"/>
        </w:rPr>
        <w:t>On 31 December 2023, the average age of state administration personnel was 46.8 years</w:t>
      </w:r>
      <w:r w:rsidRPr="001B4AEC">
        <w:rPr>
          <w:rFonts w:asciiTheme="minorHAnsi" w:hAnsiTheme="minorHAnsi"/>
          <w:noProof/>
          <w:sz w:val="22"/>
          <w:szCs w:val="22"/>
          <w:lang w:val="en-GB"/>
        </w:rPr>
        <w:t>, placing Slovenia's state administration among the "older" state or public administrations, according to European Public Administration Administration Network (EUPAN).</w:t>
      </w:r>
      <w:r w:rsidRPr="001B4AEC">
        <w:rPr>
          <w:rStyle w:val="Sprotnaopomba-sklic"/>
          <w:rFonts w:asciiTheme="minorHAnsi" w:hAnsiTheme="minorHAnsi" w:cstheme="minorHAnsi"/>
          <w:noProof/>
          <w:sz w:val="22"/>
          <w:szCs w:val="22"/>
          <w:lang w:val="en-GB"/>
        </w:rPr>
        <w:footnoteReference w:id="7"/>
      </w:r>
      <w:r w:rsidRPr="001B4AEC">
        <w:rPr>
          <w:rFonts w:asciiTheme="minorHAnsi" w:hAnsiTheme="minorHAnsi"/>
          <w:noProof/>
          <w:sz w:val="22"/>
          <w:szCs w:val="22"/>
          <w:lang w:val="en-GB"/>
        </w:rPr>
        <w:t xml:space="preserve"> </w:t>
      </w:r>
      <w:r w:rsidRPr="001B4AEC">
        <w:rPr>
          <w:rFonts w:ascii="Calibri" w:hAnsi="Calibri"/>
          <w:kern w:val="0"/>
          <w:sz w:val="22"/>
          <w:szCs w:val="22"/>
          <w:lang w:val="en-GB"/>
        </w:rPr>
        <w:t>On average, state administrations in the EU employ significantly more employees aged over 55 years compared to general labour market. Every fourth employee in EU state administration is over 55 years old.</w:t>
      </w:r>
      <w:r w:rsidRPr="001B4AEC">
        <w:rPr>
          <w:rStyle w:val="Sprotnaopomba-sklic"/>
          <w:rFonts w:ascii="Calibri" w:hAnsi="Calibri" w:cs="Calibri"/>
          <w:kern w:val="0"/>
          <w:sz w:val="22"/>
          <w:szCs w:val="22"/>
          <w:lang w:val="en-GB"/>
        </w:rPr>
        <w:footnoteReference w:id="8"/>
      </w:r>
      <w:r w:rsidRPr="001B4AEC">
        <w:rPr>
          <w:rFonts w:ascii="Calibri" w:hAnsi="Calibri"/>
          <w:kern w:val="0"/>
          <w:sz w:val="22"/>
          <w:szCs w:val="22"/>
          <w:lang w:val="en-GB"/>
        </w:rPr>
        <w:t xml:space="preserve"> </w:t>
      </w:r>
      <w:r w:rsidRPr="001B4AEC">
        <w:rPr>
          <w:rFonts w:ascii="Calibri" w:hAnsi="Calibri"/>
          <w:sz w:val="22"/>
          <w:szCs w:val="22"/>
          <w:lang w:val="en-GB"/>
        </w:rPr>
        <w:t xml:space="preserve">The ageing of the labour force is also a notable trend in Slovenia's state administration. It is evident from Chart 3 that the share of employees aged over 55 has been increasing and nearly doubled between 2010 and 2020. Meanwhile, the share of employees younger than 35 has declined sharply, amounting to only 8% in 2020 – well below the OECD average of 19%. </w:t>
      </w:r>
    </w:p>
    <w:p w14:paraId="5CA417B5" w14:textId="77777777" w:rsidR="00765C33" w:rsidRPr="001B4AEC" w:rsidRDefault="00765C33" w:rsidP="004004E3">
      <w:pPr>
        <w:pStyle w:val="Sprotnaopomba-besedilo"/>
        <w:spacing w:before="160" w:after="160" w:line="276" w:lineRule="auto"/>
        <w:rPr>
          <w:rFonts w:ascii="Calibri" w:hAnsi="Calibri" w:cs="Calibri"/>
          <w:kern w:val="0"/>
          <w:sz w:val="22"/>
          <w:szCs w:val="22"/>
          <w:lang w:val="en-GB"/>
        </w:rPr>
      </w:pPr>
    </w:p>
    <w:p w14:paraId="1F3CDC03" w14:textId="77777777" w:rsidR="004829A7" w:rsidRDefault="004829A7" w:rsidP="004004E3">
      <w:pPr>
        <w:pStyle w:val="Sprotnaopomba-besedilo"/>
        <w:spacing w:before="160" w:after="160" w:line="276" w:lineRule="auto"/>
        <w:rPr>
          <w:rFonts w:ascii="Calibri" w:hAnsi="Calibri" w:cs="Calibri"/>
          <w:kern w:val="0"/>
          <w:sz w:val="22"/>
          <w:szCs w:val="22"/>
          <w:lang w:val="en-GB"/>
        </w:rPr>
      </w:pPr>
    </w:p>
    <w:p w14:paraId="7CA80C00" w14:textId="77777777" w:rsidR="004829A7" w:rsidRDefault="004829A7" w:rsidP="004004E3">
      <w:pPr>
        <w:pStyle w:val="Sprotnaopomba-besedilo"/>
        <w:spacing w:before="160" w:after="160" w:line="276" w:lineRule="auto"/>
        <w:rPr>
          <w:rFonts w:ascii="Calibri" w:hAnsi="Calibri" w:cs="Calibri"/>
          <w:kern w:val="0"/>
          <w:sz w:val="22"/>
          <w:szCs w:val="22"/>
          <w:lang w:val="en-GB"/>
        </w:rPr>
      </w:pPr>
    </w:p>
    <w:p w14:paraId="3E25B078" w14:textId="77777777" w:rsidR="004829A7" w:rsidRDefault="004829A7" w:rsidP="004004E3">
      <w:pPr>
        <w:pStyle w:val="Sprotnaopomba-besedilo"/>
        <w:spacing w:before="160" w:after="160" w:line="276" w:lineRule="auto"/>
        <w:rPr>
          <w:rFonts w:ascii="Calibri" w:hAnsi="Calibri" w:cs="Calibri"/>
          <w:kern w:val="0"/>
          <w:sz w:val="22"/>
          <w:szCs w:val="22"/>
          <w:lang w:val="en-GB"/>
        </w:rPr>
      </w:pPr>
    </w:p>
    <w:p w14:paraId="78EE940D" w14:textId="77777777" w:rsidR="004829A7" w:rsidRDefault="004829A7" w:rsidP="004004E3">
      <w:pPr>
        <w:pStyle w:val="Sprotnaopomba-besedilo"/>
        <w:spacing w:before="160" w:after="160" w:line="276" w:lineRule="auto"/>
        <w:rPr>
          <w:rFonts w:ascii="Calibri" w:hAnsi="Calibri" w:cs="Calibri"/>
          <w:kern w:val="0"/>
          <w:sz w:val="22"/>
          <w:szCs w:val="22"/>
          <w:lang w:val="en-GB"/>
        </w:rPr>
      </w:pPr>
    </w:p>
    <w:p w14:paraId="29A4D955" w14:textId="77777777" w:rsidR="004829A7" w:rsidRDefault="004829A7" w:rsidP="004004E3">
      <w:pPr>
        <w:pStyle w:val="Sprotnaopomba-besedilo"/>
        <w:spacing w:before="160" w:after="160" w:line="276" w:lineRule="auto"/>
        <w:rPr>
          <w:rFonts w:ascii="Calibri" w:hAnsi="Calibri" w:cs="Calibri"/>
          <w:kern w:val="0"/>
          <w:sz w:val="22"/>
          <w:szCs w:val="22"/>
          <w:lang w:val="en-GB"/>
        </w:rPr>
      </w:pPr>
    </w:p>
    <w:p w14:paraId="145A6DA5" w14:textId="77777777" w:rsidR="004829A7" w:rsidRDefault="004829A7" w:rsidP="004004E3">
      <w:pPr>
        <w:pStyle w:val="Sprotnaopomba-besedilo"/>
        <w:spacing w:before="160" w:after="160" w:line="276" w:lineRule="auto"/>
        <w:rPr>
          <w:rFonts w:ascii="Calibri" w:hAnsi="Calibri" w:cs="Calibri"/>
          <w:kern w:val="0"/>
          <w:sz w:val="22"/>
          <w:szCs w:val="22"/>
          <w:lang w:val="en-GB"/>
        </w:rPr>
      </w:pPr>
    </w:p>
    <w:p w14:paraId="24EF4BBB" w14:textId="5A373E35" w:rsidR="00011573" w:rsidRDefault="001E1F23" w:rsidP="004829A7">
      <w:pPr>
        <w:pStyle w:val="Sprotnaopomba-besedilo"/>
        <w:spacing w:before="160" w:after="160" w:line="276" w:lineRule="auto"/>
        <w:jc w:val="center"/>
        <w:rPr>
          <w:rFonts w:ascii="Calibri" w:hAnsi="Calibri" w:cs="Calibri"/>
          <w:kern w:val="0"/>
          <w:sz w:val="22"/>
          <w:szCs w:val="22"/>
          <w:lang w:val="en-GB"/>
        </w:rPr>
      </w:pPr>
      <w:r w:rsidRPr="001B4AEC">
        <w:rPr>
          <w:rFonts w:ascii="Calibri" w:hAnsi="Calibri" w:cs="Calibri"/>
          <w:kern w:val="0"/>
          <w:sz w:val="22"/>
          <w:szCs w:val="22"/>
          <w:lang w:val="en-GB"/>
        </w:rPr>
        <w:lastRenderedPageBreak/>
        <w:t>Chart 3: Changes in the age structure of state administration employees in Slovenia</w:t>
      </w:r>
      <w:r w:rsidRPr="001B4AEC">
        <w:rPr>
          <w:rStyle w:val="Sprotnaopomba-sklic"/>
          <w:rFonts w:ascii="Calibri" w:hAnsi="Calibri" w:cs="Calibri"/>
          <w:kern w:val="0"/>
          <w:sz w:val="22"/>
          <w:szCs w:val="22"/>
          <w:lang w:val="en-GB"/>
        </w:rPr>
        <w:footnoteReference w:id="9"/>
      </w:r>
    </w:p>
    <w:p w14:paraId="6E86420D" w14:textId="77777777" w:rsidR="009E0546" w:rsidRDefault="004829A7" w:rsidP="009E0546">
      <w:pPr>
        <w:pStyle w:val="Sprotnaopomba-besedilo"/>
        <w:spacing w:before="160" w:after="160" w:line="276" w:lineRule="auto"/>
        <w:rPr>
          <w:rFonts w:ascii="Calibri" w:hAnsi="Calibri" w:cs="Calibri"/>
          <w:sz w:val="22"/>
          <w:lang w:val="en-GB"/>
        </w:rPr>
      </w:pPr>
      <w:r>
        <w:rPr>
          <w:noProof/>
          <w:color w:val="000000" w:themeColor="text1"/>
          <w:sz w:val="20"/>
          <w:lang w:eastAsia="en-GB"/>
        </w:rPr>
        <w:drawing>
          <wp:inline distT="0" distB="0" distL="0" distR="0" wp14:anchorId="2FF07532" wp14:editId="5227334F">
            <wp:extent cx="5760720" cy="2169791"/>
            <wp:effectExtent l="0" t="0" r="0" b="2540"/>
            <wp:docPr id="9" name="Picture 9" descr="Changes in the age structure of state administration employees in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nges in the age structure of state administration employees in Sloven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169791"/>
                    </a:xfrm>
                    <a:prstGeom prst="rect">
                      <a:avLst/>
                    </a:prstGeom>
                    <a:noFill/>
                  </pic:spPr>
                </pic:pic>
              </a:graphicData>
            </a:graphic>
          </wp:inline>
        </w:drawing>
      </w:r>
    </w:p>
    <w:p w14:paraId="487686EF" w14:textId="600697E1" w:rsidR="009E0546" w:rsidRDefault="009E0546" w:rsidP="009E0546">
      <w:pPr>
        <w:pStyle w:val="Sprotnaopomba-besedilo"/>
        <w:spacing w:before="160" w:after="160" w:line="276" w:lineRule="auto"/>
        <w:rPr>
          <w:rFonts w:ascii="Calibri" w:hAnsi="Calibri" w:cs="Calibri"/>
          <w:sz w:val="22"/>
          <w:lang w:val="en-GB"/>
        </w:rPr>
      </w:pPr>
      <w:r>
        <w:rPr>
          <w:rFonts w:ascii="Calibri" w:hAnsi="Calibri" w:cs="Calibri"/>
          <w:sz w:val="22"/>
          <w:lang w:val="en-GB"/>
        </w:rPr>
        <w:t>Source: OECD</w:t>
      </w:r>
    </w:p>
    <w:p w14:paraId="10A9860C" w14:textId="2FA0D776" w:rsidR="00B50AC9" w:rsidRPr="009E0546" w:rsidRDefault="00DC4E7F" w:rsidP="009E0546">
      <w:pPr>
        <w:pStyle w:val="Sprotnaopomba-besedilo"/>
        <w:spacing w:before="160" w:after="160" w:line="276" w:lineRule="auto"/>
        <w:jc w:val="both"/>
        <w:rPr>
          <w:rFonts w:ascii="Calibri" w:hAnsi="Calibri" w:cs="Calibri"/>
          <w:kern w:val="0"/>
          <w:sz w:val="22"/>
          <w:szCs w:val="22"/>
          <w:lang w:val="en-GB"/>
        </w:rPr>
      </w:pPr>
      <w:r w:rsidRPr="001B4AEC">
        <w:rPr>
          <w:rFonts w:ascii="Calibri" w:hAnsi="Calibri" w:cs="Calibri"/>
          <w:sz w:val="22"/>
          <w:lang w:val="en-GB"/>
        </w:rPr>
        <w:t>A similar trend is also evident in annual personnel reports. Over a period of fifteen years, the share of public employees under the age of 30 declined from 18.4% on 31 December 2008 to 6.4% on 31 December 2023. There is also a declining trend in the share of public employees aged 30–49, accompanied by an increase in the share of those aged 50 years and above. While employees aged over 50 accounted for 16.6% on 31 December 2008, this share had risen to 41.4% of all state administration employees by 31 December 2023.</w:t>
      </w:r>
    </w:p>
    <w:p w14:paraId="6E01A031" w14:textId="7EA23DD3" w:rsidR="00DC4E7F" w:rsidRPr="001B4AEC" w:rsidRDefault="00DC4E7F" w:rsidP="009E0546">
      <w:pPr>
        <w:spacing w:before="360" w:after="360" w:line="276" w:lineRule="auto"/>
        <w:jc w:val="both"/>
        <w:rPr>
          <w:rFonts w:ascii="Calibri" w:hAnsi="Calibri" w:cs="Calibri"/>
          <w:sz w:val="22"/>
          <w:szCs w:val="22"/>
          <w:lang w:val="en-GB"/>
        </w:rPr>
      </w:pPr>
      <w:r w:rsidRPr="001B4AEC">
        <w:rPr>
          <w:rFonts w:ascii="Calibri" w:hAnsi="Calibri" w:cs="Calibri"/>
          <w:sz w:val="22"/>
          <w:szCs w:val="22"/>
          <w:lang w:val="en-GB"/>
        </w:rPr>
        <w:t>Chart 4: The share of employees in state administration bodies by age groups on 31 December 2008, 31 December 2013, 31 December 2018 and 31 December 2023</w:t>
      </w:r>
    </w:p>
    <w:p w14:paraId="47E39FB4" w14:textId="6E7AE574" w:rsidR="00DC4E7F" w:rsidRPr="001B4AEC" w:rsidRDefault="00DE7352" w:rsidP="004004E3">
      <w:pPr>
        <w:spacing w:before="160" w:after="160" w:line="276" w:lineRule="auto"/>
        <w:jc w:val="center"/>
        <w:rPr>
          <w:rFonts w:ascii="Calibri" w:hAnsi="Calibri" w:cs="Calibri"/>
          <w:sz w:val="22"/>
          <w:szCs w:val="22"/>
          <w:lang w:val="en-GB"/>
        </w:rPr>
      </w:pPr>
      <w:r>
        <w:rPr>
          <w:noProof/>
        </w:rPr>
        <w:drawing>
          <wp:inline distT="0" distB="0" distL="0" distR="0" wp14:anchorId="7A31BFEA" wp14:editId="32F9CDEC">
            <wp:extent cx="5597719" cy="3124862"/>
            <wp:effectExtent l="0" t="0" r="3175" b="18415"/>
            <wp:docPr id="220030731" name="Grafikon 1" descr="Chart 4: The share of employees in state administration bodies by age groups on 31 December 2008, 31 December 2013, 31 December 2018 and 31 December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01A329" w14:textId="4DD9A1D5" w:rsidR="00645F6F" w:rsidRPr="001B4AEC" w:rsidRDefault="00A15789" w:rsidP="00A15789">
      <w:pPr>
        <w:tabs>
          <w:tab w:val="left" w:pos="993"/>
        </w:tabs>
        <w:spacing w:before="160" w:after="160" w:line="276" w:lineRule="auto"/>
        <w:jc w:val="both"/>
        <w:rPr>
          <w:rFonts w:ascii="Calibri" w:hAnsi="Calibri" w:cs="Calibri"/>
          <w:sz w:val="22"/>
          <w:szCs w:val="22"/>
          <w:lang w:val="en-GB"/>
        </w:rPr>
      </w:pPr>
      <w:r w:rsidRPr="001B4AEC">
        <w:rPr>
          <w:rFonts w:ascii="Calibri" w:hAnsi="Calibri" w:cs="Calibri"/>
          <w:sz w:val="22"/>
          <w:szCs w:val="22"/>
          <w:lang w:val="en-GB"/>
        </w:rPr>
        <w:t>Source: Ministry of Public Administration, Annual human resources reports, 2008, 2013, 2018 in 2023</w:t>
      </w:r>
    </w:p>
    <w:p w14:paraId="5F72490E" w14:textId="664836A0" w:rsidR="00C175D4" w:rsidRPr="001B4AEC" w:rsidRDefault="00BE06E3" w:rsidP="004004E3">
      <w:pPr>
        <w:spacing w:before="160" w:after="160" w:line="276" w:lineRule="auto"/>
        <w:jc w:val="both"/>
        <w:rPr>
          <w:rFonts w:ascii="Calibri" w:hAnsi="Calibri" w:cs="Calibri"/>
          <w:sz w:val="22"/>
          <w:szCs w:val="22"/>
          <w:lang w:val="en-GB"/>
        </w:rPr>
      </w:pPr>
      <w:r w:rsidRPr="001B4AEC">
        <w:rPr>
          <w:rFonts w:ascii="Calibri" w:hAnsi="Calibri" w:cs="Calibri"/>
          <w:sz w:val="22"/>
          <w:lang w:val="en-GB"/>
        </w:rPr>
        <w:lastRenderedPageBreak/>
        <w:t xml:space="preserve">The data indicate that attention needs to be given to both older and younger generations. It is necessary to implement measures that support older employees in maintaining productive and satisfying employment until retirement. Employees approaching retirement should be provided with opportunities and tools that enable them to transfer their knowledge and experience to their successors. At the same time, it is essential to attract and retain younger employees; otherwise, a significant human resource shortfall will arise in the coming years. </w:t>
      </w:r>
      <w:r w:rsidRPr="001B4AEC">
        <w:rPr>
          <w:rFonts w:ascii="Calibri" w:hAnsi="Calibri" w:cs="Calibri"/>
          <w:sz w:val="22"/>
          <w:szCs w:val="22"/>
          <w:lang w:val="en-GB"/>
        </w:rPr>
        <w:t>Issues related to the attraction, development and retention of human resources will remain relevant</w:t>
      </w:r>
      <w:r w:rsidRPr="001B4AEC">
        <w:rPr>
          <w:rFonts w:ascii="Calibri" w:hAnsi="Calibri" w:cs="Calibri"/>
          <w:sz w:val="22"/>
          <w:lang w:val="en-GB"/>
        </w:rPr>
        <w:t xml:space="preserve">. </w:t>
      </w:r>
    </w:p>
    <w:p w14:paraId="71A8B40E" w14:textId="0B1A394A" w:rsidR="00AA380C" w:rsidRPr="001B4AEC" w:rsidRDefault="009D75E4" w:rsidP="004004E3">
      <w:pPr>
        <w:spacing w:before="160" w:after="160" w:line="276" w:lineRule="auto"/>
        <w:jc w:val="both"/>
        <w:rPr>
          <w:rStyle w:val="rynqvb"/>
          <w:rFonts w:ascii="Calibri" w:hAnsi="Calibri" w:cs="Calibri"/>
          <w:sz w:val="22"/>
          <w:szCs w:val="22"/>
          <w:lang w:val="en-GB"/>
        </w:rPr>
      </w:pPr>
      <w:r w:rsidRPr="001B4AEC">
        <w:rPr>
          <w:rFonts w:ascii="Calibri" w:hAnsi="Calibri" w:cs="Calibri"/>
          <w:sz w:val="22"/>
          <w:lang w:val="en-GB"/>
        </w:rPr>
        <w:t xml:space="preserve">The state administration does not fully utilise the available opportunities for intergenerational cooperation in various forms of group work. The state administration must establish employee </w:t>
      </w:r>
      <w:r w:rsidRPr="001B4AEC">
        <w:rPr>
          <w:rFonts w:ascii="Calibri" w:hAnsi="Calibri" w:cs="Calibri"/>
          <w:sz w:val="22"/>
          <w:szCs w:val="22"/>
          <w:lang w:val="en-GB"/>
        </w:rPr>
        <w:t>management</w:t>
      </w:r>
      <w:r w:rsidRPr="001B4AEC">
        <w:rPr>
          <w:rFonts w:ascii="Calibri" w:hAnsi="Calibri" w:cs="Calibri"/>
          <w:sz w:val="22"/>
          <w:lang w:val="en-GB"/>
        </w:rPr>
        <w:t xml:space="preserve"> approaches that will address the evolving needs of different age groups. At the same time, this presents an opportunity for the state administration to better utilise the advantages of a multigenerational workforce and build a sustainable state administration. </w:t>
      </w:r>
    </w:p>
    <w:p w14:paraId="44724851" w14:textId="60219391" w:rsidR="00DF00A9" w:rsidRPr="001B4AEC" w:rsidRDefault="00B07B9C" w:rsidP="004004E3">
      <w:pPr>
        <w:spacing w:before="160" w:after="160" w:line="276" w:lineRule="auto"/>
        <w:jc w:val="both"/>
        <w:rPr>
          <w:rStyle w:val="rynqvb"/>
          <w:rFonts w:ascii="Calibri" w:hAnsi="Calibri" w:cs="Calibri"/>
          <w:sz w:val="22"/>
          <w:szCs w:val="22"/>
          <w:lang w:val="en-GB"/>
        </w:rPr>
      </w:pPr>
      <w:r w:rsidRPr="001B4AEC">
        <w:rPr>
          <w:rStyle w:val="rynqvb"/>
          <w:rFonts w:ascii="Calibri" w:hAnsi="Calibri" w:cs="Calibri"/>
          <w:sz w:val="22"/>
          <w:szCs w:val="22"/>
          <w:lang w:val="en-GB"/>
        </w:rPr>
        <w:t xml:space="preserve">The development and implementation of new technologies and innovations play an increasingly important role in shaping the working methods of the administration and in ensuring the provision of public services to citizens. Steady developments in the fields of technology and digitalisation have a significant impact on the competences and skills required by employees to successfully address new challenges. </w:t>
      </w:r>
      <w:r w:rsidRPr="001B4AEC">
        <w:rPr>
          <w:rFonts w:ascii="Calibri" w:hAnsi="Calibri" w:cs="Calibri"/>
          <w:sz w:val="22"/>
          <w:szCs w:val="22"/>
          <w:lang w:val="en-GB"/>
        </w:rPr>
        <w:t xml:space="preserve">Recognising, strengthening and developing individual's skills, knowledge, personal characteristics and awareness of the importance of lifelong learning – as well as encouraging an active role and responsibility for their vocational, professional and personal development – can significantly contribute to the success of both the individual and the organisation as a whole. </w:t>
      </w:r>
    </w:p>
    <w:p w14:paraId="001F5669" w14:textId="4A82AF24" w:rsidR="009B3E47" w:rsidRPr="001B4AEC" w:rsidRDefault="002767AC" w:rsidP="004004E3">
      <w:pPr>
        <w:spacing w:before="160" w:after="160" w:line="276" w:lineRule="auto"/>
        <w:jc w:val="both"/>
        <w:rPr>
          <w:rStyle w:val="rynqvb"/>
          <w:rFonts w:ascii="Calibri" w:hAnsi="Calibri" w:cs="Calibri"/>
          <w:sz w:val="22"/>
          <w:szCs w:val="22"/>
          <w:lang w:val="en-GB"/>
        </w:rPr>
      </w:pPr>
      <w:r w:rsidRPr="001B4AEC">
        <w:rPr>
          <w:rStyle w:val="rynqvb"/>
          <w:rFonts w:ascii="Calibri" w:hAnsi="Calibri" w:cs="Calibri"/>
          <w:sz w:val="22"/>
          <w:szCs w:val="22"/>
          <w:lang w:val="en-GB"/>
        </w:rPr>
        <w:t>An important indicator in this field is the monitoring of participation in lifelong learning (individuals aged 25 to 64). This indicator has been declining for several years and stood at 8.4% in 2020, which is below the European average. In subsequent years, the indicator rose to 18.9% in 2021, 22.3% in 2022 and 19.9% in 2023, with Slovenia recording the highest share of adult participation in lifelong learning among the EU27 Member States.</w:t>
      </w:r>
      <w:r w:rsidRPr="001B4AEC">
        <w:rPr>
          <w:rStyle w:val="Sprotnaopomba-sklic"/>
          <w:rFonts w:ascii="Calibri" w:hAnsi="Calibri" w:cs="Calibri"/>
          <w:sz w:val="22"/>
          <w:szCs w:val="22"/>
          <w:lang w:val="en-GB"/>
        </w:rPr>
        <w:footnoteReference w:id="10"/>
      </w:r>
      <w:r w:rsidR="00276C28">
        <w:rPr>
          <w:rStyle w:val="rynqvb"/>
          <w:rFonts w:ascii="Calibri" w:hAnsi="Calibri" w:cs="Calibri"/>
          <w:sz w:val="22"/>
          <w:szCs w:val="22"/>
          <w:lang w:val="en-GB"/>
        </w:rPr>
        <w:t xml:space="preserve"> </w:t>
      </w:r>
      <w:r w:rsidRPr="001B4AEC">
        <w:rPr>
          <w:rStyle w:val="rynqvb"/>
          <w:rFonts w:ascii="Calibri" w:hAnsi="Calibri" w:cs="Calibri"/>
          <w:sz w:val="22"/>
          <w:szCs w:val="22"/>
          <w:lang w:val="en-GB"/>
        </w:rPr>
        <w:t xml:space="preserve">As a result, the target value of 19% for 2030 was exceeded. Although awareness of the importance of lifelong learning is growing in Slovenia, it remains important to ensure the continued inclusion of all public employees in lifelong learning. </w:t>
      </w:r>
    </w:p>
    <w:p w14:paraId="11A40318" w14:textId="19B8C18C" w:rsidR="00737506" w:rsidRPr="001B4AEC" w:rsidRDefault="00335EC6" w:rsidP="004004E3">
      <w:pPr>
        <w:spacing w:before="160" w:after="160" w:line="276" w:lineRule="auto"/>
        <w:jc w:val="both"/>
        <w:rPr>
          <w:rFonts w:ascii="Calibri" w:hAnsi="Calibri" w:cs="Calibri"/>
          <w:sz w:val="22"/>
          <w:szCs w:val="22"/>
          <w:lang w:val="en-GB"/>
        </w:rPr>
      </w:pPr>
      <w:r w:rsidRPr="001B4AEC">
        <w:rPr>
          <w:rStyle w:val="rynqvb"/>
          <w:rFonts w:ascii="Calibri" w:hAnsi="Calibri" w:cs="Calibri"/>
          <w:sz w:val="22"/>
          <w:szCs w:val="22"/>
          <w:lang w:val="en-GB"/>
        </w:rPr>
        <w:t xml:space="preserve">Given the increasing demands for new skills and competences, public employees will only be able to transition between job positions and perform their tasks effectively if their personal competences and skills correspond to the evolving requirements of these positions. </w:t>
      </w:r>
      <w:bookmarkStart w:id="7" w:name="_Hlk125021281"/>
      <w:r w:rsidRPr="001B4AEC">
        <w:rPr>
          <w:rFonts w:ascii="Calibri" w:eastAsia="Arial" w:hAnsi="Calibri" w:cs="Calibri"/>
          <w:color w:val="000000"/>
          <w:sz w:val="22"/>
          <w:szCs w:val="22"/>
          <w:lang w:val="en-GB"/>
        </w:rPr>
        <w:t xml:space="preserve">Establishing a competence model for the state administration has helped raise awareness that, in addition to formal education, successful task performance also requires skills, competences, personal characteristics, beliefs, motives and values. The designed competence model is not yet sufficiently applied in practice. Its intended use – as a tool for identifying, assessing and developing competences and for supporting the work of managers and human resources </w:t>
      </w:r>
      <w:r w:rsidR="00EF75DB">
        <w:rPr>
          <w:rFonts w:ascii="Calibri" w:eastAsia="Arial" w:hAnsi="Calibri" w:cs="Calibri"/>
          <w:color w:val="000000"/>
          <w:sz w:val="22"/>
          <w:szCs w:val="22"/>
          <w:lang w:val="en-GB"/>
        </w:rPr>
        <w:t>coordinators</w:t>
      </w:r>
      <w:r w:rsidRPr="001B4AEC">
        <w:rPr>
          <w:rFonts w:ascii="Calibri" w:eastAsia="Arial" w:hAnsi="Calibri" w:cs="Calibri"/>
          <w:color w:val="000000"/>
          <w:sz w:val="22"/>
          <w:szCs w:val="22"/>
          <w:lang w:val="en-GB"/>
        </w:rPr>
        <w:t xml:space="preserve"> – has also not been fully realised yet. </w:t>
      </w:r>
      <w:bookmarkEnd w:id="7"/>
      <w:r w:rsidRPr="001B4AEC">
        <w:rPr>
          <w:rFonts w:ascii="Calibri" w:eastAsia="Arial" w:hAnsi="Calibri" w:cs="Calibri"/>
          <w:color w:val="000000"/>
          <w:sz w:val="22"/>
          <w:szCs w:val="22"/>
          <w:lang w:val="en-GB"/>
        </w:rPr>
        <w:t xml:space="preserve">Measures are being taken to address this, including through establishing the Information System for the Management and Development of State Administration Employees (hereinafter: IS MUZA). Within this </w:t>
      </w:r>
      <w:r w:rsidRPr="001B4AEC">
        <w:rPr>
          <w:rFonts w:ascii="Calibri" w:eastAsia="Arial" w:hAnsi="Calibri" w:cs="Calibri"/>
          <w:color w:val="000000"/>
          <w:sz w:val="22"/>
          <w:szCs w:val="22"/>
          <w:lang w:val="en-GB"/>
        </w:rPr>
        <w:lastRenderedPageBreak/>
        <w:t>framework, the competence model for the state administration is also supported as an information-based tool.</w:t>
      </w:r>
      <w:r w:rsidRPr="001B4AEC">
        <w:rPr>
          <w:rStyle w:val="Sprotnaopomba-sklic"/>
          <w:rFonts w:ascii="Calibri" w:hAnsi="Calibri" w:cs="Calibri"/>
          <w:sz w:val="22"/>
          <w:szCs w:val="22"/>
          <w:lang w:val="en-GB"/>
        </w:rPr>
        <w:footnoteReference w:id="11"/>
      </w:r>
    </w:p>
    <w:p w14:paraId="7971EE1E" w14:textId="5C30934C" w:rsidR="00F5727A" w:rsidRPr="00BD1745" w:rsidRDefault="003E6F62" w:rsidP="004004E3">
      <w:pPr>
        <w:suppressAutoHyphens/>
        <w:autoSpaceDN w:val="0"/>
        <w:spacing w:before="160" w:after="160" w:line="276" w:lineRule="auto"/>
        <w:jc w:val="both"/>
        <w:textAlignment w:val="baseline"/>
        <w:rPr>
          <w:rFonts w:ascii="Calibri" w:hAnsi="Calibri" w:cs="Calibri"/>
          <w:sz w:val="22"/>
          <w:szCs w:val="22"/>
          <w:lang w:val="en-GB"/>
        </w:rPr>
      </w:pPr>
      <w:r w:rsidRPr="001B4AEC">
        <w:rPr>
          <w:rStyle w:val="rynqvb"/>
          <w:rFonts w:ascii="Calibri" w:hAnsi="Calibri" w:cs="Calibri"/>
          <w:sz w:val="22"/>
          <w:szCs w:val="22"/>
          <w:lang w:val="en-GB"/>
        </w:rPr>
        <w:t xml:space="preserve">Some personnel-related issues have already been addressed through the establishment of IS MUZA. Certain personnel procedures have been updated in content, upgraded and digitalised. One of these procedures is the encouraging of personnel mobility through reviving the internal labour market of state administration bodies. </w:t>
      </w:r>
      <w:r w:rsidRPr="008408A3">
        <w:rPr>
          <w:rStyle w:val="rynqvb"/>
          <w:rFonts w:ascii="Calibri" w:hAnsi="Calibri" w:cs="Calibri"/>
          <w:sz w:val="22"/>
          <w:szCs w:val="22"/>
          <w:lang w:val="en-GB"/>
        </w:rPr>
        <w:t xml:space="preserve">Namely, data show that this mechanism does not function optimally in practice. </w:t>
      </w:r>
      <w:bookmarkStart w:id="8" w:name="_Hlk184984107"/>
      <w:r w:rsidRPr="008408A3">
        <w:rPr>
          <w:rStyle w:val="rynqvb"/>
          <w:rFonts w:ascii="Calibri" w:hAnsi="Calibri" w:cs="Calibri"/>
          <w:sz w:val="22"/>
          <w:szCs w:val="22"/>
          <w:lang w:val="en-GB"/>
        </w:rPr>
        <w:t>From 1 January 2018 to 31 December 2024, only 55</w:t>
      </w:r>
      <w:bookmarkEnd w:id="8"/>
      <w:r w:rsidRPr="008408A3">
        <w:rPr>
          <w:rStyle w:val="Sprotnaopomba-sklic"/>
          <w:rFonts w:ascii="Calibri" w:hAnsi="Calibri" w:cs="Calibri"/>
          <w:sz w:val="22"/>
          <w:szCs w:val="22"/>
          <w:lang w:val="en-GB"/>
        </w:rPr>
        <w:footnoteReference w:id="12"/>
      </w:r>
      <w:r w:rsidRPr="008408A3">
        <w:rPr>
          <w:rStyle w:val="rynqvb"/>
          <w:rFonts w:ascii="Calibri" w:hAnsi="Calibri" w:cs="Calibri"/>
          <w:sz w:val="22"/>
          <w:szCs w:val="22"/>
          <w:lang w:val="en-GB"/>
        </w:rPr>
        <w:t xml:space="preserve"> public employees were referred to the internal labour market by gov.si, and only two did so on their own initiative.</w:t>
      </w:r>
      <w:r w:rsidRPr="001B4AEC">
        <w:rPr>
          <w:rStyle w:val="rynqvb"/>
          <w:rFonts w:ascii="Calibri" w:hAnsi="Calibri" w:cs="Calibri"/>
          <w:sz w:val="22"/>
          <w:szCs w:val="22"/>
          <w:lang w:val="en-GB"/>
        </w:rPr>
        <w:t xml:space="preserve"> The human resource service showed no interest in facilitating potential transitions. Data gathered from IS MUZA also show that the benefits of the internal labour market have not yet been fully utilised. Specifically, in 2024, human resource service of the state administration published only 23 job openings within the Internal Market of Employment, Knowledge and Opportunities module, resulting in only 6 realised transfers. Public employees published six notices for transfer to a different post, field of work, or type of work within a working group, project group, or project unit. None of the transfer or project work </w:t>
      </w:r>
      <w:r w:rsidRPr="00BD1745">
        <w:rPr>
          <w:rStyle w:val="rynqvb"/>
          <w:rFonts w:ascii="Calibri" w:hAnsi="Calibri" w:cs="Calibri"/>
          <w:sz w:val="22"/>
          <w:szCs w:val="22"/>
          <w:lang w:val="en-GB"/>
        </w:rPr>
        <w:t>opportunities published by public employees were realised.</w:t>
      </w:r>
      <w:r w:rsidRPr="00BD1745">
        <w:rPr>
          <w:rStyle w:val="Sprotnaopomba-sklic"/>
          <w:rFonts w:ascii="Calibri" w:hAnsi="Calibri" w:cs="Calibri"/>
          <w:sz w:val="22"/>
          <w:szCs w:val="22"/>
          <w:lang w:val="en-GB"/>
        </w:rPr>
        <w:footnoteReference w:id="13"/>
      </w:r>
    </w:p>
    <w:p w14:paraId="03BD450B" w14:textId="1A09D583" w:rsidR="00486437" w:rsidRPr="001B4AEC" w:rsidRDefault="00AB2766" w:rsidP="004004E3">
      <w:pPr>
        <w:suppressAutoHyphens/>
        <w:autoSpaceDN w:val="0"/>
        <w:spacing w:before="160" w:after="160" w:line="276" w:lineRule="auto"/>
        <w:jc w:val="both"/>
        <w:textAlignment w:val="baseline"/>
        <w:rPr>
          <w:rFonts w:ascii="Calibri" w:hAnsi="Calibri" w:cs="Calibri"/>
          <w:noProof/>
          <w:sz w:val="22"/>
          <w:szCs w:val="22"/>
          <w:lang w:val="en-GB"/>
        </w:rPr>
      </w:pPr>
      <w:r w:rsidRPr="00BD1745">
        <w:rPr>
          <w:rFonts w:ascii="Calibri" w:hAnsi="Calibri" w:cs="Calibri"/>
          <w:noProof/>
          <w:sz w:val="22"/>
          <w:szCs w:val="22"/>
          <w:lang w:val="en-GB"/>
        </w:rPr>
        <w:t>The listed factors highlight the complexity of working in state administration. The challenges that state administration will face in the future are associated with rapid, dynamic, diverse and unpredictable changes.</w:t>
      </w:r>
      <w:r w:rsidRPr="00BD1745">
        <w:rPr>
          <w:rFonts w:ascii="Calibri" w:hAnsi="Calibri" w:cs="Calibri"/>
          <w:sz w:val="22"/>
          <w:szCs w:val="22"/>
          <w:lang w:val="en-GB"/>
        </w:rPr>
        <w:t xml:space="preserve"> </w:t>
      </w:r>
      <w:r w:rsidRPr="00BD1745">
        <w:rPr>
          <w:rFonts w:ascii="Calibri" w:hAnsi="Calibri" w:cs="Calibri"/>
          <w:b/>
          <w:bCs/>
          <w:sz w:val="22"/>
          <w:szCs w:val="22"/>
          <w:lang w:val="en-GB"/>
        </w:rPr>
        <w:t xml:space="preserve">The efficiency and success of state administration are closely linked to the overall </w:t>
      </w:r>
      <w:r w:rsidR="000B616D" w:rsidRPr="00BD1745">
        <w:rPr>
          <w:rFonts w:ascii="Calibri" w:hAnsi="Calibri" w:cs="Calibri"/>
          <w:b/>
          <w:bCs/>
          <w:sz w:val="22"/>
          <w:szCs w:val="22"/>
          <w:lang w:val="en-GB"/>
        </w:rPr>
        <w:t>human resource management</w:t>
      </w:r>
      <w:r w:rsidRPr="001B4AEC">
        <w:rPr>
          <w:rFonts w:ascii="Calibri" w:hAnsi="Calibri" w:cs="Calibri"/>
          <w:b/>
          <w:bCs/>
          <w:sz w:val="22"/>
          <w:szCs w:val="22"/>
          <w:lang w:val="en-GB"/>
        </w:rPr>
        <w:t xml:space="preserve"> system, which includes employees at all levels.</w:t>
      </w:r>
      <w:r w:rsidRPr="001B4AEC">
        <w:rPr>
          <w:rFonts w:ascii="Calibri" w:hAnsi="Calibri" w:cs="Calibri"/>
          <w:sz w:val="22"/>
          <w:szCs w:val="22"/>
          <w:lang w:val="en-GB"/>
        </w:rPr>
        <w:t xml:space="preserve"> Only in this way will it be possible to create an atmosphere within the state administration that fosters the satisfaction and commitment of all public employees. This, in turn, will provide greater potential for the successful delivery of services and</w:t>
      </w:r>
      <w:r w:rsidRPr="001B4AEC">
        <w:rPr>
          <w:rFonts w:ascii="Calibri" w:hAnsi="Calibri" w:cs="Calibri"/>
          <w:noProof/>
          <w:sz w:val="22"/>
          <w:szCs w:val="22"/>
          <w:lang w:val="en-GB"/>
        </w:rPr>
        <w:t xml:space="preserve"> increased resilience to future crises.</w:t>
      </w:r>
    </w:p>
    <w:p w14:paraId="7168D388" w14:textId="77777777" w:rsidR="002C4D52" w:rsidRPr="001B4AEC" w:rsidRDefault="002C4D52" w:rsidP="004004E3">
      <w:pPr>
        <w:spacing w:before="160" w:after="160" w:line="276" w:lineRule="auto"/>
        <w:rPr>
          <w:rFonts w:ascii="Arial" w:hAnsi="Arial" w:cs="Arial"/>
          <w:b/>
          <w:bCs/>
          <w:kern w:val="32"/>
          <w:sz w:val="26"/>
          <w:szCs w:val="26"/>
          <w:lang w:val="en-GB"/>
        </w:rPr>
      </w:pPr>
      <w:bookmarkStart w:id="9" w:name="_Hlk117082510"/>
      <w:r w:rsidRPr="001B4AEC">
        <w:rPr>
          <w:sz w:val="26"/>
          <w:szCs w:val="26"/>
          <w:lang w:val="en-GB"/>
        </w:rPr>
        <w:br w:type="page"/>
      </w:r>
    </w:p>
    <w:p w14:paraId="0F0E7617" w14:textId="1BBB0984" w:rsidR="0025016B" w:rsidRPr="001B4AEC" w:rsidRDefault="0025016B" w:rsidP="00E81B0F">
      <w:pPr>
        <w:pStyle w:val="Slog1"/>
        <w:spacing w:before="360" w:after="160" w:line="276" w:lineRule="auto"/>
        <w:rPr>
          <w:lang w:val="en-GB"/>
        </w:rPr>
      </w:pPr>
      <w:bookmarkStart w:id="10" w:name="_Toc205539561"/>
      <w:r w:rsidRPr="001B4AEC">
        <w:rPr>
          <w:lang w:val="en-GB"/>
        </w:rPr>
        <w:lastRenderedPageBreak/>
        <w:t>Vision</w:t>
      </w:r>
      <w:bookmarkEnd w:id="10"/>
    </w:p>
    <w:p w14:paraId="69E7AD00" w14:textId="61FCDCC9" w:rsidR="00D60EB4" w:rsidRPr="001B4AEC" w:rsidRDefault="009A140B" w:rsidP="00E81B0F">
      <w:pPr>
        <w:spacing w:before="360" w:after="160" w:line="276" w:lineRule="auto"/>
        <w:jc w:val="both"/>
        <w:rPr>
          <w:rFonts w:ascii="Calibri" w:hAnsi="Calibri" w:cs="Calibri"/>
          <w:sz w:val="22"/>
          <w:szCs w:val="22"/>
          <w:lang w:val="en-GB"/>
        </w:rPr>
      </w:pPr>
      <w:r w:rsidRPr="001B4AEC">
        <w:rPr>
          <w:rFonts w:ascii="Calibri" w:hAnsi="Calibri" w:cs="Calibri"/>
          <w:color w:val="000000"/>
          <w:sz w:val="22"/>
          <w:szCs w:val="22"/>
          <w:lang w:val="en-GB"/>
        </w:rPr>
        <w:t>Notwithstanding constant social changes, the a</w:t>
      </w:r>
      <w:r w:rsidR="00643B00">
        <w:rPr>
          <w:rFonts w:ascii="Calibri" w:hAnsi="Calibri" w:cs="Calibri"/>
          <w:color w:val="000000"/>
          <w:sz w:val="22"/>
          <w:szCs w:val="22"/>
          <w:lang w:val="en-GB"/>
        </w:rPr>
        <w:t>ttraction</w:t>
      </w:r>
      <w:r w:rsidRPr="001B4AEC">
        <w:rPr>
          <w:rFonts w:ascii="Calibri" w:hAnsi="Calibri" w:cs="Calibri"/>
          <w:color w:val="000000"/>
          <w:sz w:val="22"/>
          <w:szCs w:val="22"/>
          <w:lang w:val="en-GB"/>
        </w:rPr>
        <w:t>, development and retention of qualified, dedicated and motivated public employees remains key to ensuring the successful performance of duties and enhancing the efficiency of state administration. Basic requirements include greater r</w:t>
      </w:r>
      <w:r w:rsidRPr="00603AC6">
        <w:rPr>
          <w:rFonts w:ascii="Calibri" w:hAnsi="Calibri" w:cs="Calibri"/>
          <w:color w:val="000000"/>
          <w:sz w:val="22"/>
          <w:szCs w:val="22"/>
          <w:lang w:val="en-GB"/>
        </w:rPr>
        <w:t xml:space="preserve">ecognition of state administration as an attractive employer on the one hand, and efficient </w:t>
      </w:r>
      <w:r w:rsidR="000B616D" w:rsidRPr="00603AC6">
        <w:rPr>
          <w:rFonts w:ascii="Calibri" w:hAnsi="Calibri" w:cs="Calibri"/>
          <w:color w:val="000000"/>
          <w:sz w:val="22"/>
          <w:szCs w:val="22"/>
          <w:lang w:val="en-GB"/>
        </w:rPr>
        <w:t>human resource management</w:t>
      </w:r>
      <w:r w:rsidRPr="00603AC6">
        <w:rPr>
          <w:rFonts w:ascii="Calibri" w:hAnsi="Calibri" w:cs="Calibri"/>
          <w:color w:val="000000"/>
          <w:sz w:val="22"/>
          <w:szCs w:val="22"/>
          <w:lang w:val="en-GB"/>
        </w:rPr>
        <w:t xml:space="preserve"> aimed at matching </w:t>
      </w:r>
      <w:r w:rsidRPr="00603AC6">
        <w:rPr>
          <w:rFonts w:ascii="Calibri" w:hAnsi="Calibri" w:cs="Calibri"/>
          <w:sz w:val="22"/>
          <w:szCs w:val="22"/>
          <w:lang w:val="en-GB"/>
        </w:rPr>
        <w:t xml:space="preserve">suitable employees with appropriate </w:t>
      </w:r>
      <w:r w:rsidRPr="00603AC6">
        <w:rPr>
          <w:rFonts w:ascii="Calibri" w:hAnsi="Calibri" w:cs="Calibri"/>
          <w:noProof/>
          <w:sz w:val="22"/>
          <w:szCs w:val="22"/>
          <w:lang w:val="en-GB"/>
        </w:rPr>
        <w:t>job positions</w:t>
      </w:r>
      <w:r w:rsidRPr="00603AC6">
        <w:rPr>
          <w:rFonts w:ascii="Calibri" w:hAnsi="Calibri" w:cs="Calibri"/>
          <w:sz w:val="22"/>
          <w:szCs w:val="22"/>
          <w:lang w:val="en-GB"/>
        </w:rPr>
        <w:t xml:space="preserve"> on the other.</w:t>
      </w:r>
      <w:r w:rsidRPr="001B4AEC">
        <w:rPr>
          <w:rFonts w:ascii="Calibri" w:hAnsi="Calibri" w:cs="Calibri"/>
          <w:sz w:val="22"/>
          <w:szCs w:val="22"/>
          <w:lang w:val="en-GB"/>
        </w:rPr>
        <w:t xml:space="preserve"> </w:t>
      </w:r>
    </w:p>
    <w:p w14:paraId="1DDB5AB1" w14:textId="37A0053B" w:rsidR="002A5394" w:rsidRPr="00603AC6" w:rsidRDefault="002A5394" w:rsidP="004004E3">
      <w:pPr>
        <w:spacing w:before="160" w:after="160" w:line="276" w:lineRule="auto"/>
        <w:jc w:val="both"/>
        <w:rPr>
          <w:rFonts w:ascii="Calibri" w:hAnsi="Calibri" w:cs="Calibri"/>
          <w:sz w:val="22"/>
          <w:szCs w:val="22"/>
          <w:lang w:val="en-GB"/>
        </w:rPr>
      </w:pPr>
      <w:r w:rsidRPr="001B4AEC">
        <w:rPr>
          <w:rFonts w:ascii="Calibri" w:hAnsi="Calibri" w:cs="Calibri"/>
          <w:sz w:val="22"/>
          <w:szCs w:val="22"/>
          <w:lang w:val="en-GB"/>
        </w:rPr>
        <w:t xml:space="preserve">A strategic approach is required to </w:t>
      </w:r>
      <w:r w:rsidRPr="00603AC6">
        <w:rPr>
          <w:rFonts w:ascii="Calibri" w:hAnsi="Calibri" w:cs="Calibri"/>
          <w:sz w:val="22"/>
          <w:szCs w:val="22"/>
          <w:lang w:val="en-GB"/>
        </w:rPr>
        <w:t xml:space="preserve">enable efficient </w:t>
      </w:r>
      <w:r w:rsidR="000B616D" w:rsidRPr="00603AC6">
        <w:rPr>
          <w:rFonts w:ascii="Calibri" w:hAnsi="Calibri" w:cs="Calibri"/>
          <w:sz w:val="22"/>
          <w:szCs w:val="22"/>
          <w:lang w:val="en-GB"/>
        </w:rPr>
        <w:t>human resource management</w:t>
      </w:r>
      <w:r w:rsidRPr="00603AC6">
        <w:rPr>
          <w:rFonts w:ascii="Calibri" w:hAnsi="Calibri" w:cs="Calibri"/>
          <w:sz w:val="22"/>
          <w:szCs w:val="22"/>
          <w:lang w:val="en-GB"/>
        </w:rPr>
        <w:t xml:space="preserve"> – from the selection process and the identification of competencies in individual public employees to career development, lifelong learning and, last but not least, employee retention. This entails supporting the personal, professional and career development of public employees across all generations, thereby equipping and motivating them to face future challenges and issues. The measures of</w:t>
      </w:r>
      <w:r w:rsidRPr="001B4AEC">
        <w:rPr>
          <w:rFonts w:ascii="Calibri" w:hAnsi="Calibri" w:cs="Calibri"/>
          <w:sz w:val="22"/>
          <w:szCs w:val="22"/>
          <w:lang w:val="en-GB"/>
        </w:rPr>
        <w:t xml:space="preserve"> the Strategy are intended to support the development of public employees and to foster a development-oriented organisational culture and </w:t>
      </w:r>
      <w:r w:rsidRPr="00603AC6">
        <w:rPr>
          <w:rFonts w:ascii="Calibri" w:hAnsi="Calibri" w:cs="Calibri"/>
          <w:sz w:val="22"/>
          <w:szCs w:val="22"/>
          <w:lang w:val="en-GB"/>
        </w:rPr>
        <w:t xml:space="preserve">the achievement of the overall objectives of state administration. The use and further development of information solutions in the implementation of human resource procedures will contribute to achieving these goals. At the same time, these solutions will support managers in implementing more efficient </w:t>
      </w:r>
      <w:r w:rsidR="000B616D" w:rsidRPr="00603AC6">
        <w:rPr>
          <w:rFonts w:ascii="Calibri" w:hAnsi="Calibri" w:cs="Calibri"/>
          <w:sz w:val="22"/>
          <w:szCs w:val="22"/>
          <w:lang w:val="en-GB"/>
        </w:rPr>
        <w:t>human resource management</w:t>
      </w:r>
      <w:r w:rsidRPr="00603AC6">
        <w:rPr>
          <w:rFonts w:ascii="Calibri" w:hAnsi="Calibri" w:cs="Calibri"/>
          <w:sz w:val="22"/>
          <w:szCs w:val="22"/>
          <w:lang w:val="en-GB"/>
        </w:rPr>
        <w:t xml:space="preserve">. </w:t>
      </w:r>
    </w:p>
    <w:p w14:paraId="2AB32CE9" w14:textId="30B3BF29" w:rsidR="00486437" w:rsidRPr="001B4AEC" w:rsidRDefault="000B616D" w:rsidP="004004E3">
      <w:pPr>
        <w:spacing w:before="160" w:after="160" w:line="276" w:lineRule="auto"/>
        <w:jc w:val="both"/>
        <w:rPr>
          <w:rFonts w:ascii="Calibri" w:hAnsi="Calibri" w:cs="Calibri"/>
          <w:sz w:val="22"/>
          <w:szCs w:val="22"/>
          <w:lang w:val="en-GB"/>
        </w:rPr>
      </w:pPr>
      <w:r w:rsidRPr="00603AC6">
        <w:rPr>
          <w:rFonts w:ascii="Calibri" w:hAnsi="Calibri" w:cs="Calibri"/>
          <w:sz w:val="22"/>
          <w:szCs w:val="22"/>
          <w:lang w:val="en-GB"/>
        </w:rPr>
        <w:t>Human resource management</w:t>
      </w:r>
      <w:r w:rsidR="002A5394" w:rsidRPr="00603AC6">
        <w:rPr>
          <w:rFonts w:ascii="Calibri" w:hAnsi="Calibri" w:cs="Calibri"/>
          <w:sz w:val="22"/>
          <w:szCs w:val="22"/>
          <w:lang w:val="en-GB"/>
        </w:rPr>
        <w:t xml:space="preserve"> is the primary responsibility of human resource services, whose role is gradually evolving from that of a</w:t>
      </w:r>
      <w:r w:rsidR="002A5394" w:rsidRPr="001B4AEC">
        <w:rPr>
          <w:rFonts w:ascii="Calibri" w:hAnsi="Calibri" w:cs="Calibri"/>
          <w:sz w:val="22"/>
          <w:szCs w:val="22"/>
          <w:lang w:val="en-GB"/>
        </w:rPr>
        <w:t xml:space="preserve"> support and administrative partner to a strategic partner in leadership. </w:t>
      </w:r>
      <w:r w:rsidR="002A5394" w:rsidRPr="00603AC6">
        <w:rPr>
          <w:rFonts w:ascii="Calibri" w:hAnsi="Calibri" w:cs="Calibri"/>
          <w:sz w:val="22"/>
          <w:szCs w:val="22"/>
          <w:lang w:val="en-GB"/>
        </w:rPr>
        <w:t xml:space="preserve">The measures set out in this Strategy will serve as the foundation for the implementation of new, innovative approaches to </w:t>
      </w:r>
      <w:r w:rsidRPr="00603AC6">
        <w:rPr>
          <w:rFonts w:ascii="Calibri" w:hAnsi="Calibri" w:cs="Calibri"/>
          <w:sz w:val="22"/>
          <w:szCs w:val="22"/>
          <w:lang w:val="en-GB"/>
        </w:rPr>
        <w:t>human resource management</w:t>
      </w:r>
      <w:r w:rsidR="002A5394" w:rsidRPr="00603AC6">
        <w:rPr>
          <w:rFonts w:ascii="Calibri" w:hAnsi="Calibri" w:cs="Calibri"/>
          <w:sz w:val="22"/>
          <w:szCs w:val="22"/>
          <w:lang w:val="en-GB"/>
        </w:rPr>
        <w:t xml:space="preserve">. They emphasise the individual and the role of personality traits, marking a strategic departure from traditional </w:t>
      </w:r>
      <w:r w:rsidRPr="00603AC6">
        <w:rPr>
          <w:rFonts w:ascii="Calibri" w:hAnsi="Calibri" w:cs="Calibri"/>
          <w:sz w:val="22"/>
          <w:szCs w:val="22"/>
          <w:lang w:val="en-GB"/>
        </w:rPr>
        <w:t>human resource management</w:t>
      </w:r>
      <w:r w:rsidR="002A5394" w:rsidRPr="00603AC6">
        <w:rPr>
          <w:rFonts w:ascii="Calibri" w:hAnsi="Calibri" w:cs="Calibri"/>
          <w:sz w:val="22"/>
          <w:szCs w:val="22"/>
          <w:lang w:val="en-GB"/>
        </w:rPr>
        <w:t xml:space="preserve"> practices</w:t>
      </w:r>
      <w:r w:rsidR="002A5394" w:rsidRPr="001B4AEC">
        <w:rPr>
          <w:rFonts w:ascii="Calibri" w:hAnsi="Calibri" w:cs="Calibri"/>
          <w:sz w:val="22"/>
          <w:szCs w:val="22"/>
          <w:lang w:val="en-GB"/>
        </w:rPr>
        <w:t>.</w:t>
      </w:r>
    </w:p>
    <w:p w14:paraId="44CA531D" w14:textId="77777777" w:rsidR="002C4D52" w:rsidRPr="001B4AEC" w:rsidRDefault="002C4D52" w:rsidP="004004E3">
      <w:pPr>
        <w:spacing w:before="160" w:after="160" w:line="276" w:lineRule="auto"/>
        <w:rPr>
          <w:rFonts w:ascii="Arial" w:hAnsi="Arial" w:cs="Arial"/>
          <w:b/>
          <w:bCs/>
          <w:kern w:val="32"/>
          <w:sz w:val="26"/>
          <w:szCs w:val="26"/>
          <w:lang w:val="en-GB"/>
        </w:rPr>
      </w:pPr>
      <w:r w:rsidRPr="001B4AEC">
        <w:rPr>
          <w:sz w:val="26"/>
          <w:szCs w:val="26"/>
          <w:lang w:val="en-GB"/>
        </w:rPr>
        <w:br w:type="page"/>
      </w:r>
    </w:p>
    <w:p w14:paraId="36CEB35F" w14:textId="26667CB1" w:rsidR="0025016B" w:rsidRPr="001B4AEC" w:rsidRDefault="0025016B" w:rsidP="004A7DDD">
      <w:pPr>
        <w:pStyle w:val="Slog1"/>
        <w:spacing w:before="360" w:after="160" w:line="276" w:lineRule="auto"/>
        <w:rPr>
          <w:lang w:val="en-GB"/>
        </w:rPr>
      </w:pPr>
      <w:bookmarkStart w:id="11" w:name="_Toc205539562"/>
      <w:r w:rsidRPr="001B4AEC">
        <w:rPr>
          <w:lang w:val="en-GB"/>
        </w:rPr>
        <w:lastRenderedPageBreak/>
        <w:t>Basic strategic framework and guidelines</w:t>
      </w:r>
      <w:bookmarkEnd w:id="11"/>
    </w:p>
    <w:p w14:paraId="28A6D75E" w14:textId="3DAFDA31" w:rsidR="009C6933" w:rsidRPr="001B4AEC" w:rsidRDefault="00FA78CE" w:rsidP="004A7DDD">
      <w:pPr>
        <w:suppressAutoHyphens/>
        <w:spacing w:before="360" w:after="160" w:line="276" w:lineRule="auto"/>
        <w:jc w:val="both"/>
        <w:rPr>
          <w:rFonts w:ascii="Calibri" w:eastAsia="Calibri" w:hAnsi="Calibri" w:cs="Calibri"/>
          <w:sz w:val="22"/>
          <w:szCs w:val="22"/>
          <w:lang w:val="en-GB"/>
        </w:rPr>
      </w:pPr>
      <w:r w:rsidRPr="001B4AEC">
        <w:rPr>
          <w:rFonts w:ascii="Calibri" w:hAnsi="Calibri" w:cs="Calibri"/>
          <w:sz w:val="22"/>
          <w:szCs w:val="22"/>
          <w:lang w:val="en-GB"/>
        </w:rPr>
        <w:t xml:space="preserve">In designing the </w:t>
      </w:r>
      <w:r w:rsidR="007D0018">
        <w:rPr>
          <w:rFonts w:ascii="Calibri" w:hAnsi="Calibri" w:cs="Calibri"/>
          <w:sz w:val="22"/>
          <w:szCs w:val="22"/>
          <w:lang w:val="en-GB"/>
        </w:rPr>
        <w:t>Strategy</w:t>
      </w:r>
      <w:r w:rsidRPr="001B4AEC">
        <w:rPr>
          <w:rFonts w:ascii="Calibri" w:hAnsi="Calibri" w:cs="Calibri"/>
          <w:sz w:val="22"/>
          <w:szCs w:val="22"/>
          <w:lang w:val="en-GB"/>
        </w:rPr>
        <w:t xml:space="preserve">, the Ministry of Public Administration took into account legal bases, strategic documents and analyses, as well as objectives, guidelines and commitments at both the international and national levels. </w:t>
      </w:r>
    </w:p>
    <w:p w14:paraId="23A10A8A" w14:textId="4FB64083" w:rsidR="009F13A2" w:rsidRPr="001B4AEC" w:rsidRDefault="000D728A" w:rsidP="004004E3">
      <w:pPr>
        <w:suppressAutoHyphens/>
        <w:spacing w:before="160" w:after="160" w:line="276" w:lineRule="auto"/>
        <w:jc w:val="both"/>
        <w:rPr>
          <w:rFonts w:ascii="Calibri" w:hAnsi="Calibri" w:cs="Calibri"/>
          <w:noProof/>
          <w:sz w:val="22"/>
          <w:szCs w:val="22"/>
          <w:lang w:val="en-GB"/>
        </w:rPr>
      </w:pPr>
      <w:r w:rsidRPr="001B4AEC">
        <w:rPr>
          <w:rFonts w:ascii="Calibri" w:hAnsi="Calibri" w:cs="Calibri"/>
          <w:noProof/>
          <w:sz w:val="22"/>
          <w:szCs w:val="22"/>
          <w:lang w:val="en-GB"/>
        </w:rPr>
        <w:t>In defining the legal basis, the State Administration Act – ZDU-1</w:t>
      </w:r>
      <w:r w:rsidRPr="001B4AEC">
        <w:rPr>
          <w:rStyle w:val="Sprotnaopomba-sklic"/>
          <w:rFonts w:ascii="Calibri" w:hAnsi="Calibri" w:cs="Calibri"/>
          <w:noProof/>
          <w:sz w:val="22"/>
          <w:szCs w:val="22"/>
          <w:lang w:val="en-GB"/>
        </w:rPr>
        <w:footnoteReference w:id="14"/>
      </w:r>
      <w:r w:rsidRPr="001B4AEC">
        <w:rPr>
          <w:rFonts w:ascii="Calibri" w:hAnsi="Calibri" w:cs="Calibri"/>
          <w:noProof/>
          <w:sz w:val="22"/>
          <w:szCs w:val="22"/>
          <w:lang w:val="en-GB"/>
        </w:rPr>
        <w:t xml:space="preserve"> should be highlighted. Article 34a stipulates that the Ministry of Public Administration performs duties in the areas of public administration, systemic organisation management, public sector performance and the public employee system. </w:t>
      </w:r>
    </w:p>
    <w:p w14:paraId="741E1E5B" w14:textId="59AF1256" w:rsidR="002F04BC" w:rsidRPr="00603AC6" w:rsidRDefault="000D728A" w:rsidP="004004E3">
      <w:pPr>
        <w:suppressAutoHyphens/>
        <w:spacing w:before="160" w:after="160" w:line="276" w:lineRule="auto"/>
        <w:jc w:val="both"/>
        <w:rPr>
          <w:rFonts w:ascii="Calibri" w:hAnsi="Calibri" w:cs="Calibri"/>
          <w:noProof/>
          <w:sz w:val="22"/>
          <w:szCs w:val="22"/>
          <w:lang w:val="en-GB"/>
        </w:rPr>
      </w:pPr>
      <w:r w:rsidRPr="001B4AEC">
        <w:rPr>
          <w:rFonts w:ascii="Calibri" w:hAnsi="Calibri" w:cs="Calibri"/>
          <w:noProof/>
          <w:sz w:val="22"/>
          <w:szCs w:val="22"/>
          <w:lang w:val="en-GB"/>
        </w:rPr>
        <w:t>The State Administration Act</w:t>
      </w:r>
      <w:r w:rsidRPr="001B4AEC">
        <w:rPr>
          <w:rStyle w:val="Sprotnaopomba-sklic"/>
          <w:rFonts w:ascii="Calibri" w:hAnsi="Calibri" w:cs="Calibri"/>
          <w:noProof/>
          <w:sz w:val="22"/>
          <w:szCs w:val="22"/>
          <w:lang w:val="en-GB"/>
        </w:rPr>
        <w:footnoteReference w:id="15"/>
      </w:r>
      <w:r w:rsidRPr="001B4AEC">
        <w:rPr>
          <w:rFonts w:ascii="Calibri" w:hAnsi="Calibri" w:cs="Calibri"/>
          <w:noProof/>
          <w:sz w:val="22"/>
          <w:szCs w:val="22"/>
          <w:lang w:val="en-GB"/>
        </w:rPr>
        <w:t xml:space="preserve"> stipulates that the ministry responsible for public administration, among other tasks, provides support and advice to other bodies </w:t>
      </w:r>
      <w:r w:rsidRPr="00603AC6">
        <w:rPr>
          <w:rFonts w:ascii="Calibri" w:hAnsi="Calibri" w:cs="Calibri"/>
          <w:noProof/>
          <w:sz w:val="22"/>
          <w:szCs w:val="22"/>
          <w:lang w:val="en-GB"/>
        </w:rPr>
        <w:t xml:space="preserve">in </w:t>
      </w:r>
      <w:r w:rsidR="000B616D" w:rsidRPr="00603AC6">
        <w:rPr>
          <w:rFonts w:ascii="Calibri" w:hAnsi="Calibri" w:cs="Calibri"/>
          <w:noProof/>
          <w:sz w:val="22"/>
          <w:szCs w:val="22"/>
          <w:lang w:val="en-GB"/>
        </w:rPr>
        <w:t>human resource management</w:t>
      </w:r>
      <w:r w:rsidRPr="00603AC6">
        <w:rPr>
          <w:rFonts w:ascii="Calibri" w:hAnsi="Calibri" w:cs="Calibri"/>
          <w:noProof/>
          <w:sz w:val="22"/>
          <w:szCs w:val="22"/>
          <w:lang w:val="en-GB"/>
        </w:rPr>
        <w:t xml:space="preserve">. In addition, it manages the </w:t>
      </w:r>
      <w:r w:rsidRPr="00603AC6">
        <w:rPr>
          <w:rFonts w:ascii="Calibri" w:hAnsi="Calibri" w:cs="Calibri"/>
          <w:color w:val="000000"/>
          <w:sz w:val="22"/>
          <w:szCs w:val="22"/>
          <w:shd w:val="clear" w:color="auto" w:fill="FFFFFF"/>
          <w:lang w:val="en-GB"/>
        </w:rPr>
        <w:t>central personnel records, maintains records of the internal labour market</w:t>
      </w:r>
      <w:r w:rsidRPr="001B4AEC">
        <w:rPr>
          <w:rFonts w:ascii="Calibri" w:hAnsi="Calibri" w:cs="Calibri"/>
          <w:color w:val="000000"/>
          <w:sz w:val="22"/>
          <w:szCs w:val="22"/>
          <w:shd w:val="clear" w:color="auto" w:fill="FFFFFF"/>
          <w:lang w:val="en-GB"/>
        </w:rPr>
        <w:t xml:space="preserve"> within state administration, </w:t>
      </w:r>
      <w:r w:rsidRPr="001B4AEC">
        <w:rPr>
          <w:rFonts w:ascii="Calibri" w:hAnsi="Calibri" w:cs="Calibri"/>
          <w:color w:val="000000"/>
          <w:sz w:val="22"/>
          <w:szCs w:val="22"/>
          <w:lang w:val="en-GB"/>
        </w:rPr>
        <w:t xml:space="preserve">performs tasks related to the awarding of scholarships in state </w:t>
      </w:r>
      <w:r w:rsidRPr="00603AC6">
        <w:rPr>
          <w:rFonts w:ascii="Calibri" w:hAnsi="Calibri" w:cs="Calibri"/>
          <w:color w:val="000000"/>
          <w:sz w:val="22"/>
          <w:szCs w:val="22"/>
          <w:lang w:val="en-GB"/>
        </w:rPr>
        <w:t>administration bodies</w:t>
      </w:r>
      <w:r w:rsidRPr="00603AC6">
        <w:rPr>
          <w:rFonts w:ascii="Calibri" w:hAnsi="Calibri" w:cs="Calibri"/>
          <w:color w:val="000000"/>
          <w:sz w:val="22"/>
          <w:szCs w:val="22"/>
          <w:shd w:val="clear" w:color="auto" w:fill="FFFFFF"/>
          <w:lang w:val="en-GB"/>
        </w:rPr>
        <w:t xml:space="preserve">, </w:t>
      </w:r>
      <w:r w:rsidRPr="00603AC6">
        <w:rPr>
          <w:rFonts w:ascii="Calibri" w:hAnsi="Calibri" w:cs="Calibri"/>
          <w:noProof/>
          <w:sz w:val="22"/>
          <w:szCs w:val="22"/>
          <w:lang w:val="en-GB"/>
        </w:rPr>
        <w:t>carries out duties in training and development of public employees,</w:t>
      </w:r>
      <w:r w:rsidRPr="00603AC6">
        <w:rPr>
          <w:rFonts w:ascii="Calibri" w:hAnsi="Calibri" w:cs="Calibri"/>
          <w:color w:val="000000"/>
          <w:sz w:val="22"/>
          <w:szCs w:val="22"/>
          <w:shd w:val="clear" w:color="auto" w:fill="FFFFFF"/>
          <w:lang w:val="en-GB"/>
        </w:rPr>
        <w:t xml:space="preserve"> </w:t>
      </w:r>
      <w:r w:rsidRPr="00603AC6">
        <w:rPr>
          <w:rFonts w:ascii="Calibri" w:hAnsi="Calibri" w:cs="Calibri"/>
          <w:noProof/>
          <w:sz w:val="22"/>
          <w:szCs w:val="22"/>
          <w:lang w:val="en-GB"/>
        </w:rPr>
        <w:t xml:space="preserve">and performs other functions in the public employee system or </w:t>
      </w:r>
      <w:r w:rsidR="00603AC6" w:rsidRPr="00603AC6">
        <w:rPr>
          <w:rFonts w:ascii="Calibri" w:hAnsi="Calibri" w:cs="Calibri"/>
          <w:noProof/>
          <w:sz w:val="22"/>
          <w:szCs w:val="22"/>
          <w:lang w:val="en-GB"/>
        </w:rPr>
        <w:t>human resource</w:t>
      </w:r>
      <w:r w:rsidRPr="00603AC6">
        <w:rPr>
          <w:rFonts w:ascii="Calibri" w:hAnsi="Calibri" w:cs="Calibri"/>
          <w:noProof/>
          <w:sz w:val="22"/>
          <w:szCs w:val="22"/>
          <w:lang w:val="en-GB"/>
        </w:rPr>
        <w:t xml:space="preserve"> management in accordance with the law. </w:t>
      </w:r>
    </w:p>
    <w:p w14:paraId="427F7B2D" w14:textId="49C1F9D5" w:rsidR="00067405" w:rsidRPr="001B4AEC" w:rsidRDefault="002F04BC" w:rsidP="004004E3">
      <w:pPr>
        <w:suppressAutoHyphens/>
        <w:spacing w:before="160" w:after="160" w:line="276" w:lineRule="auto"/>
        <w:jc w:val="both"/>
        <w:rPr>
          <w:rFonts w:ascii="Calibri" w:eastAsia="Calibri" w:hAnsi="Calibri" w:cs="Calibri"/>
          <w:sz w:val="22"/>
          <w:szCs w:val="22"/>
          <w:lang w:val="en-GB"/>
        </w:rPr>
      </w:pPr>
      <w:r w:rsidRPr="00603AC6">
        <w:rPr>
          <w:rFonts w:ascii="Calibri" w:hAnsi="Calibri" w:cs="Calibri"/>
          <w:sz w:val="22"/>
          <w:szCs w:val="22"/>
          <w:lang w:val="en-GB"/>
        </w:rPr>
        <w:t xml:space="preserve">To achieve the objectives of the 2015–2020 Public Administration Development Strategy aimed at improving </w:t>
      </w:r>
      <w:r w:rsidR="000B616D" w:rsidRPr="00603AC6">
        <w:rPr>
          <w:rFonts w:ascii="Calibri" w:hAnsi="Calibri" w:cs="Calibri"/>
          <w:sz w:val="22"/>
          <w:szCs w:val="22"/>
          <w:lang w:val="en-GB"/>
        </w:rPr>
        <w:t>human resource management</w:t>
      </w:r>
      <w:r w:rsidRPr="00603AC6">
        <w:rPr>
          <w:rFonts w:ascii="Calibri" w:hAnsi="Calibri" w:cs="Calibri"/>
          <w:sz w:val="22"/>
          <w:szCs w:val="22"/>
          <w:lang w:val="en-GB"/>
        </w:rPr>
        <w:t xml:space="preserve">, the </w:t>
      </w:r>
      <w:r w:rsidRPr="00603AC6">
        <w:rPr>
          <w:rStyle w:val="Sprotnaopomba-sklic"/>
          <w:rFonts w:ascii="Calibri" w:hAnsi="Calibri" w:cs="Calibri"/>
          <w:sz w:val="22"/>
          <w:szCs w:val="22"/>
          <w:lang w:val="en-GB"/>
        </w:rPr>
        <w:footnoteReference w:id="16"/>
      </w:r>
      <w:r w:rsidRPr="00603AC6">
        <w:rPr>
          <w:rFonts w:ascii="Calibri" w:hAnsi="Calibri" w:cs="Calibri"/>
          <w:sz w:val="22"/>
          <w:szCs w:val="22"/>
          <w:lang w:val="en-GB"/>
        </w:rPr>
        <w:t xml:space="preserve"> Ministry of Public Administration established a competency model and upgraded the information system for </w:t>
      </w:r>
      <w:r w:rsidR="000B616D" w:rsidRPr="00603AC6">
        <w:rPr>
          <w:rFonts w:ascii="Calibri" w:hAnsi="Calibri" w:cs="Calibri"/>
          <w:sz w:val="22"/>
          <w:szCs w:val="22"/>
          <w:lang w:val="en-GB"/>
        </w:rPr>
        <w:t>human resource management</w:t>
      </w:r>
      <w:r w:rsidRPr="00603AC6">
        <w:rPr>
          <w:rFonts w:ascii="Calibri" w:hAnsi="Calibri" w:cs="Calibri"/>
          <w:sz w:val="22"/>
          <w:szCs w:val="22"/>
          <w:lang w:val="en-GB"/>
        </w:rPr>
        <w:t xml:space="preserve"> within state administration bodies. As part of the objective of building the capacity of public employees, the Ministry of Public Administration updated and developed training courses in several key</w:t>
      </w:r>
      <w:r w:rsidRPr="001B4AEC">
        <w:rPr>
          <w:rFonts w:ascii="Calibri" w:hAnsi="Calibri" w:cs="Calibri"/>
          <w:sz w:val="22"/>
          <w:szCs w:val="22"/>
          <w:lang w:val="en-GB"/>
        </w:rPr>
        <w:t xml:space="preserve"> areas.</w:t>
      </w:r>
    </w:p>
    <w:p w14:paraId="2FA53967" w14:textId="1285C52F" w:rsidR="009F13A2" w:rsidRPr="001B4AEC" w:rsidRDefault="004130A7" w:rsidP="004004E3">
      <w:pPr>
        <w:suppressAutoHyphens/>
        <w:spacing w:before="160" w:after="160" w:line="276" w:lineRule="auto"/>
        <w:jc w:val="both"/>
        <w:rPr>
          <w:rFonts w:ascii="Calibri" w:hAnsi="Calibri" w:cs="Calibri"/>
          <w:noProof/>
          <w:sz w:val="22"/>
          <w:szCs w:val="22"/>
          <w:lang w:val="en-GB"/>
        </w:rPr>
      </w:pPr>
      <w:r w:rsidRPr="001B4AEC">
        <w:rPr>
          <w:rFonts w:ascii="Calibri" w:hAnsi="Calibri" w:cs="Calibri"/>
          <w:sz w:val="22"/>
          <w:szCs w:val="22"/>
          <w:lang w:val="en-GB"/>
        </w:rPr>
        <w:t>The Slovenian Development Strategy 2030</w:t>
      </w:r>
      <w:r w:rsidRPr="001B4AEC">
        <w:rPr>
          <w:rFonts w:ascii="Calibri" w:hAnsi="Calibri" w:cs="Calibri"/>
          <w:sz w:val="22"/>
          <w:szCs w:val="22"/>
          <w:vertAlign w:val="superscript"/>
          <w:lang w:val="en-GB"/>
        </w:rPr>
        <w:footnoteReference w:id="17"/>
      </w:r>
      <w:r w:rsidRPr="001B4AEC">
        <w:rPr>
          <w:rFonts w:ascii="Calibri" w:hAnsi="Calibri" w:cs="Calibri"/>
          <w:sz w:val="22"/>
          <w:szCs w:val="22"/>
          <w:lang w:val="en-GB"/>
        </w:rPr>
        <w:t xml:space="preserve"> (hereinafter: SRS 2030) is Slovenia's principal development document setting out the country's further development through the implementation of twelve development objectives. Through the implementation of the Strategy, the Ministry of Public Administration will also contribute to the achievement of several objectives of the SRS 2030, including: </w:t>
      </w:r>
      <w:r w:rsidRPr="001B4AEC">
        <w:rPr>
          <w:rFonts w:ascii="Calibri" w:hAnsi="Calibri" w:cs="Calibri"/>
          <w:noProof/>
          <w:sz w:val="22"/>
          <w:szCs w:val="22"/>
          <w:lang w:val="en-GB"/>
        </w:rPr>
        <w:t>acquiring knowledge and skills for quality of life and work by promoting lifelong learning and building competences – particularly digital competences and those required by new professions; promoting an inclusive labour market and quality employment by adapting jobs to technological and demographic changes; ensuring more flexible work organisation and fostering a high-quality working environment;</w:t>
      </w:r>
      <w:r w:rsidRPr="001B4AEC">
        <w:rPr>
          <w:rFonts w:ascii="Calibri" w:hAnsi="Calibri" w:cs="Calibri"/>
          <w:sz w:val="22"/>
          <w:szCs w:val="22"/>
          <w:lang w:val="en-GB"/>
        </w:rPr>
        <w:t xml:space="preserve"> </w:t>
      </w:r>
      <w:r w:rsidRPr="001B4AEC">
        <w:rPr>
          <w:rFonts w:ascii="Calibri" w:hAnsi="Calibri" w:cs="Calibri"/>
          <w:noProof/>
          <w:sz w:val="22"/>
          <w:szCs w:val="22"/>
          <w:lang w:val="en-GB"/>
        </w:rPr>
        <w:t>supporting effective management and quality public services by encouraging the acquisition and intergenerational transfer of knowledge and skills; and promoting innovative forms of management, leadership and employee-driven innovation.</w:t>
      </w:r>
    </w:p>
    <w:p w14:paraId="02EF237F" w14:textId="7B6D55DD" w:rsidR="00811C2F" w:rsidRPr="001B4AEC" w:rsidRDefault="0098418A" w:rsidP="004004E3">
      <w:pPr>
        <w:spacing w:before="160" w:after="160" w:line="276" w:lineRule="auto"/>
        <w:jc w:val="both"/>
        <w:rPr>
          <w:rFonts w:ascii="Calibri" w:eastAsia="Calibri" w:hAnsi="Calibri" w:cs="Calibri"/>
          <w:sz w:val="22"/>
          <w:szCs w:val="22"/>
          <w:lang w:val="en-GB"/>
        </w:rPr>
      </w:pPr>
      <w:r w:rsidRPr="001B4AEC">
        <w:rPr>
          <w:rFonts w:ascii="Calibri" w:eastAsia="Calibri" w:hAnsi="Calibri" w:cs="Calibri"/>
          <w:sz w:val="22"/>
          <w:szCs w:val="22"/>
          <w:lang w:val="en-GB"/>
        </w:rPr>
        <w:t>Digital Slovenia 2030</w:t>
      </w:r>
      <w:r w:rsidRPr="001B4AEC">
        <w:rPr>
          <w:rStyle w:val="Sprotnaopomba-sklic"/>
          <w:rFonts w:ascii="Calibri" w:eastAsia="Calibri" w:hAnsi="Calibri" w:cs="Calibri"/>
          <w:sz w:val="22"/>
          <w:szCs w:val="22"/>
          <w:lang w:val="en-GB"/>
        </w:rPr>
        <w:footnoteReference w:id="18"/>
      </w:r>
      <w:r w:rsidRPr="001B4AEC">
        <w:rPr>
          <w:rFonts w:ascii="Calibri" w:eastAsia="Calibri" w:hAnsi="Calibri" w:cs="Calibri"/>
          <w:sz w:val="22"/>
          <w:szCs w:val="22"/>
          <w:lang w:val="en-GB"/>
        </w:rPr>
        <w:t xml:space="preserve"> is a strategic document that sets out guidelines and specific objectives for accelerating digital transformation in various fields, including the enhancement of digital competences among all citizens. These objectives will be achieved by enhancing the digital competences of public employees through training, promoting and using digital services to deliver public services more efficiently and improving their integration into the digital society. </w:t>
      </w:r>
    </w:p>
    <w:p w14:paraId="0E5BC5AF" w14:textId="708C7D18" w:rsidR="00386BC3" w:rsidRPr="001B4AEC" w:rsidRDefault="009F13A2" w:rsidP="004004E3">
      <w:pPr>
        <w:spacing w:before="160" w:after="160" w:line="276" w:lineRule="auto"/>
        <w:jc w:val="both"/>
        <w:rPr>
          <w:rFonts w:ascii="Calibri" w:eastAsia="Calibri" w:hAnsi="Calibri" w:cs="Calibri"/>
          <w:sz w:val="22"/>
          <w:szCs w:val="22"/>
          <w:lang w:val="en-GB"/>
        </w:rPr>
      </w:pPr>
      <w:r w:rsidRPr="001B4AEC">
        <w:rPr>
          <w:rFonts w:ascii="Calibri" w:hAnsi="Calibri" w:cs="Calibri"/>
          <w:sz w:val="22"/>
          <w:szCs w:val="22"/>
          <w:lang w:val="en-GB"/>
        </w:rPr>
        <w:lastRenderedPageBreak/>
        <w:t>Within the framework of the Slovenian Presidency of the Council of the EU, a study on the management of older employees and talent in European state administrations was prepared,</w:t>
      </w:r>
      <w:r w:rsidRPr="001B4AEC">
        <w:rPr>
          <w:rStyle w:val="Sprotnaopomba-sklic"/>
          <w:rFonts w:ascii="Calibri" w:eastAsia="Calibri" w:hAnsi="Calibri" w:cs="Calibri"/>
          <w:sz w:val="22"/>
          <w:szCs w:val="22"/>
          <w:lang w:val="en-GB"/>
        </w:rPr>
        <w:footnoteReference w:id="19"/>
      </w:r>
      <w:r w:rsidRPr="001B4AEC">
        <w:rPr>
          <w:rFonts w:ascii="Calibri" w:hAnsi="Calibri" w:cs="Calibri"/>
          <w:sz w:val="22"/>
          <w:szCs w:val="22"/>
          <w:lang w:val="en-GB"/>
        </w:rPr>
        <w:t xml:space="preserve"> in which the management of older employees and talent was addressed as one of the key priorities. Accordingly, the Strategy sets out recommendations for the effective management of older employees and for the attraction and retention of individuals identified as talents within Slovenia's state administration. This will be pursued through monitoring and enhancing the attractiveness of the public sector, examining institutional arrangements for talent management, reinforcing strategic personnel and succession planning, strengthening the strategic capacity of human resource services and developing strategies and practices for inclusive ageing. </w:t>
      </w:r>
    </w:p>
    <w:p w14:paraId="71BB7A4D" w14:textId="05BDE7B7" w:rsidR="006B60ED" w:rsidRPr="001B4AEC" w:rsidRDefault="006B60ED" w:rsidP="004004E3">
      <w:pPr>
        <w:spacing w:before="160" w:after="160" w:line="276" w:lineRule="auto"/>
        <w:jc w:val="both"/>
        <w:rPr>
          <w:rFonts w:ascii="Calibri" w:hAnsi="Calibri" w:cs="Calibri"/>
          <w:sz w:val="22"/>
          <w:szCs w:val="22"/>
          <w:lang w:val="en-GB"/>
        </w:rPr>
      </w:pPr>
      <w:r w:rsidRPr="001B4AEC">
        <w:rPr>
          <w:rFonts w:ascii="Calibri" w:hAnsi="Calibri" w:cs="Calibri"/>
          <w:sz w:val="22"/>
          <w:szCs w:val="22"/>
          <w:lang w:val="en-GB"/>
        </w:rPr>
        <w:t>The Recovery and Resilience Plan</w:t>
      </w:r>
      <w:r w:rsidRPr="001B4AEC">
        <w:rPr>
          <w:rFonts w:ascii="Calibri" w:hAnsi="Calibri" w:cs="Calibri"/>
          <w:sz w:val="22"/>
          <w:szCs w:val="22"/>
          <w:vertAlign w:val="superscript"/>
          <w:lang w:val="en-GB"/>
        </w:rPr>
        <w:footnoteReference w:id="20"/>
      </w:r>
      <w:r w:rsidRPr="001B4AEC">
        <w:rPr>
          <w:rFonts w:ascii="Calibri" w:hAnsi="Calibri" w:cs="Calibri"/>
          <w:sz w:val="22"/>
          <w:szCs w:val="22"/>
          <w:lang w:val="en-GB"/>
        </w:rPr>
        <w:t xml:space="preserve"> </w:t>
      </w:r>
      <w:r w:rsidRPr="001B4AEC">
        <w:rPr>
          <w:rFonts w:ascii="Calibri" w:hAnsi="Calibri" w:cs="Calibri"/>
          <w:noProof/>
          <w:sz w:val="22"/>
          <w:szCs w:val="22"/>
          <w:lang w:val="en-GB"/>
        </w:rPr>
        <w:t>provides for reforms and investments in the green and digital transition aimed at enhancing the sustainability, resilience and preparedness of Slovenian society to meet future challenges. The reform, which includes the establishment of a centre for human resource development and competence building in public administration, will contribute to the creation of a more modern a</w:t>
      </w:r>
      <w:r w:rsidRPr="00603AC6">
        <w:rPr>
          <w:rFonts w:ascii="Calibri" w:hAnsi="Calibri" w:cs="Calibri"/>
          <w:noProof/>
          <w:sz w:val="22"/>
          <w:szCs w:val="22"/>
          <w:lang w:val="en-GB"/>
        </w:rPr>
        <w:t xml:space="preserve">nd efficient </w:t>
      </w:r>
      <w:r w:rsidR="000B616D" w:rsidRPr="00603AC6">
        <w:rPr>
          <w:rFonts w:ascii="Calibri" w:hAnsi="Calibri" w:cs="Calibri"/>
          <w:noProof/>
          <w:sz w:val="22"/>
          <w:szCs w:val="22"/>
          <w:lang w:val="en-GB"/>
        </w:rPr>
        <w:t>human resource management</w:t>
      </w:r>
      <w:r w:rsidRPr="00603AC6">
        <w:rPr>
          <w:rFonts w:ascii="Calibri" w:hAnsi="Calibri" w:cs="Calibri"/>
          <w:sz w:val="22"/>
          <w:szCs w:val="22"/>
          <w:lang w:val="en-GB"/>
        </w:rPr>
        <w:t xml:space="preserve"> system</w:t>
      </w:r>
      <w:r w:rsidRPr="001B4AEC">
        <w:rPr>
          <w:rFonts w:ascii="Calibri" w:hAnsi="Calibri" w:cs="Calibri"/>
          <w:noProof/>
          <w:sz w:val="22"/>
          <w:szCs w:val="22"/>
          <w:lang w:val="en-GB"/>
        </w:rPr>
        <w:t xml:space="preserve">, the </w:t>
      </w:r>
      <w:r w:rsidRPr="001B4AEC">
        <w:rPr>
          <w:rFonts w:ascii="Calibri" w:hAnsi="Calibri" w:cs="Calibri"/>
          <w:color w:val="000000"/>
          <w:sz w:val="22"/>
          <w:szCs w:val="22"/>
          <w:lang w:val="en-GB"/>
        </w:rPr>
        <w:t>establishment of an attractive working environment and the promotion of a sustainability-oriented organisational culture.</w:t>
      </w:r>
    </w:p>
    <w:p w14:paraId="404FD0DC" w14:textId="7C6A5A05" w:rsidR="00371F69" w:rsidRPr="001B4AEC" w:rsidRDefault="00CC2FC8" w:rsidP="004004E3">
      <w:pPr>
        <w:spacing w:before="160" w:after="160" w:line="276" w:lineRule="auto"/>
        <w:jc w:val="both"/>
        <w:rPr>
          <w:rFonts w:ascii="Calibri" w:hAnsi="Calibri" w:cs="Calibri"/>
          <w:sz w:val="22"/>
          <w:szCs w:val="22"/>
          <w:lang w:val="en-GB"/>
        </w:rPr>
      </w:pPr>
      <w:r w:rsidRPr="001B4AEC">
        <w:rPr>
          <w:rFonts w:ascii="Calibri" w:hAnsi="Calibri" w:cs="Calibri"/>
          <w:sz w:val="22"/>
          <w:szCs w:val="22"/>
          <w:lang w:val="en-GB"/>
        </w:rPr>
        <w:t>The objectives and measures under the Multiannual Financial Framework for 2021–2027</w:t>
      </w:r>
      <w:r w:rsidRPr="001B4AEC">
        <w:rPr>
          <w:rStyle w:val="Sprotnaopomba-sklic"/>
          <w:rFonts w:ascii="Calibri" w:hAnsi="Calibri" w:cs="Calibri"/>
          <w:sz w:val="22"/>
          <w:szCs w:val="22"/>
          <w:lang w:val="en-GB"/>
        </w:rPr>
        <w:footnoteReference w:id="21"/>
      </w:r>
      <w:r w:rsidRPr="001B4AEC">
        <w:rPr>
          <w:rFonts w:ascii="Calibri" w:hAnsi="Calibri" w:cs="Calibri"/>
          <w:sz w:val="22"/>
          <w:szCs w:val="22"/>
          <w:lang w:val="en-GB"/>
        </w:rPr>
        <w:t xml:space="preserve"> are also aimed at fulfilling EU's key objectives for the digital and green transformation of society and economy. With the objective of achieving the specific objective "Adaptation of workers, enterprises and entrepreneurs to change, active and healthy ageing and a healthy and well-adapted working environment that addresses health risks", activities will be developed to promote active ageing in the workplace, with an emphasis on intergenerational cooperation.</w:t>
      </w:r>
    </w:p>
    <w:p w14:paraId="65202FB7" w14:textId="4DA3D0E3" w:rsidR="00386BC3" w:rsidRPr="001B4AEC" w:rsidRDefault="00F45A89" w:rsidP="004004E3">
      <w:pPr>
        <w:spacing w:before="160" w:after="160" w:line="276" w:lineRule="auto"/>
        <w:jc w:val="both"/>
        <w:rPr>
          <w:rFonts w:ascii="Calibri" w:hAnsi="Calibri" w:cs="Calibri"/>
          <w:sz w:val="22"/>
          <w:szCs w:val="22"/>
          <w:lang w:val="en-GB"/>
        </w:rPr>
      </w:pPr>
      <w:r w:rsidRPr="001B4AEC">
        <w:rPr>
          <w:rFonts w:ascii="Calibri" w:hAnsi="Calibri" w:cs="Calibri"/>
          <w:sz w:val="22"/>
          <w:szCs w:val="22"/>
          <w:lang w:val="en-GB"/>
        </w:rPr>
        <w:t>The Strategy will also align with the key priorities set out in the European Commission's Human Resources Strategy</w:t>
      </w:r>
      <w:r w:rsidRPr="001B4AEC">
        <w:rPr>
          <w:rStyle w:val="Sprotnaopomba-sklic"/>
          <w:rFonts w:ascii="Calibri" w:hAnsi="Calibri" w:cs="Calibri"/>
          <w:sz w:val="22"/>
          <w:szCs w:val="22"/>
          <w:lang w:val="en-GB"/>
        </w:rPr>
        <w:footnoteReference w:id="22"/>
      </w:r>
      <w:r w:rsidRPr="001B4AEC">
        <w:rPr>
          <w:rFonts w:ascii="Calibri" w:hAnsi="Calibri" w:cs="Calibri"/>
          <w:sz w:val="22"/>
          <w:szCs w:val="22"/>
          <w:lang w:val="en-GB"/>
        </w:rPr>
        <w:t>, which include the creation of an inclusive, sustainable and flexible working environment that supports professional development and family-friendly working conditions; the introduction of modern, simpler and faster selection and recruitment procedures; the development of flexible and meaningful career paths for employees; and the simplification of certain human resource services, which should be user-oriented.</w:t>
      </w:r>
    </w:p>
    <w:p w14:paraId="198D9763" w14:textId="71DD8F49" w:rsidR="00BA3FE3" w:rsidRPr="001B4AEC" w:rsidRDefault="009F13A2" w:rsidP="004004E3">
      <w:pPr>
        <w:spacing w:before="160" w:after="160" w:line="276" w:lineRule="auto"/>
        <w:jc w:val="both"/>
        <w:rPr>
          <w:rFonts w:ascii="Calibri" w:hAnsi="Calibri" w:cs="Calibri"/>
          <w:sz w:val="22"/>
          <w:szCs w:val="22"/>
          <w:lang w:val="en-GB"/>
        </w:rPr>
      </w:pPr>
      <w:r w:rsidRPr="001B4AEC">
        <w:rPr>
          <w:rFonts w:ascii="Calibri" w:hAnsi="Calibri" w:cs="Calibri"/>
          <w:sz w:val="22"/>
          <w:szCs w:val="22"/>
          <w:lang w:val="en-GB"/>
        </w:rPr>
        <w:t>In the European Skills Agenda for Sustainable Competitiveness, Social Fairness and Resilience, the European Commission places</w:t>
      </w:r>
      <w:r w:rsidRPr="001B4AEC">
        <w:rPr>
          <w:rStyle w:val="Sprotnaopomba-sklic"/>
          <w:rFonts w:ascii="Calibri" w:hAnsi="Calibri" w:cs="Calibri"/>
          <w:sz w:val="22"/>
          <w:szCs w:val="22"/>
          <w:lang w:val="en-GB"/>
        </w:rPr>
        <w:footnoteReference w:id="23"/>
      </w:r>
      <w:r w:rsidRPr="001B4AEC">
        <w:rPr>
          <w:rFonts w:ascii="Calibri" w:hAnsi="Calibri" w:cs="Calibri"/>
          <w:sz w:val="22"/>
          <w:szCs w:val="22"/>
          <w:lang w:val="en-GB"/>
        </w:rPr>
        <w:t xml:space="preserve"> strong emphasis on education, training and lifelong learning for every individual. These challenges are therefore also addressed in the Strategy.</w:t>
      </w:r>
    </w:p>
    <w:p w14:paraId="7F46D89B" w14:textId="77777777" w:rsidR="00F0321D" w:rsidRPr="001B4AEC" w:rsidRDefault="00F0321D" w:rsidP="004004E3">
      <w:pPr>
        <w:spacing w:before="160" w:after="160" w:line="276" w:lineRule="auto"/>
        <w:rPr>
          <w:rFonts w:ascii="Arial" w:hAnsi="Arial" w:cs="Arial"/>
          <w:b/>
          <w:bCs/>
          <w:kern w:val="32"/>
          <w:sz w:val="26"/>
          <w:szCs w:val="26"/>
          <w:lang w:val="en-GB"/>
        </w:rPr>
      </w:pPr>
      <w:r w:rsidRPr="001B4AEC">
        <w:rPr>
          <w:sz w:val="26"/>
          <w:szCs w:val="26"/>
          <w:lang w:val="en-GB"/>
        </w:rPr>
        <w:br w:type="page"/>
      </w:r>
    </w:p>
    <w:p w14:paraId="67F56BA2" w14:textId="7227E346" w:rsidR="0025016B" w:rsidRPr="001B4AEC" w:rsidRDefault="00553C69" w:rsidP="004A7DDD">
      <w:pPr>
        <w:pStyle w:val="Slog1"/>
        <w:spacing w:before="360" w:after="160" w:line="276" w:lineRule="auto"/>
        <w:rPr>
          <w:lang w:val="en-GB"/>
        </w:rPr>
      </w:pPr>
      <w:bookmarkStart w:id="12" w:name="_Toc205539563"/>
      <w:r w:rsidRPr="001B4AEC">
        <w:rPr>
          <w:lang w:val="en-GB"/>
        </w:rPr>
        <w:lastRenderedPageBreak/>
        <w:t>Key strategic priorities</w:t>
      </w:r>
      <w:bookmarkEnd w:id="12"/>
    </w:p>
    <w:p w14:paraId="66318D45" w14:textId="664006E0" w:rsidR="00A43136" w:rsidRPr="001B4AEC" w:rsidRDefault="00024D11" w:rsidP="004A7DDD">
      <w:pPr>
        <w:spacing w:before="360" w:after="160" w:line="276" w:lineRule="auto"/>
        <w:jc w:val="both"/>
        <w:rPr>
          <w:rFonts w:ascii="Calibri" w:hAnsi="Calibri" w:cs="Calibri"/>
          <w:sz w:val="22"/>
          <w:szCs w:val="22"/>
          <w:lang w:val="en-GB"/>
        </w:rPr>
      </w:pPr>
      <w:r w:rsidRPr="001B4AEC">
        <w:rPr>
          <w:rFonts w:ascii="Calibri" w:hAnsi="Calibri" w:cs="Calibri"/>
          <w:noProof/>
          <w:sz w:val="22"/>
          <w:szCs w:val="22"/>
          <w:lang w:val="en-GB"/>
        </w:rPr>
        <w:t xml:space="preserve">With the intent to realise this vision, the Strategy is based on two key priorities: enhancing recognition and reputation of state administration </w:t>
      </w:r>
      <w:r w:rsidRPr="001B4AEC">
        <w:rPr>
          <w:rFonts w:ascii="Calibri" w:hAnsi="Calibri" w:cs="Calibri"/>
          <w:sz w:val="22"/>
          <w:szCs w:val="22"/>
          <w:lang w:val="en-GB"/>
        </w:rPr>
        <w:t xml:space="preserve">as an attractive employer and improving the qualifications and motivations of public employees. </w:t>
      </w:r>
    </w:p>
    <w:p w14:paraId="6D7404A2" w14:textId="584E7585" w:rsidR="00552AA5" w:rsidRPr="001B4AEC" w:rsidRDefault="007641D8" w:rsidP="004A7DDD">
      <w:pPr>
        <w:pStyle w:val="Slog2"/>
        <w:spacing w:before="360" w:after="160" w:line="276" w:lineRule="auto"/>
        <w:ind w:left="578"/>
        <w:rPr>
          <w:rFonts w:ascii="Arial" w:hAnsi="Arial"/>
          <w:lang w:val="en-GB"/>
        </w:rPr>
      </w:pPr>
      <w:bookmarkStart w:id="13" w:name="_Toc205539564"/>
      <w:r w:rsidRPr="001B4AEC">
        <w:rPr>
          <w:bCs/>
          <w:lang w:val="en-GB"/>
        </w:rPr>
        <w:t>5.1 State administration – an attractive working environment</w:t>
      </w:r>
      <w:bookmarkEnd w:id="13"/>
    </w:p>
    <w:p w14:paraId="16E2B61D" w14:textId="69B4E323" w:rsidR="0025016B" w:rsidRPr="001B4AEC" w:rsidRDefault="00261B57" w:rsidP="004A7DDD">
      <w:pPr>
        <w:spacing w:before="160" w:after="160" w:line="276" w:lineRule="auto"/>
        <w:jc w:val="both"/>
        <w:rPr>
          <w:rFonts w:ascii="Calibri" w:hAnsi="Calibri" w:cs="Calibri"/>
          <w:noProof/>
          <w:sz w:val="22"/>
          <w:szCs w:val="22"/>
          <w:lang w:val="en-GB"/>
        </w:rPr>
      </w:pPr>
      <w:r w:rsidRPr="001B4AEC">
        <w:rPr>
          <w:rFonts w:ascii="Calibri" w:hAnsi="Calibri" w:cs="Calibri"/>
          <w:noProof/>
          <w:sz w:val="22"/>
          <w:szCs w:val="22"/>
          <w:lang w:val="en-GB"/>
        </w:rPr>
        <w:t>The first priority of the Strategy is to transform the state administration into an attractive working environment for both first-time job seekers and individuals seeking new career opportunities. As such, the state administration will be competitive with other employers on the labour market.</w:t>
      </w:r>
    </w:p>
    <w:p w14:paraId="194053F5" w14:textId="2CC12A05" w:rsidR="00952B8E" w:rsidRPr="001B4AEC" w:rsidRDefault="00A960F4" w:rsidP="004A7DDD">
      <w:pPr>
        <w:spacing w:before="360" w:after="160" w:line="276" w:lineRule="auto"/>
        <w:ind w:left="708"/>
        <w:jc w:val="both"/>
        <w:rPr>
          <w:rFonts w:ascii="Calibri" w:hAnsi="Calibri" w:cs="Calibri"/>
          <w:b/>
          <w:bCs/>
          <w:noProof/>
          <w:lang w:val="en-GB"/>
        </w:rPr>
      </w:pPr>
      <w:r w:rsidRPr="001B4AEC">
        <w:rPr>
          <w:rFonts w:ascii="Calibri" w:hAnsi="Calibri" w:cs="Calibri"/>
          <w:b/>
          <w:bCs/>
          <w:noProof/>
          <w:lang w:val="en-GB"/>
        </w:rPr>
        <w:t xml:space="preserve">OBJECTIVE 1: </w:t>
      </w:r>
      <w:bookmarkStart w:id="14" w:name="_Hlk192234890"/>
      <w:r w:rsidRPr="001B4AEC">
        <w:rPr>
          <w:rFonts w:ascii="Calibri" w:hAnsi="Calibri" w:cs="Calibri"/>
          <w:b/>
          <w:bCs/>
          <w:noProof/>
          <w:lang w:val="en-GB"/>
        </w:rPr>
        <w:t xml:space="preserve">Strengthening the reputation of the state administration as an outstanding employer for all generations </w:t>
      </w:r>
      <w:bookmarkEnd w:id="14"/>
    </w:p>
    <w:p w14:paraId="21D1592D" w14:textId="7C09EA6A" w:rsidR="00CD4EDE" w:rsidRPr="001B4AEC" w:rsidRDefault="00CD4EDE" w:rsidP="004004E3">
      <w:pPr>
        <w:spacing w:before="160" w:after="160" w:line="276" w:lineRule="auto"/>
        <w:jc w:val="both"/>
        <w:rPr>
          <w:rFonts w:ascii="Calibri" w:hAnsi="Calibri" w:cs="Calibri"/>
          <w:sz w:val="22"/>
          <w:szCs w:val="22"/>
          <w:lang w:val="en-GB"/>
        </w:rPr>
      </w:pPr>
      <w:r w:rsidRPr="00603AC6">
        <w:rPr>
          <w:rFonts w:ascii="Calibri" w:hAnsi="Calibri" w:cs="Calibri"/>
          <w:sz w:val="22"/>
          <w:szCs w:val="22"/>
          <w:lang w:val="en-GB"/>
        </w:rPr>
        <w:t xml:space="preserve">Employer branding is a newer human resources approach that uses the principles of branding with </w:t>
      </w:r>
      <w:r w:rsidR="000B616D" w:rsidRPr="00603AC6">
        <w:rPr>
          <w:rFonts w:ascii="Calibri" w:hAnsi="Calibri" w:cs="Calibri"/>
          <w:sz w:val="22"/>
          <w:szCs w:val="22"/>
          <w:lang w:val="en-GB"/>
        </w:rPr>
        <w:t>human resource management</w:t>
      </w:r>
      <w:r w:rsidRPr="00603AC6">
        <w:rPr>
          <w:rFonts w:ascii="Calibri" w:hAnsi="Calibri" w:cs="Calibri"/>
          <w:sz w:val="22"/>
          <w:szCs w:val="22"/>
          <w:lang w:val="en-GB"/>
        </w:rPr>
        <w:t>. Employer branding thus means "a targeted, long-term strategy to manage the awareness and perceptions of employees, potential employees and related stakeholders with regards to a particular company</w:t>
      </w:r>
      <w:r w:rsidRPr="001B4AEC">
        <w:rPr>
          <w:rFonts w:ascii="Calibri" w:hAnsi="Calibri" w:cs="Calibri"/>
          <w:sz w:val="22"/>
          <w:szCs w:val="22"/>
          <w:lang w:val="en-GB"/>
        </w:rPr>
        <w:t xml:space="preserve"> (employer)".</w:t>
      </w:r>
      <w:r w:rsidRPr="001B4AEC">
        <w:rPr>
          <w:rStyle w:val="Sprotnaopomba-sklic"/>
          <w:rFonts w:ascii="Calibri" w:hAnsi="Calibri" w:cs="Calibri"/>
          <w:sz w:val="22"/>
          <w:szCs w:val="22"/>
          <w:lang w:val="en-GB"/>
        </w:rPr>
        <w:footnoteReference w:id="24"/>
      </w:r>
      <w:r w:rsidRPr="001B4AEC">
        <w:rPr>
          <w:rFonts w:ascii="Calibri" w:hAnsi="Calibri" w:cs="Calibri"/>
          <w:sz w:val="22"/>
          <w:szCs w:val="22"/>
          <w:lang w:val="en-GB"/>
        </w:rPr>
        <w:t xml:space="preserve"> Given the rapid ageing of state administration employees, state administration bodies are facing with the challenge of attracting and retaining talent. Therefore, it is all the more important for the state administration to enhance Slovenia's attractiveness as an employer and to increase the interest of potential candidates in employment within the state administration. </w:t>
      </w:r>
    </w:p>
    <w:p w14:paraId="542CF007" w14:textId="30ED288F" w:rsidR="006C7C58" w:rsidRPr="001B4AEC" w:rsidRDefault="00437782" w:rsidP="004004E3">
      <w:pPr>
        <w:spacing w:before="160" w:after="160" w:line="276" w:lineRule="auto"/>
        <w:jc w:val="both"/>
        <w:rPr>
          <w:rFonts w:ascii="Calibri" w:hAnsi="Calibri" w:cs="Calibri"/>
          <w:sz w:val="22"/>
          <w:szCs w:val="22"/>
          <w:lang w:val="en-GB"/>
        </w:rPr>
      </w:pPr>
      <w:r w:rsidRPr="001B4AEC">
        <w:rPr>
          <w:rFonts w:ascii="Calibri" w:hAnsi="Calibri" w:cs="Calibri"/>
          <w:sz w:val="22"/>
          <w:szCs w:val="22"/>
          <w:lang w:val="en-GB"/>
        </w:rPr>
        <w:t>The primary mission of public employees in state administration is ensuring citizen-friendly, efficient, accessible and quality public services, which is unique in Slovenia's labour market and the core of the brand. The key motivation element for performing public duties (referring to willingness of the public employees and candidates for employment in the state administration to contribute to the common good and to serve the public interest) is a commitment to public values, including social justice and responsibility.</w:t>
      </w:r>
      <w:r w:rsidRPr="001B4AEC">
        <w:rPr>
          <w:rStyle w:val="Sprotnaopomba-sklic"/>
          <w:rFonts w:ascii="Calibri" w:hAnsi="Calibri" w:cs="Calibri"/>
          <w:sz w:val="22"/>
          <w:szCs w:val="22"/>
          <w:lang w:val="en-GB"/>
        </w:rPr>
        <w:footnoteReference w:id="25"/>
      </w:r>
      <w:r w:rsidRPr="001B4AEC">
        <w:rPr>
          <w:rFonts w:ascii="Calibri" w:hAnsi="Calibri" w:cs="Calibri"/>
          <w:sz w:val="22"/>
          <w:szCs w:val="22"/>
          <w:lang w:val="en-GB"/>
        </w:rPr>
        <w:t xml:space="preserve"> </w:t>
      </w:r>
    </w:p>
    <w:p w14:paraId="1C690083" w14:textId="4EA447C5" w:rsidR="00925563" w:rsidRPr="001B4AEC" w:rsidRDefault="00925563" w:rsidP="004004E3">
      <w:pPr>
        <w:spacing w:before="160" w:after="160" w:line="276" w:lineRule="auto"/>
        <w:jc w:val="both"/>
        <w:rPr>
          <w:rFonts w:ascii="Calibri" w:hAnsi="Calibri" w:cs="Calibri"/>
          <w:sz w:val="22"/>
          <w:szCs w:val="22"/>
          <w:lang w:val="en-GB"/>
        </w:rPr>
      </w:pPr>
      <w:r w:rsidRPr="001B4AEC">
        <w:rPr>
          <w:rFonts w:ascii="Calibri" w:hAnsi="Calibri" w:cs="Calibri"/>
          <w:sz w:val="22"/>
          <w:szCs w:val="22"/>
          <w:lang w:val="en-GB"/>
        </w:rPr>
        <w:t xml:space="preserve">To strengthen the reputation of the state administration, the positive aspects and advantages of working in public administration will be emphasised. In addition, the unique features and benefits it offers to prospective employees – distinguishing it from other employers – will be highlighted. Attention will be drawn to the characteristics of the state administration, including the diversity of fields of work, opportunities in international cooperation, possibilities for business travel or work abroad, training opportunities for professional and personal development, employment stability and favourable working conditions (such as flexible work arrangements, including remote working), which support a healthy work–life balance. By building the state administration brand, the target groups will be job seekers and the general public. This will serve to raise awareness of the role and mission of public employees, as well as to enhance their reputation. As a result, public employees will be able to take pride in their work and actively promote the state administration as an attractive employer. </w:t>
      </w:r>
    </w:p>
    <w:p w14:paraId="6F6F76F6" w14:textId="3332EEB9" w:rsidR="003246B1" w:rsidRPr="001B4AEC" w:rsidRDefault="0091655B" w:rsidP="004004E3">
      <w:pPr>
        <w:spacing w:before="160" w:after="160" w:line="276" w:lineRule="auto"/>
        <w:jc w:val="both"/>
        <w:rPr>
          <w:rFonts w:ascii="Calibri" w:hAnsi="Calibri" w:cs="Calibri"/>
          <w:sz w:val="22"/>
          <w:szCs w:val="22"/>
          <w:lang w:val="en-GB"/>
        </w:rPr>
      </w:pPr>
      <w:r w:rsidRPr="001B4AEC">
        <w:rPr>
          <w:rFonts w:ascii="Calibri" w:hAnsi="Calibri" w:cs="Calibri"/>
          <w:sz w:val="22"/>
          <w:szCs w:val="22"/>
          <w:lang w:val="en-GB"/>
        </w:rPr>
        <w:lastRenderedPageBreak/>
        <w:t xml:space="preserve">Potential new employees, especially the younger generation, may perceive the state administration as a rigid, formal and bureaucratic organisation. This largely stems from ignorance of what work in the state administration involves and how diverse the opportunities can be. By highlighting the diversity and breadth of fields and duties, the recognition of the state administration as an attractive working environment will be strengthened and new career opportunities will be made visible to current public employees. </w:t>
      </w:r>
      <w:bookmarkStart w:id="15" w:name="_Hlk82510164"/>
      <w:bookmarkStart w:id="16" w:name="_Hlk118287225"/>
    </w:p>
    <w:p w14:paraId="184D02C9" w14:textId="2C4835FF" w:rsidR="0018465E" w:rsidRPr="001B4AEC" w:rsidRDefault="003F1BA3" w:rsidP="004004E3">
      <w:pPr>
        <w:spacing w:line="276" w:lineRule="auto"/>
        <w:jc w:val="both"/>
        <w:rPr>
          <w:rFonts w:ascii="Calibri" w:hAnsi="Calibri" w:cs="Calibri"/>
          <w:b/>
          <w:bCs/>
          <w:sz w:val="22"/>
          <w:szCs w:val="22"/>
          <w:lang w:val="en-GB"/>
        </w:rPr>
      </w:pPr>
      <w:r w:rsidRPr="001B4AEC">
        <w:rPr>
          <w:rFonts w:ascii="Calibri" w:hAnsi="Calibri" w:cs="Calibri"/>
          <w:b/>
          <w:bCs/>
          <w:sz w:val="22"/>
          <w:szCs w:val="22"/>
          <w:lang w:val="en-GB"/>
        </w:rPr>
        <w:t>The objective will be met by:</w:t>
      </w:r>
    </w:p>
    <w:p w14:paraId="5D70A67F" w14:textId="77777777" w:rsidR="003F1BA3" w:rsidRPr="001B4AEC" w:rsidRDefault="00BA22F8" w:rsidP="004004E3">
      <w:pPr>
        <w:numPr>
          <w:ilvl w:val="0"/>
          <w:numId w:val="4"/>
        </w:numPr>
        <w:spacing w:line="276" w:lineRule="auto"/>
        <w:ind w:left="714" w:hanging="357"/>
        <w:jc w:val="both"/>
        <w:rPr>
          <w:rFonts w:ascii="Calibri" w:hAnsi="Calibri" w:cs="Calibri"/>
          <w:noProof/>
          <w:sz w:val="22"/>
          <w:szCs w:val="22"/>
          <w:lang w:val="en-GB"/>
        </w:rPr>
      </w:pPr>
      <w:r w:rsidRPr="001B4AEC">
        <w:rPr>
          <w:rFonts w:ascii="Calibri" w:hAnsi="Calibri" w:cs="Calibri"/>
          <w:noProof/>
          <w:sz w:val="22"/>
          <w:szCs w:val="22"/>
          <w:lang w:val="en-GB"/>
        </w:rPr>
        <w:t>Recognising benefits of employment in state administration;</w:t>
      </w:r>
    </w:p>
    <w:p w14:paraId="45B03FEF" w14:textId="77777777" w:rsidR="004E7327" w:rsidRPr="001B4AEC" w:rsidRDefault="00D66EAC" w:rsidP="004004E3">
      <w:pPr>
        <w:numPr>
          <w:ilvl w:val="0"/>
          <w:numId w:val="4"/>
        </w:numPr>
        <w:spacing w:line="276" w:lineRule="auto"/>
        <w:ind w:left="714" w:hanging="357"/>
        <w:jc w:val="both"/>
        <w:rPr>
          <w:rFonts w:ascii="Calibri" w:hAnsi="Calibri" w:cs="Calibri"/>
          <w:noProof/>
          <w:sz w:val="22"/>
          <w:szCs w:val="22"/>
          <w:lang w:val="en-GB"/>
        </w:rPr>
      </w:pPr>
      <w:r w:rsidRPr="001B4AEC">
        <w:rPr>
          <w:rFonts w:ascii="Calibri" w:hAnsi="Calibri" w:cs="Calibri"/>
          <w:noProof/>
          <w:sz w:val="22"/>
          <w:szCs w:val="22"/>
          <w:lang w:val="en-GB"/>
        </w:rPr>
        <w:t>Identifying effective working practices for the successful attraction of job-seekers;</w:t>
      </w:r>
    </w:p>
    <w:p w14:paraId="15919FF3" w14:textId="77777777" w:rsidR="00C4462D" w:rsidRPr="001B4AEC" w:rsidRDefault="00C4462D" w:rsidP="004004E3">
      <w:pPr>
        <w:numPr>
          <w:ilvl w:val="0"/>
          <w:numId w:val="4"/>
        </w:numPr>
        <w:spacing w:line="276" w:lineRule="auto"/>
        <w:ind w:left="714" w:hanging="357"/>
        <w:jc w:val="both"/>
        <w:rPr>
          <w:rFonts w:ascii="Calibri" w:hAnsi="Calibri" w:cs="Calibri"/>
          <w:noProof/>
          <w:sz w:val="22"/>
          <w:szCs w:val="22"/>
          <w:lang w:val="en-GB"/>
        </w:rPr>
      </w:pPr>
      <w:r w:rsidRPr="001B4AEC">
        <w:rPr>
          <w:rFonts w:ascii="Calibri" w:hAnsi="Calibri" w:cs="Calibri"/>
          <w:noProof/>
          <w:sz w:val="22"/>
          <w:szCs w:val="22"/>
          <w:lang w:val="en-GB"/>
        </w:rPr>
        <w:t>Identifying target groups based on shared values (e.g. commitment to the common good, opportunities to shape green and environmental policies, integrity, equality, dedication, etc.);</w:t>
      </w:r>
    </w:p>
    <w:p w14:paraId="0EB1E4E1" w14:textId="09E3F0F5" w:rsidR="00614F4B" w:rsidRPr="001B4AEC" w:rsidRDefault="00D66EAC" w:rsidP="004004E3">
      <w:pPr>
        <w:numPr>
          <w:ilvl w:val="0"/>
          <w:numId w:val="4"/>
        </w:numPr>
        <w:spacing w:line="276" w:lineRule="auto"/>
        <w:ind w:left="714" w:hanging="357"/>
        <w:jc w:val="both"/>
        <w:rPr>
          <w:rFonts w:ascii="Calibri" w:hAnsi="Calibri" w:cs="Calibri"/>
          <w:noProof/>
          <w:sz w:val="22"/>
          <w:szCs w:val="22"/>
          <w:lang w:val="en-GB"/>
        </w:rPr>
      </w:pPr>
      <w:r w:rsidRPr="001B4AEC">
        <w:rPr>
          <w:rFonts w:ascii="Calibri" w:hAnsi="Calibri" w:cs="Calibri"/>
          <w:noProof/>
          <w:sz w:val="22"/>
          <w:szCs w:val="22"/>
          <w:lang w:val="en-GB"/>
        </w:rPr>
        <w:t>Designing a tailored media approach based on target groups, including the development of a logo, slogan (e.g. the French slogan: "Choosing public service means bringing to life what unites us"), websites, social media channels and communication adapted to different target and age groups and</w:t>
      </w:r>
    </w:p>
    <w:p w14:paraId="588C4165" w14:textId="411C39DB" w:rsidR="0032165A" w:rsidRPr="001B4AEC" w:rsidRDefault="003F1BA3" w:rsidP="004004E3">
      <w:pPr>
        <w:numPr>
          <w:ilvl w:val="0"/>
          <w:numId w:val="4"/>
        </w:numPr>
        <w:spacing w:line="276" w:lineRule="auto"/>
        <w:ind w:left="714" w:hanging="357"/>
        <w:jc w:val="both"/>
        <w:rPr>
          <w:rFonts w:ascii="Calibri" w:hAnsi="Calibri" w:cs="Calibri"/>
          <w:color w:val="000000"/>
          <w:sz w:val="22"/>
          <w:szCs w:val="22"/>
          <w:lang w:val="en-GB"/>
        </w:rPr>
      </w:pPr>
      <w:r w:rsidRPr="001B4AEC">
        <w:rPr>
          <w:rFonts w:ascii="Calibri" w:hAnsi="Calibri" w:cs="Calibri"/>
          <w:noProof/>
          <w:sz w:val="22"/>
          <w:szCs w:val="22"/>
          <w:lang w:val="en-GB"/>
        </w:rPr>
        <w:t>Promoting</w:t>
      </w:r>
      <w:r w:rsidRPr="001B4AEC">
        <w:rPr>
          <w:rFonts w:ascii="Calibri" w:hAnsi="Calibri" w:cs="Calibri"/>
          <w:sz w:val="22"/>
          <w:szCs w:val="22"/>
          <w:lang w:val="en-GB"/>
        </w:rPr>
        <w:t xml:space="preserve"> the safety, health and well-being of public employees.</w:t>
      </w:r>
    </w:p>
    <w:p w14:paraId="17B5A286" w14:textId="71E17F81" w:rsidR="008503EA" w:rsidRPr="001B4AEC" w:rsidRDefault="00A960F4" w:rsidP="004A7DDD">
      <w:pPr>
        <w:spacing w:before="360" w:after="160" w:line="276" w:lineRule="auto"/>
        <w:ind w:left="709"/>
        <w:jc w:val="both"/>
        <w:rPr>
          <w:rFonts w:ascii="Calibri" w:hAnsi="Calibri" w:cs="Calibri"/>
          <w:noProof/>
          <w:color w:val="4472C4"/>
          <w:sz w:val="22"/>
          <w:szCs w:val="22"/>
          <w:lang w:val="en-GB"/>
        </w:rPr>
      </w:pPr>
      <w:r w:rsidRPr="001B4AEC">
        <w:rPr>
          <w:rFonts w:ascii="Calibri" w:hAnsi="Calibri" w:cs="Calibri"/>
          <w:b/>
          <w:bCs/>
          <w:noProof/>
          <w:lang w:val="en-GB"/>
        </w:rPr>
        <w:t>OBJECTIVE 2: Renewal of recruitment competition</w:t>
      </w:r>
    </w:p>
    <w:p w14:paraId="2E28B88F" w14:textId="6D199D5D" w:rsidR="001430C9" w:rsidRPr="001B4AEC" w:rsidRDefault="001430C9" w:rsidP="004004E3">
      <w:pPr>
        <w:spacing w:before="160" w:after="160" w:line="276" w:lineRule="auto"/>
        <w:jc w:val="both"/>
        <w:rPr>
          <w:rFonts w:ascii="Calibri" w:hAnsi="Calibri" w:cs="Calibri"/>
          <w:color w:val="000000"/>
          <w:sz w:val="22"/>
          <w:szCs w:val="22"/>
          <w:lang w:val="en-GB"/>
        </w:rPr>
      </w:pPr>
      <w:r w:rsidRPr="001B4AEC">
        <w:rPr>
          <w:rFonts w:ascii="Calibri" w:hAnsi="Calibri" w:cs="Calibri"/>
          <w:color w:val="000000"/>
          <w:sz w:val="22"/>
          <w:szCs w:val="22"/>
          <w:lang w:val="en-GB"/>
        </w:rPr>
        <w:t>Job vacancy announcements are the first point of contact between prospective public employees and the state administration. To make them</w:t>
      </w:r>
      <w:r w:rsidR="008F676D">
        <w:rPr>
          <w:rFonts w:ascii="Calibri" w:hAnsi="Calibri" w:cs="Calibri"/>
          <w:color w:val="000000"/>
          <w:sz w:val="22"/>
          <w:szCs w:val="22"/>
          <w:lang w:val="en-GB"/>
        </w:rPr>
        <w:t xml:space="preserve"> </w:t>
      </w:r>
      <w:r w:rsidRPr="001B4AEC">
        <w:rPr>
          <w:rFonts w:ascii="Calibri" w:hAnsi="Calibri" w:cs="Calibri"/>
          <w:color w:val="000000"/>
          <w:sz w:val="22"/>
          <w:szCs w:val="22"/>
          <w:lang w:val="en-GB"/>
        </w:rPr>
        <w:t>more transparent, comprehensible and appealing to job seekers, modern methods of presenting and promoting the working environment will need to be employed, including the use of social media and the option of incorporating short video presentations</w:t>
      </w:r>
      <w:r w:rsidR="00F94042">
        <w:rPr>
          <w:rFonts w:ascii="Calibri" w:hAnsi="Calibri" w:cs="Calibri"/>
          <w:color w:val="000000"/>
          <w:sz w:val="22"/>
          <w:szCs w:val="22"/>
          <w:lang w:val="en-GB"/>
        </w:rPr>
        <w:t>.</w:t>
      </w:r>
      <w:r w:rsidRPr="001B4AEC">
        <w:rPr>
          <w:rFonts w:ascii="Calibri" w:hAnsi="Calibri" w:cs="Calibri"/>
          <w:color w:val="000000"/>
          <w:sz w:val="22"/>
          <w:szCs w:val="22"/>
          <w:lang w:val="en-GB"/>
        </w:rPr>
        <w:t xml:space="preserve"> </w:t>
      </w:r>
    </w:p>
    <w:p w14:paraId="23891397" w14:textId="7868F6A1" w:rsidR="00633711" w:rsidRPr="001B4AEC" w:rsidRDefault="001430C9" w:rsidP="004004E3">
      <w:pPr>
        <w:spacing w:before="160" w:after="160" w:line="276" w:lineRule="auto"/>
        <w:jc w:val="both"/>
        <w:rPr>
          <w:rFonts w:ascii="Calibri" w:hAnsi="Calibri" w:cs="Calibri"/>
          <w:color w:val="000000"/>
          <w:sz w:val="22"/>
          <w:szCs w:val="22"/>
          <w:lang w:val="en-GB"/>
        </w:rPr>
      </w:pPr>
      <w:r w:rsidRPr="001B4AEC">
        <w:rPr>
          <w:rFonts w:ascii="Calibri" w:hAnsi="Calibri" w:cs="Calibri"/>
          <w:color w:val="000000"/>
          <w:sz w:val="22"/>
          <w:szCs w:val="22"/>
          <w:lang w:val="en-GB"/>
        </w:rPr>
        <w:t>In order to shorten and simplify open competition procedures, the selection process will be further defined in the law governing the public employee system, while still ensuring equal treatment of candidates and a high level of legal certainty. Emphasis will be placed on the constitutional right to equal access to employment in the state administration, ensuring equal entry conditions for all candidates and assessing relevant knowledge and competences with the aim of employing those with the highest level of professional competence.</w:t>
      </w:r>
    </w:p>
    <w:p w14:paraId="6FD02FA5" w14:textId="1AA150B1" w:rsidR="00346F15" w:rsidRPr="001B4AEC" w:rsidRDefault="00FE26D3" w:rsidP="004004E3">
      <w:pPr>
        <w:spacing w:before="160" w:after="160" w:line="276" w:lineRule="auto"/>
        <w:jc w:val="both"/>
        <w:rPr>
          <w:rFonts w:ascii="Calibri" w:eastAsia="Calibri" w:hAnsi="Calibri" w:cs="Calibri"/>
          <w:color w:val="000000"/>
          <w:sz w:val="22"/>
          <w:szCs w:val="22"/>
          <w:lang w:val="en-GB"/>
        </w:rPr>
      </w:pPr>
      <w:r w:rsidRPr="001B4AEC">
        <w:rPr>
          <w:rFonts w:ascii="Calibri" w:hAnsi="Calibri" w:cs="Calibri"/>
          <w:color w:val="000000"/>
          <w:sz w:val="22"/>
          <w:szCs w:val="22"/>
          <w:lang w:val="en-GB"/>
        </w:rPr>
        <w:t xml:space="preserve">To this end, a </w:t>
      </w:r>
      <w:proofErr w:type="gramStart"/>
      <w:r w:rsidRPr="001B4AEC">
        <w:rPr>
          <w:rFonts w:ascii="Calibri" w:hAnsi="Calibri" w:cs="Calibri"/>
          <w:color w:val="000000"/>
          <w:sz w:val="22"/>
          <w:szCs w:val="22"/>
          <w:lang w:val="en-GB"/>
        </w:rPr>
        <w:t>single entry</w:t>
      </w:r>
      <w:proofErr w:type="gramEnd"/>
      <w:r w:rsidRPr="001B4AEC">
        <w:rPr>
          <w:rFonts w:ascii="Calibri" w:hAnsi="Calibri" w:cs="Calibri"/>
          <w:color w:val="000000"/>
          <w:sz w:val="22"/>
          <w:szCs w:val="22"/>
          <w:lang w:val="en-GB"/>
        </w:rPr>
        <w:t xml:space="preserve"> point will be established for employment in official posts within state administration bodies, other public authorities and municipalities that join the internal labour market. The establishment of a </w:t>
      </w:r>
      <w:proofErr w:type="gramStart"/>
      <w:r w:rsidRPr="001B4AEC">
        <w:rPr>
          <w:rFonts w:ascii="Calibri" w:hAnsi="Calibri" w:cs="Calibri"/>
          <w:color w:val="000000"/>
          <w:sz w:val="22"/>
          <w:szCs w:val="22"/>
          <w:lang w:val="en-GB"/>
        </w:rPr>
        <w:t>single entry</w:t>
      </w:r>
      <w:proofErr w:type="gramEnd"/>
      <w:r w:rsidRPr="001B4AEC">
        <w:rPr>
          <w:rFonts w:ascii="Calibri" w:hAnsi="Calibri" w:cs="Calibri"/>
          <w:color w:val="000000"/>
          <w:sz w:val="22"/>
          <w:szCs w:val="22"/>
          <w:lang w:val="en-GB"/>
        </w:rPr>
        <w:t xml:space="preserve"> point will unify selection procedures within the state administration, reduce the workload of human resource services in individual authorities and allow them to focus on their core task – the strategic development of human resources. </w:t>
      </w:r>
    </w:p>
    <w:p w14:paraId="1F868F46" w14:textId="76685221" w:rsidR="001F16F1" w:rsidRPr="001B4AEC" w:rsidRDefault="0056080E" w:rsidP="004004E3">
      <w:pPr>
        <w:spacing w:line="276" w:lineRule="auto"/>
        <w:jc w:val="both"/>
        <w:rPr>
          <w:rFonts w:ascii="Calibri" w:hAnsi="Calibri" w:cs="Calibri"/>
          <w:b/>
          <w:bCs/>
          <w:color w:val="000000"/>
          <w:sz w:val="22"/>
          <w:szCs w:val="22"/>
          <w:lang w:val="en-GB"/>
        </w:rPr>
      </w:pPr>
      <w:r w:rsidRPr="001B4AEC">
        <w:rPr>
          <w:rFonts w:ascii="Calibri" w:hAnsi="Calibri" w:cs="Calibri"/>
          <w:b/>
          <w:bCs/>
          <w:color w:val="000000"/>
          <w:sz w:val="22"/>
          <w:szCs w:val="22"/>
          <w:lang w:val="en-GB"/>
        </w:rPr>
        <w:t>The objective will be met by:</w:t>
      </w:r>
    </w:p>
    <w:p w14:paraId="54A1AA91" w14:textId="77777777" w:rsidR="00FF1E34" w:rsidRPr="001B4AEC" w:rsidRDefault="00FF1E34" w:rsidP="004004E3">
      <w:pPr>
        <w:numPr>
          <w:ilvl w:val="0"/>
          <w:numId w:val="4"/>
        </w:numPr>
        <w:spacing w:line="276" w:lineRule="auto"/>
        <w:ind w:left="714" w:hanging="357"/>
        <w:jc w:val="both"/>
        <w:rPr>
          <w:rFonts w:ascii="Calibri" w:hAnsi="Calibri" w:cs="Calibri"/>
          <w:noProof/>
          <w:sz w:val="22"/>
          <w:szCs w:val="22"/>
          <w:lang w:val="en-GB"/>
        </w:rPr>
      </w:pPr>
      <w:r w:rsidRPr="001B4AEC">
        <w:rPr>
          <w:rFonts w:ascii="Calibri" w:hAnsi="Calibri" w:cs="Calibri"/>
          <w:noProof/>
          <w:sz w:val="22"/>
          <w:szCs w:val="22"/>
          <w:lang w:val="en-GB"/>
        </w:rPr>
        <w:t>Establishing an appropriate lawful basis within the law governing the public employee system;</w:t>
      </w:r>
    </w:p>
    <w:p w14:paraId="59194F05" w14:textId="77777777" w:rsidR="00FE26D3" w:rsidRPr="001B4AEC" w:rsidRDefault="00FE26D3" w:rsidP="004004E3">
      <w:pPr>
        <w:numPr>
          <w:ilvl w:val="0"/>
          <w:numId w:val="4"/>
        </w:numPr>
        <w:spacing w:line="276" w:lineRule="auto"/>
        <w:ind w:left="714" w:hanging="357"/>
        <w:jc w:val="both"/>
        <w:rPr>
          <w:rFonts w:ascii="Calibri" w:hAnsi="Calibri" w:cs="Calibri"/>
          <w:noProof/>
          <w:sz w:val="22"/>
          <w:szCs w:val="22"/>
          <w:lang w:val="en-GB"/>
        </w:rPr>
      </w:pPr>
      <w:r w:rsidRPr="001B4AEC">
        <w:rPr>
          <w:rFonts w:ascii="Calibri" w:hAnsi="Calibri" w:cs="Calibri"/>
          <w:noProof/>
          <w:sz w:val="22"/>
          <w:szCs w:val="22"/>
          <w:lang w:val="en-GB"/>
        </w:rPr>
        <w:t>Establishing a single entry point;</w:t>
      </w:r>
    </w:p>
    <w:p w14:paraId="3AF9648F" w14:textId="77777777" w:rsidR="00FE26D3" w:rsidRPr="001B4AEC" w:rsidRDefault="00FE26D3" w:rsidP="004004E3">
      <w:pPr>
        <w:numPr>
          <w:ilvl w:val="0"/>
          <w:numId w:val="4"/>
        </w:numPr>
        <w:spacing w:line="276" w:lineRule="auto"/>
        <w:ind w:left="714" w:hanging="357"/>
        <w:jc w:val="both"/>
        <w:rPr>
          <w:rFonts w:ascii="Calibri" w:hAnsi="Calibri" w:cs="Calibri"/>
          <w:noProof/>
          <w:sz w:val="22"/>
          <w:szCs w:val="22"/>
          <w:lang w:val="en-GB"/>
        </w:rPr>
      </w:pPr>
      <w:r w:rsidRPr="001B4AEC">
        <w:rPr>
          <w:rFonts w:ascii="Calibri" w:hAnsi="Calibri" w:cs="Calibri"/>
          <w:noProof/>
          <w:sz w:val="22"/>
          <w:szCs w:val="22"/>
          <w:lang w:val="en-GB"/>
        </w:rPr>
        <w:t>Employing and training personnel for the operation of a single entry point;</w:t>
      </w:r>
    </w:p>
    <w:p w14:paraId="0C939174" w14:textId="7968FA31" w:rsidR="00BA22F8" w:rsidRPr="001B4AEC" w:rsidRDefault="00BA22F8" w:rsidP="004004E3">
      <w:pPr>
        <w:numPr>
          <w:ilvl w:val="0"/>
          <w:numId w:val="4"/>
        </w:numPr>
        <w:spacing w:line="276" w:lineRule="auto"/>
        <w:ind w:left="714" w:hanging="357"/>
        <w:jc w:val="both"/>
        <w:rPr>
          <w:rFonts w:ascii="Calibri" w:hAnsi="Calibri" w:cs="Calibri"/>
          <w:noProof/>
          <w:sz w:val="22"/>
          <w:szCs w:val="22"/>
          <w:lang w:val="en-GB"/>
        </w:rPr>
      </w:pPr>
      <w:r w:rsidRPr="001B4AEC">
        <w:rPr>
          <w:rFonts w:ascii="Calibri" w:hAnsi="Calibri" w:cs="Calibri"/>
          <w:noProof/>
          <w:sz w:val="22"/>
          <w:szCs w:val="22"/>
          <w:lang w:val="en-GB"/>
        </w:rPr>
        <w:t>Unifying selection procedures for official posts, supported by digital solutions;</w:t>
      </w:r>
    </w:p>
    <w:p w14:paraId="6B7EEB90" w14:textId="77777777" w:rsidR="00C97E90" w:rsidRPr="001B4AEC" w:rsidRDefault="00FE26D3" w:rsidP="004004E3">
      <w:pPr>
        <w:numPr>
          <w:ilvl w:val="0"/>
          <w:numId w:val="4"/>
        </w:numPr>
        <w:spacing w:line="276" w:lineRule="auto"/>
        <w:ind w:left="714" w:hanging="357"/>
        <w:jc w:val="both"/>
        <w:rPr>
          <w:rFonts w:ascii="Calibri" w:hAnsi="Calibri" w:cs="Calibri"/>
          <w:noProof/>
          <w:sz w:val="22"/>
          <w:szCs w:val="22"/>
          <w:lang w:val="en-GB"/>
        </w:rPr>
      </w:pPr>
      <w:r w:rsidRPr="001B4AEC">
        <w:rPr>
          <w:rFonts w:ascii="Calibri" w:hAnsi="Calibri" w:cs="Calibri"/>
          <w:noProof/>
          <w:sz w:val="22"/>
          <w:szCs w:val="22"/>
          <w:lang w:val="en-GB"/>
        </w:rPr>
        <w:t>Using targeted advertising of job vacancies, with communication tailored to specific target or age groups of candidates;</w:t>
      </w:r>
    </w:p>
    <w:p w14:paraId="7F1FDA8F" w14:textId="6785A6D3" w:rsidR="0032151D" w:rsidRPr="001B4AEC" w:rsidRDefault="00BB2AE9" w:rsidP="004004E3">
      <w:pPr>
        <w:numPr>
          <w:ilvl w:val="0"/>
          <w:numId w:val="4"/>
        </w:numPr>
        <w:spacing w:line="276" w:lineRule="auto"/>
        <w:ind w:left="714" w:hanging="357"/>
        <w:jc w:val="both"/>
        <w:rPr>
          <w:rFonts w:ascii="Calibri" w:hAnsi="Calibri" w:cs="Calibri"/>
          <w:noProof/>
          <w:sz w:val="22"/>
          <w:szCs w:val="22"/>
          <w:lang w:val="en-GB"/>
        </w:rPr>
      </w:pPr>
      <w:r w:rsidRPr="001B4AEC">
        <w:rPr>
          <w:rFonts w:ascii="Calibri" w:hAnsi="Calibri" w:cs="Calibri"/>
          <w:noProof/>
          <w:sz w:val="22"/>
          <w:szCs w:val="22"/>
          <w:lang w:val="en-GB"/>
        </w:rPr>
        <w:lastRenderedPageBreak/>
        <w:t>Promoting the state administration among the younger generation (e.g. open days, participation in career and employment fairs); and</w:t>
      </w:r>
    </w:p>
    <w:p w14:paraId="5A5FF0DF" w14:textId="6DBD2EFC" w:rsidR="00F0321D" w:rsidRPr="001B4AEC" w:rsidRDefault="0032151D" w:rsidP="004004E3">
      <w:pPr>
        <w:numPr>
          <w:ilvl w:val="0"/>
          <w:numId w:val="4"/>
        </w:numPr>
        <w:spacing w:line="276" w:lineRule="auto"/>
        <w:jc w:val="both"/>
        <w:rPr>
          <w:rFonts w:ascii="Calibri" w:hAnsi="Calibri" w:cs="Calibri"/>
          <w:noProof/>
          <w:sz w:val="22"/>
          <w:szCs w:val="22"/>
          <w:lang w:val="en-GB"/>
        </w:rPr>
      </w:pPr>
      <w:r w:rsidRPr="001B4AEC">
        <w:rPr>
          <w:rFonts w:ascii="Calibri" w:hAnsi="Calibri" w:cs="Calibri"/>
          <w:noProof/>
          <w:sz w:val="22"/>
          <w:szCs w:val="22"/>
          <w:lang w:val="en-GB"/>
        </w:rPr>
        <w:t>Establishing a system for the acceptance and integration of new public employees into the work process,</w:t>
      </w:r>
      <w:r w:rsidR="00F94042">
        <w:rPr>
          <w:rFonts w:ascii="Calibri" w:hAnsi="Calibri" w:cs="Calibri"/>
          <w:noProof/>
          <w:sz w:val="22"/>
          <w:szCs w:val="22"/>
          <w:lang w:val="en-GB"/>
        </w:rPr>
        <w:t xml:space="preserve"> </w:t>
      </w:r>
      <w:r w:rsidRPr="001B4AEC">
        <w:rPr>
          <w:rFonts w:ascii="Calibri" w:hAnsi="Calibri" w:cs="Calibri"/>
          <w:noProof/>
          <w:sz w:val="22"/>
          <w:szCs w:val="22"/>
          <w:lang w:val="en-GB"/>
        </w:rPr>
        <w:t>on-boarding (defining the procedures and equipment necessary for the successful integration of new colleagues into the working environment, enabling faster acquisition of knowledge and skills, as well as the transfer of competences and experience).</w:t>
      </w:r>
    </w:p>
    <w:bookmarkEnd w:id="15"/>
    <w:bookmarkEnd w:id="16"/>
    <w:p w14:paraId="70064D4D" w14:textId="21057D9F" w:rsidR="00FA4D23" w:rsidRPr="001B4AEC" w:rsidRDefault="00A960F4" w:rsidP="004A7DDD">
      <w:pPr>
        <w:spacing w:before="360" w:after="160" w:line="276" w:lineRule="auto"/>
        <w:ind w:left="709"/>
        <w:jc w:val="both"/>
        <w:rPr>
          <w:rFonts w:ascii="Calibri" w:hAnsi="Calibri" w:cs="Calibri"/>
          <w:b/>
          <w:bCs/>
          <w:noProof/>
          <w:lang w:val="en-GB"/>
        </w:rPr>
      </w:pPr>
      <w:r w:rsidRPr="001B4AEC">
        <w:rPr>
          <w:rFonts w:ascii="Calibri" w:hAnsi="Calibri" w:cs="Calibri"/>
          <w:b/>
          <w:bCs/>
          <w:noProof/>
          <w:lang w:val="en-GB"/>
        </w:rPr>
        <w:t xml:space="preserve">Objective 3: Scholarship policy revival </w:t>
      </w:r>
    </w:p>
    <w:p w14:paraId="3CD079E2" w14:textId="77777777" w:rsidR="00814FF3" w:rsidRPr="001B4AEC" w:rsidRDefault="00814FF3" w:rsidP="004004E3">
      <w:pPr>
        <w:pStyle w:val="Odstavekseznama"/>
        <w:spacing w:before="160" w:after="160" w:line="276" w:lineRule="auto"/>
        <w:ind w:left="0"/>
        <w:jc w:val="both"/>
        <w:rPr>
          <w:rFonts w:ascii="Calibri" w:hAnsi="Calibri" w:cs="Calibri"/>
          <w:sz w:val="22"/>
          <w:szCs w:val="22"/>
          <w:lang w:val="en-GB"/>
        </w:rPr>
      </w:pPr>
      <w:r w:rsidRPr="001B4AEC">
        <w:rPr>
          <w:rFonts w:ascii="Calibri" w:hAnsi="Calibri" w:cs="Calibri"/>
          <w:sz w:val="22"/>
          <w:szCs w:val="22"/>
          <w:lang w:val="en-GB"/>
        </w:rPr>
        <w:t xml:space="preserve">The aim of the scholarship is to engage and connect students with the employer. This, in turn, contributes to addressing personnel gaps, </w:t>
      </w:r>
      <w:r w:rsidRPr="001B4AEC">
        <w:rPr>
          <w:rFonts w:ascii="Calibri" w:hAnsi="Calibri" w:cs="Calibri"/>
          <w:snapToGrid w:val="0"/>
          <w:sz w:val="22"/>
          <w:szCs w:val="22"/>
          <w:lang w:val="en-GB"/>
        </w:rPr>
        <w:t>transferring new knowledge, accelerating the development of state administration services and reducing intergenerational differences.</w:t>
      </w:r>
    </w:p>
    <w:p w14:paraId="7C218439" w14:textId="6DCA89ED" w:rsidR="00637DA0" w:rsidRPr="001B4AEC" w:rsidRDefault="006B2497" w:rsidP="004004E3">
      <w:pPr>
        <w:spacing w:before="160" w:after="160" w:line="276" w:lineRule="auto"/>
        <w:jc w:val="both"/>
        <w:rPr>
          <w:rFonts w:ascii="Calibri" w:hAnsi="Calibri" w:cs="Calibri"/>
          <w:noProof/>
          <w:color w:val="2F5496"/>
          <w:sz w:val="22"/>
          <w:szCs w:val="22"/>
          <w:lang w:val="en-GB"/>
        </w:rPr>
      </w:pPr>
      <w:r w:rsidRPr="001B4AEC">
        <w:rPr>
          <w:rFonts w:ascii="Calibri" w:hAnsi="Calibri" w:cs="Calibri"/>
          <w:sz w:val="22"/>
          <w:szCs w:val="22"/>
          <w:lang w:val="en-GB"/>
        </w:rPr>
        <w:t xml:space="preserve">In the past, company scholarships within state administration bodies were an important source of young and perspective personnel, which also proved successful later in the working process. Given the changing labour market situation, the scholarship policy will serve as a measure to mitigate personnel shortages and to ensure the employment of adequately trained personnel through long-term personnel planning. This would enable the state administration to attract promising young personnel while they are still in education, to steer their training in line with its needs and to assess their competencies prior to employment. Through practical training, scholarship recipients will be able to gradually familiarise themselves with the organisational environment. </w:t>
      </w:r>
    </w:p>
    <w:p w14:paraId="5568E0A2" w14:textId="0B7C4B47" w:rsidR="001D0C54" w:rsidRPr="001B4AEC" w:rsidRDefault="001D0C54" w:rsidP="004004E3">
      <w:pPr>
        <w:pStyle w:val="Odstavekseznama"/>
        <w:spacing w:before="160" w:after="160" w:line="276" w:lineRule="auto"/>
        <w:ind w:left="0"/>
        <w:jc w:val="both"/>
        <w:rPr>
          <w:rFonts w:ascii="Calibri" w:hAnsi="Calibri" w:cs="Calibri"/>
          <w:sz w:val="22"/>
          <w:szCs w:val="22"/>
          <w:lang w:val="en-GB"/>
        </w:rPr>
      </w:pPr>
      <w:r w:rsidRPr="001B4AEC">
        <w:rPr>
          <w:rFonts w:ascii="Calibri" w:hAnsi="Calibri" w:cs="Calibri"/>
          <w:sz w:val="22"/>
          <w:szCs w:val="22"/>
          <w:lang w:val="en-GB"/>
        </w:rPr>
        <w:t xml:space="preserve">For the management of the scholarship policy or the entire scholarship process, the selection of scholarship recipients for employment within state administration bodies </w:t>
      </w:r>
      <w:r w:rsidRPr="001B4AEC">
        <w:rPr>
          <w:rFonts w:ascii="Calibri" w:hAnsi="Calibri" w:cs="Calibri"/>
          <w:color w:val="000000"/>
          <w:sz w:val="22"/>
          <w:szCs w:val="22"/>
          <w:lang w:val="en-GB"/>
        </w:rPr>
        <w:t xml:space="preserve">will be carried out through a </w:t>
      </w:r>
      <w:proofErr w:type="gramStart"/>
      <w:r w:rsidRPr="001B4AEC">
        <w:rPr>
          <w:rFonts w:ascii="Calibri" w:hAnsi="Calibri" w:cs="Calibri"/>
          <w:color w:val="000000"/>
          <w:sz w:val="22"/>
          <w:szCs w:val="22"/>
          <w:lang w:val="en-GB"/>
        </w:rPr>
        <w:t>single entry</w:t>
      </w:r>
      <w:proofErr w:type="gramEnd"/>
      <w:r w:rsidRPr="001B4AEC">
        <w:rPr>
          <w:rFonts w:ascii="Calibri" w:hAnsi="Calibri" w:cs="Calibri"/>
          <w:color w:val="000000"/>
          <w:sz w:val="22"/>
          <w:szCs w:val="22"/>
          <w:lang w:val="en-GB"/>
        </w:rPr>
        <w:t xml:space="preserve"> point. </w:t>
      </w:r>
      <w:r w:rsidRPr="001B4AEC">
        <w:rPr>
          <w:rFonts w:ascii="Calibri" w:hAnsi="Calibri" w:cs="Calibri"/>
          <w:sz w:val="22"/>
          <w:szCs w:val="22"/>
          <w:lang w:val="en-GB"/>
        </w:rPr>
        <w:t xml:space="preserve">Given </w:t>
      </w:r>
      <w:r w:rsidRPr="001B4AEC">
        <w:rPr>
          <w:rFonts w:ascii="Calibri" w:hAnsi="Calibri" w:cs="Calibri"/>
          <w:noProof/>
          <w:sz w:val="22"/>
          <w:szCs w:val="22"/>
          <w:lang w:val="en-GB"/>
        </w:rPr>
        <w:t xml:space="preserve">that there were still </w:t>
      </w:r>
      <w:r w:rsidRPr="001B4AEC">
        <w:rPr>
          <w:rFonts w:ascii="Calibri" w:hAnsi="Calibri" w:cs="Calibri"/>
          <w:sz w:val="22"/>
          <w:szCs w:val="22"/>
          <w:lang w:val="en-GB"/>
        </w:rPr>
        <w:t>12.5 applications per published internship post in 2022, and that between 70% and 80% of the procedures are completed successfully, the search will primarily focus on profiles that state administration bodies are unable to recruit through the labour market.</w:t>
      </w:r>
      <w:r w:rsidRPr="001B4AEC">
        <w:rPr>
          <w:rFonts w:ascii="Calibri" w:hAnsi="Calibri" w:cs="Calibri"/>
          <w:b/>
          <w:bCs/>
          <w:sz w:val="22"/>
          <w:szCs w:val="22"/>
          <w:lang w:val="en-GB"/>
        </w:rPr>
        <w:t xml:space="preserve"> </w:t>
      </w:r>
    </w:p>
    <w:p w14:paraId="1A82D0CA" w14:textId="533AFB39" w:rsidR="00371F69" w:rsidRPr="001B4AEC" w:rsidRDefault="0025016B" w:rsidP="004004E3">
      <w:pPr>
        <w:spacing w:before="160" w:after="160" w:line="276" w:lineRule="auto"/>
        <w:jc w:val="both"/>
        <w:rPr>
          <w:rFonts w:ascii="Calibri" w:hAnsi="Calibri" w:cs="Calibri"/>
          <w:color w:val="000000"/>
          <w:sz w:val="22"/>
          <w:szCs w:val="22"/>
          <w:lang w:val="en-GB"/>
        </w:rPr>
      </w:pPr>
      <w:r w:rsidRPr="001B4AEC">
        <w:rPr>
          <w:rFonts w:ascii="Calibri" w:hAnsi="Calibri" w:cs="Calibri"/>
          <w:color w:val="000000"/>
          <w:sz w:val="22"/>
          <w:szCs w:val="22"/>
          <w:lang w:val="en-GB"/>
        </w:rPr>
        <w:t>In this way, state administration bodies will define the requirements for scholarship recipients based on personnel needs. These will be determined according to the estimated shortage of personnel in state administration posts, anticipated personnel turnover, the scope and nature of the body's responsibilities, new work content (e.g. projects) and the human resources policy implemented by the Government.</w:t>
      </w:r>
    </w:p>
    <w:p w14:paraId="279099B8" w14:textId="78BF9C7E" w:rsidR="0032151D" w:rsidRPr="001B4AEC" w:rsidRDefault="00686FA4" w:rsidP="004004E3">
      <w:pPr>
        <w:spacing w:line="276" w:lineRule="auto"/>
        <w:jc w:val="both"/>
        <w:rPr>
          <w:rFonts w:ascii="Calibri" w:hAnsi="Calibri" w:cs="Calibri"/>
          <w:b/>
          <w:bCs/>
          <w:color w:val="000000"/>
          <w:sz w:val="22"/>
          <w:szCs w:val="22"/>
          <w:lang w:val="en-GB"/>
        </w:rPr>
      </w:pPr>
      <w:r w:rsidRPr="001B4AEC">
        <w:rPr>
          <w:rFonts w:ascii="Calibri" w:hAnsi="Calibri" w:cs="Calibri"/>
          <w:b/>
          <w:bCs/>
          <w:color w:val="000000"/>
          <w:sz w:val="22"/>
          <w:szCs w:val="22"/>
          <w:lang w:val="en-GB"/>
        </w:rPr>
        <w:t>The objective will be met by:</w:t>
      </w:r>
    </w:p>
    <w:p w14:paraId="6F617F01" w14:textId="77777777" w:rsidR="00EA36EE" w:rsidRPr="001B4AEC" w:rsidRDefault="00BB2AE9" w:rsidP="004004E3">
      <w:pPr>
        <w:numPr>
          <w:ilvl w:val="0"/>
          <w:numId w:val="4"/>
        </w:numPr>
        <w:spacing w:line="276" w:lineRule="auto"/>
        <w:ind w:left="714" w:hanging="357"/>
        <w:jc w:val="both"/>
        <w:rPr>
          <w:rFonts w:ascii="Calibri" w:hAnsi="Calibri" w:cs="Calibri"/>
          <w:noProof/>
          <w:sz w:val="22"/>
          <w:szCs w:val="22"/>
          <w:lang w:val="en-GB"/>
        </w:rPr>
      </w:pPr>
      <w:r w:rsidRPr="001B4AEC">
        <w:rPr>
          <w:rFonts w:ascii="Calibri" w:hAnsi="Calibri" w:cs="Calibri"/>
          <w:noProof/>
          <w:sz w:val="22"/>
          <w:szCs w:val="22"/>
          <w:lang w:val="en-GB"/>
        </w:rPr>
        <w:t>Updating legal basis for granting company scholarships;</w:t>
      </w:r>
    </w:p>
    <w:p w14:paraId="0A5245AC" w14:textId="77777777" w:rsidR="00BB2AE9" w:rsidRPr="001B4AEC" w:rsidRDefault="00BB2AE9" w:rsidP="004004E3">
      <w:pPr>
        <w:numPr>
          <w:ilvl w:val="0"/>
          <w:numId w:val="4"/>
        </w:numPr>
        <w:spacing w:line="276" w:lineRule="auto"/>
        <w:ind w:left="714" w:hanging="357"/>
        <w:jc w:val="both"/>
        <w:rPr>
          <w:rFonts w:ascii="Calibri" w:hAnsi="Calibri" w:cs="Calibri"/>
          <w:color w:val="000000"/>
          <w:sz w:val="22"/>
          <w:szCs w:val="22"/>
          <w:lang w:val="en-GB"/>
        </w:rPr>
      </w:pPr>
      <w:r w:rsidRPr="001B4AEC">
        <w:rPr>
          <w:rFonts w:ascii="Calibri" w:hAnsi="Calibri" w:cs="Calibri"/>
          <w:color w:val="000000"/>
          <w:sz w:val="22"/>
          <w:szCs w:val="22"/>
          <w:lang w:val="en-GB"/>
        </w:rPr>
        <w:t xml:space="preserve">Establishing a </w:t>
      </w:r>
      <w:proofErr w:type="gramStart"/>
      <w:r w:rsidRPr="001B4AEC">
        <w:rPr>
          <w:rFonts w:ascii="Calibri" w:hAnsi="Calibri" w:cs="Calibri"/>
          <w:color w:val="000000"/>
          <w:sz w:val="22"/>
          <w:szCs w:val="22"/>
          <w:lang w:val="en-GB"/>
        </w:rPr>
        <w:t>single entry</w:t>
      </w:r>
      <w:proofErr w:type="gramEnd"/>
      <w:r w:rsidRPr="001B4AEC">
        <w:rPr>
          <w:rFonts w:ascii="Calibri" w:hAnsi="Calibri" w:cs="Calibri"/>
          <w:color w:val="000000"/>
          <w:sz w:val="22"/>
          <w:szCs w:val="22"/>
          <w:lang w:val="en-GB"/>
        </w:rPr>
        <w:t xml:space="preserve"> point;</w:t>
      </w:r>
    </w:p>
    <w:p w14:paraId="02A4BA48" w14:textId="01692F3A" w:rsidR="00765C33" w:rsidRPr="001B4AEC" w:rsidRDefault="00BB2AE9" w:rsidP="004004E3">
      <w:pPr>
        <w:numPr>
          <w:ilvl w:val="0"/>
          <w:numId w:val="4"/>
        </w:numPr>
        <w:spacing w:line="276" w:lineRule="auto"/>
        <w:ind w:left="714" w:hanging="357"/>
        <w:jc w:val="both"/>
        <w:rPr>
          <w:rFonts w:ascii="Calibri" w:hAnsi="Calibri" w:cs="Calibri"/>
          <w:color w:val="000000"/>
          <w:sz w:val="22"/>
          <w:szCs w:val="22"/>
          <w:lang w:val="en-GB"/>
        </w:rPr>
      </w:pPr>
      <w:r w:rsidRPr="001B4AEC">
        <w:rPr>
          <w:rFonts w:ascii="Calibri" w:hAnsi="Calibri" w:cs="Calibri"/>
          <w:color w:val="000000"/>
          <w:sz w:val="22"/>
          <w:szCs w:val="22"/>
          <w:lang w:val="en-GB"/>
        </w:rPr>
        <w:t xml:space="preserve">Employing and training personnel for operating the </w:t>
      </w:r>
      <w:proofErr w:type="gramStart"/>
      <w:r w:rsidRPr="001B4AEC">
        <w:rPr>
          <w:rFonts w:ascii="Calibri" w:hAnsi="Calibri" w:cs="Calibri"/>
          <w:color w:val="000000"/>
          <w:sz w:val="22"/>
          <w:szCs w:val="22"/>
          <w:lang w:val="en-GB"/>
        </w:rPr>
        <w:t>single entry</w:t>
      </w:r>
      <w:proofErr w:type="gramEnd"/>
      <w:r w:rsidRPr="001B4AEC">
        <w:rPr>
          <w:rFonts w:ascii="Calibri" w:hAnsi="Calibri" w:cs="Calibri"/>
          <w:color w:val="000000"/>
          <w:sz w:val="22"/>
          <w:szCs w:val="22"/>
          <w:lang w:val="en-GB"/>
        </w:rPr>
        <w:t xml:space="preserve"> point for the selection of scholarship recipients and</w:t>
      </w:r>
    </w:p>
    <w:p w14:paraId="048B12C8" w14:textId="2D4736E4" w:rsidR="00765C33" w:rsidRPr="001B4AEC" w:rsidRDefault="00BB2AE9" w:rsidP="004004E3">
      <w:pPr>
        <w:numPr>
          <w:ilvl w:val="0"/>
          <w:numId w:val="4"/>
        </w:numPr>
        <w:spacing w:line="276" w:lineRule="auto"/>
        <w:ind w:left="714" w:hanging="357"/>
        <w:jc w:val="both"/>
        <w:rPr>
          <w:rFonts w:ascii="Calibri" w:hAnsi="Calibri" w:cs="Calibri"/>
          <w:noProof/>
          <w:sz w:val="22"/>
          <w:szCs w:val="22"/>
          <w:lang w:val="en-GB"/>
        </w:rPr>
      </w:pPr>
      <w:r w:rsidRPr="001B4AEC">
        <w:rPr>
          <w:rFonts w:ascii="Calibri" w:hAnsi="Calibri" w:cs="Calibri"/>
          <w:noProof/>
          <w:sz w:val="22"/>
          <w:szCs w:val="22"/>
          <w:lang w:val="en-GB"/>
        </w:rPr>
        <w:t>Promoting the state administration among the younger generation (e.g. open days, participation in career and employment fairs).</w:t>
      </w:r>
    </w:p>
    <w:p w14:paraId="68F6005C" w14:textId="77777777" w:rsidR="00811C2F" w:rsidRPr="001B4AEC" w:rsidRDefault="00811C2F" w:rsidP="004004E3">
      <w:pPr>
        <w:spacing w:before="160" w:after="160" w:line="276" w:lineRule="auto"/>
        <w:rPr>
          <w:rFonts w:ascii="Arial" w:eastAsia="DejaVu Sans" w:hAnsi="Arial" w:cs="Arial"/>
          <w:b/>
          <w:noProof/>
          <w:kern w:val="1"/>
          <w:lang w:val="en-GB"/>
        </w:rPr>
      </w:pPr>
      <w:bookmarkStart w:id="17" w:name="_Hlk119338099"/>
      <w:r w:rsidRPr="001B4AEC">
        <w:rPr>
          <w:rFonts w:ascii="Arial" w:hAnsi="Arial" w:cs="Arial"/>
          <w:noProof/>
          <w:lang w:val="en-GB"/>
        </w:rPr>
        <w:br w:type="page"/>
      </w:r>
    </w:p>
    <w:p w14:paraId="03D2E7F6" w14:textId="221099C0" w:rsidR="00F0321D" w:rsidRPr="001B4AEC" w:rsidRDefault="0066566D" w:rsidP="004004E3">
      <w:pPr>
        <w:pStyle w:val="Slog2"/>
        <w:spacing w:before="160" w:after="160" w:line="276" w:lineRule="auto"/>
        <w:rPr>
          <w:lang w:val="en-GB"/>
        </w:rPr>
      </w:pPr>
      <w:bookmarkStart w:id="18" w:name="_Hlk166666317"/>
      <w:bookmarkStart w:id="19" w:name="_Toc205539565"/>
      <w:r w:rsidRPr="001B4AEC">
        <w:rPr>
          <w:bCs/>
          <w:lang w:val="en-GB"/>
        </w:rPr>
        <w:lastRenderedPageBreak/>
        <w:t>5.2 Competent and motivated public employee</w:t>
      </w:r>
      <w:bookmarkStart w:id="20" w:name="_Hlk119338650"/>
      <w:bookmarkEnd w:id="17"/>
      <w:bookmarkEnd w:id="18"/>
      <w:bookmarkEnd w:id="19"/>
    </w:p>
    <w:p w14:paraId="33AC1E58" w14:textId="6D14E0D2" w:rsidR="001C1C52" w:rsidRPr="001B4AEC" w:rsidRDefault="006D225E" w:rsidP="004A7DDD">
      <w:pPr>
        <w:spacing w:before="360" w:after="160" w:line="276" w:lineRule="auto"/>
        <w:jc w:val="both"/>
        <w:rPr>
          <w:rFonts w:ascii="Calibri" w:hAnsi="Calibri" w:cs="Calibri"/>
          <w:noProof/>
          <w:sz w:val="22"/>
          <w:szCs w:val="22"/>
          <w:lang w:val="en-GB"/>
        </w:rPr>
      </w:pPr>
      <w:r w:rsidRPr="001B4AEC">
        <w:rPr>
          <w:rFonts w:ascii="Calibri" w:hAnsi="Calibri" w:cs="Calibri"/>
          <w:noProof/>
          <w:sz w:val="22"/>
          <w:szCs w:val="22"/>
          <w:lang w:val="en-GB"/>
        </w:rPr>
        <w:t>The second priority aims to establish conditions for the personal and career development of public employees.</w:t>
      </w:r>
    </w:p>
    <w:p w14:paraId="11C4ACBB" w14:textId="3A0361DE" w:rsidR="004C47E7" w:rsidRPr="001B4AEC" w:rsidRDefault="00A960F4" w:rsidP="004A7DDD">
      <w:pPr>
        <w:spacing w:before="360" w:after="160" w:line="276" w:lineRule="auto"/>
        <w:ind w:left="360"/>
        <w:jc w:val="both"/>
        <w:rPr>
          <w:rFonts w:ascii="Calibri" w:hAnsi="Calibri" w:cs="Calibri"/>
          <w:b/>
          <w:bCs/>
          <w:noProof/>
          <w:lang w:val="en-GB"/>
        </w:rPr>
      </w:pPr>
      <w:r w:rsidRPr="001B4AEC">
        <w:rPr>
          <w:rFonts w:ascii="Calibri" w:hAnsi="Calibri" w:cs="Calibri"/>
          <w:b/>
          <w:bCs/>
          <w:noProof/>
          <w:lang w:val="en-GB"/>
        </w:rPr>
        <w:t xml:space="preserve">OBJECTIVE 1: Establishing a system for the identification and development of talent and succession </w:t>
      </w:r>
      <w:bookmarkEnd w:id="20"/>
    </w:p>
    <w:p w14:paraId="5DC871B1" w14:textId="086F7ADF" w:rsidR="004C47E7" w:rsidRPr="001B4AEC" w:rsidRDefault="004C47E7" w:rsidP="004004E3">
      <w:pPr>
        <w:spacing w:before="160" w:after="160" w:line="276" w:lineRule="auto"/>
        <w:jc w:val="both"/>
        <w:rPr>
          <w:rFonts w:ascii="Calibri" w:hAnsi="Calibri" w:cs="Calibri"/>
          <w:sz w:val="22"/>
          <w:szCs w:val="22"/>
          <w:lang w:val="en-GB"/>
        </w:rPr>
      </w:pPr>
      <w:r w:rsidRPr="001B4AEC">
        <w:rPr>
          <w:rFonts w:ascii="Calibri" w:hAnsi="Calibri" w:cs="Calibri"/>
          <w:sz w:val="22"/>
          <w:szCs w:val="22"/>
          <w:lang w:val="en-GB"/>
        </w:rPr>
        <w:t xml:space="preserve">Talent management is a key </w:t>
      </w:r>
      <w:r w:rsidRPr="00603AC6">
        <w:rPr>
          <w:rFonts w:ascii="Calibri" w:hAnsi="Calibri" w:cs="Calibri"/>
          <w:sz w:val="22"/>
          <w:szCs w:val="22"/>
          <w:lang w:val="en-GB"/>
        </w:rPr>
        <w:t xml:space="preserve">aspect of </w:t>
      </w:r>
      <w:r w:rsidR="000B616D" w:rsidRPr="00603AC6">
        <w:rPr>
          <w:rFonts w:ascii="Calibri" w:hAnsi="Calibri" w:cs="Calibri"/>
          <w:sz w:val="22"/>
          <w:szCs w:val="22"/>
          <w:lang w:val="en-GB"/>
        </w:rPr>
        <w:t>human resource management</w:t>
      </w:r>
      <w:r w:rsidRPr="00603AC6">
        <w:rPr>
          <w:rFonts w:ascii="Calibri" w:hAnsi="Calibri" w:cs="Calibri"/>
          <w:sz w:val="22"/>
          <w:szCs w:val="22"/>
          <w:lang w:val="en-GB"/>
        </w:rPr>
        <w:t xml:space="preserve"> in the state administration. Developing key personnel, managing talent and providing opportunities for development and advancement are effective tools for retaining personnel and reducing fluctuation</w:t>
      </w:r>
      <w:r w:rsidRPr="001B4AEC">
        <w:rPr>
          <w:rFonts w:ascii="Calibri" w:hAnsi="Calibri" w:cs="Calibri"/>
          <w:sz w:val="22"/>
          <w:szCs w:val="22"/>
          <w:lang w:val="en-GB"/>
        </w:rPr>
        <w:t xml:space="preserve">. An important contributing factor is an appropriate organisational culture, which requires continuous improvement and is characterised by a stimulating multigenerational work environment, enhanced well-being and job satisfaction and ongoing development of public employees' competences and skills. The aim is to encourage public employees to contribute to a more responsive, effective and sustainable state administration. </w:t>
      </w:r>
    </w:p>
    <w:p w14:paraId="420B3A99" w14:textId="0E1A4AA7" w:rsidR="004C47E7" w:rsidRPr="001B4AEC" w:rsidRDefault="004C47E7" w:rsidP="004004E3">
      <w:pPr>
        <w:autoSpaceDN w:val="0"/>
        <w:spacing w:before="160" w:after="160" w:line="276" w:lineRule="auto"/>
        <w:jc w:val="both"/>
        <w:textAlignment w:val="baseline"/>
        <w:rPr>
          <w:rFonts w:ascii="Calibri" w:hAnsi="Calibri" w:cs="Calibri"/>
          <w:sz w:val="22"/>
          <w:szCs w:val="22"/>
          <w:lang w:val="en-GB"/>
        </w:rPr>
      </w:pPr>
      <w:r w:rsidRPr="001B4AEC">
        <w:rPr>
          <w:rFonts w:ascii="Calibri" w:hAnsi="Calibri" w:cs="Calibri"/>
          <w:sz w:val="22"/>
          <w:szCs w:val="22"/>
          <w:lang w:val="en-GB"/>
        </w:rPr>
        <w:t xml:space="preserve">The talent management framework integrates various human resource measures – </w:t>
      </w:r>
      <w:proofErr w:type="gramStart"/>
      <w:r w:rsidRPr="001B4AEC">
        <w:rPr>
          <w:rFonts w:ascii="Calibri" w:hAnsi="Calibri" w:cs="Calibri"/>
          <w:sz w:val="22"/>
          <w:szCs w:val="22"/>
          <w:lang w:val="en-GB"/>
        </w:rPr>
        <w:t>from modern recruitment methods and the identification and monitoring of individual strengths,</w:t>
      </w:r>
      <w:proofErr w:type="gramEnd"/>
      <w:r w:rsidRPr="001B4AEC">
        <w:rPr>
          <w:rFonts w:ascii="Calibri" w:hAnsi="Calibri" w:cs="Calibri"/>
          <w:sz w:val="22"/>
          <w:szCs w:val="22"/>
          <w:lang w:val="en-GB"/>
        </w:rPr>
        <w:t xml:space="preserve"> to the provision of development opportunities, personnel retention, optimal placement, succession planning and the identification of reasons for employee departures. Such measures will help activate the potential of public employees, enabling them to </w:t>
      </w:r>
      <w:proofErr w:type="gramStart"/>
      <w:r w:rsidRPr="001B4AEC">
        <w:rPr>
          <w:rFonts w:ascii="Calibri" w:hAnsi="Calibri" w:cs="Calibri"/>
          <w:sz w:val="22"/>
          <w:szCs w:val="22"/>
          <w:lang w:val="en-GB"/>
        </w:rPr>
        <w:t>performing</w:t>
      </w:r>
      <w:proofErr w:type="gramEnd"/>
      <w:r w:rsidRPr="001B4AEC">
        <w:rPr>
          <w:rFonts w:ascii="Calibri" w:hAnsi="Calibri" w:cs="Calibri"/>
          <w:sz w:val="22"/>
          <w:szCs w:val="22"/>
          <w:lang w:val="en-GB"/>
        </w:rPr>
        <w:t xml:space="preserve"> their duties with greater professionalism, responsibility and motivation. </w:t>
      </w:r>
    </w:p>
    <w:p w14:paraId="305D2083" w14:textId="17A2AB85" w:rsidR="004C47E7" w:rsidRPr="00603AC6" w:rsidRDefault="004C47E7" w:rsidP="004004E3">
      <w:pPr>
        <w:autoSpaceDN w:val="0"/>
        <w:spacing w:before="160" w:after="160" w:line="276" w:lineRule="auto"/>
        <w:jc w:val="both"/>
        <w:textAlignment w:val="baseline"/>
        <w:rPr>
          <w:rFonts w:ascii="Calibri" w:hAnsi="Calibri" w:cs="Calibri"/>
          <w:sz w:val="22"/>
          <w:szCs w:val="22"/>
          <w:lang w:val="en-GB"/>
        </w:rPr>
      </w:pPr>
      <w:r w:rsidRPr="001B4AEC">
        <w:rPr>
          <w:rFonts w:ascii="Calibri" w:hAnsi="Calibri" w:cs="Calibri"/>
          <w:sz w:val="22"/>
          <w:szCs w:val="22"/>
          <w:lang w:val="en-GB"/>
        </w:rPr>
        <w:t xml:space="preserve">The competence model was developed as a tool to identify areas in which employees can realise and further enhance their potential. It serves as a basis for identifying the most suitable individuals for specific positions, planning careers and successions and assessing the training needs of public employees. Competences and the knowledge management system are closely linked to the organisation's efforts to create an environment that empowers employees to improve their innovation and efficiency. At the same time, it enables employees to understand </w:t>
      </w:r>
      <w:r w:rsidRPr="00603AC6">
        <w:rPr>
          <w:rFonts w:ascii="Calibri" w:hAnsi="Calibri" w:cs="Calibri"/>
          <w:sz w:val="22"/>
          <w:szCs w:val="22"/>
          <w:lang w:val="en-GB"/>
        </w:rPr>
        <w:t xml:space="preserve">what is expected of them. </w:t>
      </w:r>
    </w:p>
    <w:p w14:paraId="60BF2A15" w14:textId="43CDF586" w:rsidR="004C47E7" w:rsidRPr="001B4AEC" w:rsidRDefault="004C47E7" w:rsidP="004004E3">
      <w:pPr>
        <w:spacing w:before="160" w:after="160" w:line="276" w:lineRule="auto"/>
        <w:jc w:val="both"/>
        <w:rPr>
          <w:rFonts w:ascii="Calibri" w:hAnsi="Calibri" w:cs="Calibri"/>
          <w:sz w:val="22"/>
          <w:szCs w:val="22"/>
          <w:lang w:val="en-GB"/>
        </w:rPr>
      </w:pPr>
      <w:r w:rsidRPr="00603AC6">
        <w:rPr>
          <w:rFonts w:ascii="Calibri" w:hAnsi="Calibri" w:cs="Calibri"/>
          <w:sz w:val="22"/>
          <w:szCs w:val="22"/>
          <w:lang w:val="en-GB"/>
        </w:rPr>
        <w:t xml:space="preserve">Succession planning should be emphasised as a key component of the </w:t>
      </w:r>
      <w:r w:rsidR="000B616D" w:rsidRPr="00603AC6">
        <w:rPr>
          <w:rFonts w:ascii="Calibri" w:hAnsi="Calibri" w:cs="Calibri"/>
          <w:sz w:val="22"/>
          <w:szCs w:val="22"/>
          <w:lang w:val="en-GB"/>
        </w:rPr>
        <w:t>human resource management</w:t>
      </w:r>
      <w:r w:rsidRPr="00603AC6">
        <w:rPr>
          <w:rFonts w:ascii="Calibri" w:hAnsi="Calibri" w:cs="Calibri"/>
          <w:sz w:val="22"/>
          <w:szCs w:val="22"/>
          <w:lang w:val="en-GB"/>
        </w:rPr>
        <w:t xml:space="preserve"> programme. As is often the case, senior employees or public employees in key positions retire, change posts, or other changes occur that reveal the remaining employees are not yet prepared</w:t>
      </w:r>
      <w:r w:rsidRPr="001B4AEC">
        <w:rPr>
          <w:rFonts w:ascii="Calibri" w:hAnsi="Calibri" w:cs="Calibri"/>
          <w:sz w:val="22"/>
          <w:szCs w:val="22"/>
          <w:lang w:val="en-GB"/>
        </w:rPr>
        <w:t xml:space="preserve"> to transition into more demanding or critical roles. This may be due to a lack of leadership competencies, appropriate knowledge, skills, or experience. </w:t>
      </w:r>
    </w:p>
    <w:p w14:paraId="3ED3DF67" w14:textId="21AE9E65" w:rsidR="004C47E7" w:rsidRPr="001B4AEC" w:rsidRDefault="00A27DDC" w:rsidP="004004E3">
      <w:pPr>
        <w:spacing w:before="160" w:after="160" w:line="276" w:lineRule="auto"/>
        <w:jc w:val="both"/>
        <w:rPr>
          <w:rFonts w:ascii="Calibri" w:hAnsi="Calibri" w:cs="Calibri"/>
          <w:sz w:val="22"/>
          <w:szCs w:val="22"/>
          <w:lang w:val="en-GB"/>
        </w:rPr>
      </w:pPr>
      <w:r w:rsidRPr="001B4AEC">
        <w:rPr>
          <w:rFonts w:ascii="Calibri" w:hAnsi="Calibri" w:cs="Calibri"/>
          <w:sz w:val="22"/>
          <w:szCs w:val="22"/>
          <w:lang w:val="en-GB"/>
        </w:rPr>
        <w:t xml:space="preserve">Through succession planning and content-updated, digitally supported performance and development reviews, it will be easier to identify and recruit potential candidates for key positions based on the required and expected competences. By defining key competences for specific areas or job positions, it is possible to identify employees who are highly likely to perform well in a given role. From this point onwards, the selected candidate's competences should be systematically developed, and the candidate should be prepared to assume the position in the future. </w:t>
      </w:r>
    </w:p>
    <w:p w14:paraId="47FC93FA" w14:textId="5A8F8102" w:rsidR="00CD109D" w:rsidRPr="001B4AEC" w:rsidRDefault="004C47E7" w:rsidP="004004E3">
      <w:pPr>
        <w:spacing w:before="160" w:after="160" w:line="276" w:lineRule="auto"/>
        <w:jc w:val="both"/>
        <w:rPr>
          <w:rFonts w:ascii="Calibri" w:hAnsi="Calibri" w:cs="Calibri"/>
          <w:sz w:val="22"/>
          <w:szCs w:val="22"/>
          <w:lang w:val="en-GB"/>
        </w:rPr>
      </w:pPr>
      <w:r w:rsidRPr="001B4AEC">
        <w:rPr>
          <w:rFonts w:ascii="Calibri" w:hAnsi="Calibri" w:cs="Calibri"/>
          <w:sz w:val="22"/>
          <w:szCs w:val="22"/>
          <w:lang w:val="en-GB"/>
        </w:rPr>
        <w:t>For the state administration, this ensures the availability of a pool of potential candidates in advance, who may then assume specific positions as the need arises.</w:t>
      </w:r>
    </w:p>
    <w:p w14:paraId="1EB0A53E" w14:textId="0C699550" w:rsidR="004C5994" w:rsidRPr="001B4AEC" w:rsidRDefault="00686FA4" w:rsidP="004004E3">
      <w:pPr>
        <w:spacing w:line="276" w:lineRule="auto"/>
        <w:jc w:val="both"/>
        <w:rPr>
          <w:rFonts w:ascii="Calibri" w:hAnsi="Calibri" w:cs="Calibri"/>
          <w:b/>
          <w:bCs/>
          <w:color w:val="000000"/>
          <w:sz w:val="22"/>
          <w:szCs w:val="22"/>
          <w:lang w:val="en-GB"/>
        </w:rPr>
      </w:pPr>
      <w:r w:rsidRPr="001B4AEC">
        <w:rPr>
          <w:rFonts w:ascii="Calibri" w:hAnsi="Calibri" w:cs="Calibri"/>
          <w:b/>
          <w:bCs/>
          <w:color w:val="000000"/>
          <w:sz w:val="22"/>
          <w:szCs w:val="22"/>
          <w:lang w:val="en-GB"/>
        </w:rPr>
        <w:t>The objective will be met by:</w:t>
      </w:r>
    </w:p>
    <w:p w14:paraId="79BFF9EF" w14:textId="77777777" w:rsidR="000E780B" w:rsidRPr="001B4AEC" w:rsidRDefault="00BA22F8" w:rsidP="004004E3">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lastRenderedPageBreak/>
        <w:t>Annually assessing public employees' competences within the framework of annual performance and development reviews, supported by the MUZA information system;</w:t>
      </w:r>
    </w:p>
    <w:p w14:paraId="54E451CA" w14:textId="77777777" w:rsidR="00BA2379" w:rsidRPr="001B4AEC" w:rsidRDefault="005473B7" w:rsidP="004004E3">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Determining the methodology for identifying key job positions;</w:t>
      </w:r>
    </w:p>
    <w:p w14:paraId="082AA435" w14:textId="67C3AF2A" w:rsidR="00535F67" w:rsidRPr="001B4AEC" w:rsidRDefault="00174CF3" w:rsidP="004004E3">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Determining tools for identifying and developing talents and successors, including the use of artificial intelligence and advanced HRM analytics;</w:t>
      </w:r>
    </w:p>
    <w:p w14:paraId="66EA4192" w14:textId="1E823579" w:rsidR="00364737" w:rsidRPr="001B4AEC" w:rsidRDefault="00504D2C" w:rsidP="004004E3">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Evaluating practices for identifying and developing talents and successors within the state administration;</w:t>
      </w:r>
    </w:p>
    <w:p w14:paraId="6060672D" w14:textId="044A1550" w:rsidR="00CE3A33" w:rsidRPr="001B4AEC" w:rsidRDefault="00364737" w:rsidP="004004E3">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Managing personnel based on the agile approach and the design thinking methodology; and</w:t>
      </w:r>
    </w:p>
    <w:p w14:paraId="09A6A883" w14:textId="571FE028" w:rsidR="00727F6F" w:rsidRPr="001B4AEC" w:rsidRDefault="004A2C67" w:rsidP="004004E3">
      <w:pPr>
        <w:numPr>
          <w:ilvl w:val="0"/>
          <w:numId w:val="4"/>
        </w:numPr>
        <w:spacing w:line="276" w:lineRule="auto"/>
        <w:ind w:left="714" w:hanging="357"/>
        <w:jc w:val="both"/>
        <w:rPr>
          <w:rFonts w:ascii="Calibri" w:hAnsi="Calibri" w:cs="Calibri"/>
          <w:sz w:val="22"/>
          <w:szCs w:val="22"/>
          <w:lang w:val="en-GB"/>
        </w:rPr>
      </w:pPr>
      <w:r w:rsidRPr="001B4AEC">
        <w:rPr>
          <w:rFonts w:ascii="Calibri" w:hAnsi="Calibri" w:cs="Calibri"/>
          <w:sz w:val="22"/>
          <w:szCs w:val="22"/>
          <w:lang w:val="en-GB"/>
        </w:rPr>
        <w:t>Implementing coaching to support employee development and achieve public employees' professional objectives, as well as establishing teams to strengthen the leadership role.</w:t>
      </w:r>
    </w:p>
    <w:p w14:paraId="0F18A517" w14:textId="6D5AFB3C" w:rsidR="00FD1868" w:rsidRPr="001B4AEC" w:rsidRDefault="00A960F4" w:rsidP="00AF0956">
      <w:pPr>
        <w:spacing w:before="360" w:after="160" w:line="276" w:lineRule="auto"/>
        <w:ind w:left="1134" w:hanging="777"/>
        <w:jc w:val="both"/>
        <w:rPr>
          <w:rFonts w:ascii="Calibri" w:hAnsi="Calibri" w:cs="Calibri"/>
          <w:b/>
          <w:bCs/>
          <w:noProof/>
          <w:lang w:val="en-GB"/>
        </w:rPr>
      </w:pPr>
      <w:bookmarkStart w:id="21" w:name="_Hlk166666110"/>
      <w:r w:rsidRPr="001B4AEC">
        <w:rPr>
          <w:rFonts w:ascii="Calibri" w:hAnsi="Calibri" w:cs="Calibri"/>
          <w:b/>
          <w:bCs/>
          <w:noProof/>
          <w:lang w:val="en-GB"/>
        </w:rPr>
        <w:t>OBJECTIVE 2: Raising awareness of the importance of lifelong learning for a successful state administration</w:t>
      </w:r>
    </w:p>
    <w:bookmarkEnd w:id="21"/>
    <w:p w14:paraId="7C623EAB" w14:textId="4991DB5B" w:rsidR="008C159D" w:rsidRPr="001B4AEC" w:rsidRDefault="00B00DE9" w:rsidP="004004E3">
      <w:pPr>
        <w:suppressAutoHyphens/>
        <w:autoSpaceDN w:val="0"/>
        <w:spacing w:before="160" w:after="160" w:line="276" w:lineRule="auto"/>
        <w:jc w:val="both"/>
        <w:textAlignment w:val="baseline"/>
        <w:rPr>
          <w:rFonts w:ascii="Calibri" w:eastAsia="Calibri" w:hAnsi="Calibri" w:cs="Calibri"/>
          <w:sz w:val="22"/>
          <w:szCs w:val="22"/>
          <w:lang w:val="en-GB"/>
        </w:rPr>
      </w:pPr>
      <w:r w:rsidRPr="001B4AEC">
        <w:rPr>
          <w:rFonts w:ascii="Calibri" w:eastAsia="Calibri" w:hAnsi="Calibri" w:cs="Calibri"/>
          <w:sz w:val="22"/>
          <w:szCs w:val="22"/>
          <w:lang w:val="en-GB"/>
        </w:rPr>
        <w:t xml:space="preserve">The state administration will need to become a learning organisation – one that is capable of learning from the past and anticipating the future. The COVID-19 epidemic and the subsequent acceleration of digitisation have taught us that now, more than ever, it is essential to strengthen the culture and motivation for individuals to engage in lifelong learning. Knowledge, experience and values must be continuously developed to ensure the effective performance of duties. This applies to expertise, holistic problem-solving, innovative solution design, bridging of digital competence gaps and emphasis on the green and sustainable transition. Based on the identified competence gaps, all public employees should be provided with various opportunities to upgrade their knowledge, personal competences and job-specific skills through periodic training. </w:t>
      </w:r>
    </w:p>
    <w:p w14:paraId="26C45029" w14:textId="70ADDFB7" w:rsidR="00B00DE9" w:rsidRPr="001B4AEC" w:rsidRDefault="00B00DE9" w:rsidP="004004E3">
      <w:pPr>
        <w:suppressAutoHyphens/>
        <w:autoSpaceDN w:val="0"/>
        <w:spacing w:before="160" w:after="160" w:line="276" w:lineRule="auto"/>
        <w:jc w:val="both"/>
        <w:textAlignment w:val="baseline"/>
        <w:rPr>
          <w:rFonts w:ascii="Calibri" w:eastAsia="Calibri" w:hAnsi="Calibri" w:cs="Calibri"/>
          <w:sz w:val="22"/>
          <w:szCs w:val="22"/>
          <w:lang w:val="en-GB"/>
        </w:rPr>
      </w:pPr>
      <w:r w:rsidRPr="001B4AEC">
        <w:rPr>
          <w:rFonts w:ascii="Calibri" w:hAnsi="Calibri" w:cs="Calibri"/>
          <w:sz w:val="22"/>
          <w:szCs w:val="22"/>
          <w:lang w:val="en-GB"/>
        </w:rPr>
        <w:t xml:space="preserve">Key emphasis in the development of knowledge and </w:t>
      </w:r>
      <w:r w:rsidRPr="00603AC6">
        <w:rPr>
          <w:rFonts w:ascii="Calibri" w:hAnsi="Calibri" w:cs="Calibri"/>
          <w:sz w:val="22"/>
          <w:szCs w:val="22"/>
          <w:lang w:val="en-GB"/>
        </w:rPr>
        <w:t xml:space="preserve">skills will be placed on leaders at all levels of leadership, as they bear significant responsibility for </w:t>
      </w:r>
      <w:r w:rsidR="000B616D" w:rsidRPr="00603AC6">
        <w:rPr>
          <w:rFonts w:ascii="Calibri" w:hAnsi="Calibri" w:cs="Calibri"/>
          <w:sz w:val="22"/>
          <w:szCs w:val="22"/>
          <w:lang w:val="en-GB"/>
        </w:rPr>
        <w:t>human resource management</w:t>
      </w:r>
      <w:r w:rsidRPr="00603AC6">
        <w:rPr>
          <w:rFonts w:ascii="Calibri" w:hAnsi="Calibri" w:cs="Calibri"/>
          <w:sz w:val="22"/>
          <w:szCs w:val="22"/>
          <w:lang w:val="en-GB"/>
        </w:rPr>
        <w:t xml:space="preserve"> and the organisation's success. Today, the core competencies of all leaders are no longer limited</w:t>
      </w:r>
      <w:r w:rsidRPr="001B4AEC">
        <w:rPr>
          <w:rFonts w:ascii="Calibri" w:hAnsi="Calibri" w:cs="Calibri"/>
          <w:sz w:val="22"/>
          <w:szCs w:val="22"/>
          <w:lang w:val="en-GB"/>
        </w:rPr>
        <w:t xml:space="preserve"> to trade- or task-specific expertise; they comprise knowledge, skills and values. These represent a set of cognitive abilities essential for navigating an unpredictable future, appreciating individual diversity, recognising talent and planning career development. Establishing open communication and mutual trust is essential to ensuring mutual respect and the achievement of shared objectives.</w:t>
      </w:r>
    </w:p>
    <w:p w14:paraId="06E0DC26" w14:textId="11D606AF" w:rsidR="00785E69" w:rsidRPr="001B4AEC" w:rsidRDefault="00CA695E" w:rsidP="004004E3">
      <w:pPr>
        <w:spacing w:before="160" w:after="160" w:line="276" w:lineRule="auto"/>
        <w:jc w:val="both"/>
        <w:rPr>
          <w:rFonts w:ascii="Calibri" w:hAnsi="Calibri" w:cs="Calibri"/>
          <w:sz w:val="22"/>
          <w:szCs w:val="22"/>
          <w:lang w:val="en-GB"/>
        </w:rPr>
      </w:pPr>
      <w:r w:rsidRPr="001B4AEC">
        <w:rPr>
          <w:rFonts w:ascii="Calibri" w:hAnsi="Calibri" w:cs="Calibri"/>
          <w:sz w:val="22"/>
          <w:szCs w:val="22"/>
          <w:lang w:val="en-GB"/>
        </w:rPr>
        <w:t xml:space="preserve">For newly appointed officials within the existing framework, the required training represents a first step towards recognising the importance of lifelong learning. Training programmes designed to enable public employees to acquire new knowledge and enhance existing competences and skills must be of high quality, accessible and appealing to users. Therefore, training programmes that place the active role of the participant at the centre will continue to be developed. The development of </w:t>
      </w:r>
      <w:r w:rsidRPr="001B4AEC">
        <w:rPr>
          <w:rFonts w:ascii="Calibri" w:hAnsi="Calibri" w:cs="Calibri"/>
          <w:color w:val="000000"/>
          <w:sz w:val="22"/>
          <w:szCs w:val="22"/>
          <w:lang w:val="en-GB"/>
        </w:rPr>
        <w:t xml:space="preserve">modern training approaches (teamwork, practical case work and problem-solving) as well as interactive e-learning, will be promoted. These enable individuals to participate in training at any time and from any location. Learning opportunities range from in-person and remote training </w:t>
      </w:r>
      <w:r w:rsidRPr="001B4AEC">
        <w:rPr>
          <w:rFonts w:ascii="Calibri" w:hAnsi="Calibri" w:cs="Calibri"/>
          <w:sz w:val="22"/>
          <w:szCs w:val="22"/>
          <w:lang w:val="en-GB"/>
        </w:rPr>
        <w:t xml:space="preserve">to more advanced approaches such as peer-to-peer learning, coaching and, even more importantly, intergenerational cooperation and planned succession. </w:t>
      </w:r>
    </w:p>
    <w:p w14:paraId="61CA7FEB" w14:textId="0A5816DD" w:rsidR="00EB48CB" w:rsidRPr="001B4AEC" w:rsidRDefault="000E780B" w:rsidP="00AB2756">
      <w:pPr>
        <w:spacing w:line="276" w:lineRule="auto"/>
        <w:jc w:val="both"/>
        <w:rPr>
          <w:rFonts w:ascii="Calibri" w:hAnsi="Calibri" w:cs="Calibri"/>
          <w:b/>
          <w:bCs/>
          <w:color w:val="000000"/>
          <w:sz w:val="22"/>
          <w:szCs w:val="22"/>
          <w:lang w:val="en-GB"/>
        </w:rPr>
      </w:pPr>
      <w:r w:rsidRPr="001B4AEC">
        <w:rPr>
          <w:rFonts w:ascii="Calibri" w:hAnsi="Calibri" w:cs="Calibri"/>
          <w:b/>
          <w:bCs/>
          <w:color w:val="000000"/>
          <w:sz w:val="22"/>
          <w:szCs w:val="22"/>
          <w:lang w:val="en-GB"/>
        </w:rPr>
        <w:t>The objective will be met by:</w:t>
      </w:r>
    </w:p>
    <w:p w14:paraId="309A503C" w14:textId="735490E8" w:rsidR="00C44CA9" w:rsidRPr="001B4AEC" w:rsidRDefault="00C44CA9" w:rsidP="00AB2756">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lastRenderedPageBreak/>
        <w:t>Raising awareness of the importance of lifelong learning within the state administration, including the establishment of mechanisms for knowledge transfer among employees (e.g. coaching, succession planning, intergenerational cooperation);</w:t>
      </w:r>
    </w:p>
    <w:p w14:paraId="2B04DCEC" w14:textId="00586D60" w:rsidR="00EB48CB" w:rsidRPr="001B4AEC" w:rsidRDefault="005473B7" w:rsidP="00AB2756">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Optimising the delivery of training programmes through the use of innovative learning methods; and</w:t>
      </w:r>
    </w:p>
    <w:p w14:paraId="749C1C61" w14:textId="77777777" w:rsidR="00D675D3" w:rsidRPr="001B4AEC" w:rsidRDefault="00C44CA9" w:rsidP="00AB2756">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Developing new programmes and ensuring a stable source of financing for the lifelong learning of state administration employees.</w:t>
      </w:r>
    </w:p>
    <w:p w14:paraId="70D29182" w14:textId="25FA7C1A" w:rsidR="001900DF" w:rsidRPr="001B4AEC" w:rsidRDefault="00A960F4" w:rsidP="00AF0956">
      <w:pPr>
        <w:spacing w:before="360" w:after="160" w:line="276" w:lineRule="auto"/>
        <w:ind w:left="1134" w:hanging="777"/>
        <w:jc w:val="both"/>
        <w:rPr>
          <w:rFonts w:ascii="Calibri" w:hAnsi="Calibri" w:cs="Calibri"/>
          <w:b/>
          <w:bCs/>
          <w:noProof/>
          <w:lang w:val="en-GB"/>
        </w:rPr>
      </w:pPr>
      <w:bookmarkStart w:id="22" w:name="_Hlk119338118"/>
      <w:r w:rsidRPr="001B4AEC">
        <w:rPr>
          <w:rFonts w:ascii="Calibri" w:hAnsi="Calibri" w:cs="Calibri"/>
          <w:b/>
          <w:bCs/>
          <w:noProof/>
          <w:lang w:val="en-GB"/>
        </w:rPr>
        <w:t xml:space="preserve">OBJECTIVE 3: </w:t>
      </w:r>
      <w:bookmarkEnd w:id="22"/>
      <w:r w:rsidRPr="001B4AEC">
        <w:rPr>
          <w:rFonts w:ascii="Calibri" w:hAnsi="Calibri" w:cs="Calibri"/>
          <w:b/>
          <w:bCs/>
          <w:noProof/>
          <w:lang w:val="en-GB"/>
        </w:rPr>
        <w:t xml:space="preserve">Introducing new approaches to managing the work environment with a multigenerational workforce </w:t>
      </w:r>
    </w:p>
    <w:p w14:paraId="74BFA9EA" w14:textId="0644B181" w:rsidR="00764E2B" w:rsidRPr="001B4AEC" w:rsidRDefault="00A15789" w:rsidP="004004E3">
      <w:pPr>
        <w:spacing w:before="160" w:after="160" w:line="276" w:lineRule="auto"/>
        <w:jc w:val="both"/>
        <w:rPr>
          <w:rFonts w:ascii="Calibri" w:eastAsia="Calibri" w:hAnsi="Calibri" w:cs="Calibri"/>
          <w:sz w:val="22"/>
          <w:szCs w:val="22"/>
          <w:lang w:val="en-GB"/>
        </w:rPr>
      </w:pPr>
      <w:r w:rsidRPr="001B4AEC">
        <w:rPr>
          <w:rFonts w:ascii="Calibri" w:eastAsia="Calibri" w:hAnsi="Calibri" w:cs="Calibri"/>
          <w:sz w:val="22"/>
          <w:szCs w:val="22"/>
          <w:lang w:val="en-GB"/>
        </w:rPr>
        <w:t>Due to the ageing of personnel in the state administration, incentives will be introduced to support the development of specific activities promoting active ageing in the workplace. The key to the success of policies concerning the management of older employees lies in promoting an organisational culture that is inclusive towards older employees and recognises them as a valuable source of knowledge. Policies addressing the management of work–life balance for older public employees will be developed. Older employees must continue to be given opportunities to acquire new knowledge and undergo training. Furthermore, the enhancement of competences among leaders at all management levels must be ensured. In addition, the competences of those responsible for employee development must also be strengthened, as these are essential for managing a multigenerational workforce.</w:t>
      </w:r>
    </w:p>
    <w:p w14:paraId="5F6E8612" w14:textId="01DBBD78" w:rsidR="00756148" w:rsidRPr="001B4AEC" w:rsidRDefault="003803C6" w:rsidP="004004E3">
      <w:pPr>
        <w:spacing w:before="160" w:after="160" w:line="276" w:lineRule="auto"/>
        <w:jc w:val="both"/>
        <w:rPr>
          <w:rFonts w:ascii="Calibri" w:eastAsia="Calibri" w:hAnsi="Calibri" w:cs="Calibri"/>
          <w:sz w:val="22"/>
          <w:lang w:val="en-GB"/>
        </w:rPr>
      </w:pPr>
      <w:r w:rsidRPr="001B4AEC">
        <w:rPr>
          <w:rFonts w:ascii="Calibri" w:eastAsia="Calibri" w:hAnsi="Calibri" w:cs="Calibri"/>
          <w:sz w:val="22"/>
          <w:lang w:val="en-GB"/>
        </w:rPr>
        <w:t>Measures aimed at improving the utilisation of older public employees' experience and knowledge will be based on the establishment of systems for transferring knowledge to younger colleagues. Within the framework of promoting intergenerational cooperation, the establishment of a reverse coaching system also plays an important role. This involves the transfer of knowledge from younger to older public employees – for example, coaching in the acquisition of digital competences, job-sharing arrangements in which younger and older public employees share a position for a limited period and the creation of intergenerational teams for specific tasks.</w:t>
      </w:r>
    </w:p>
    <w:p w14:paraId="62A5AE91" w14:textId="576D7255" w:rsidR="00900AF8" w:rsidRPr="001B4AEC" w:rsidRDefault="00791ED7" w:rsidP="00AB2756">
      <w:pPr>
        <w:spacing w:line="276" w:lineRule="auto"/>
        <w:jc w:val="both"/>
        <w:rPr>
          <w:rFonts w:ascii="Calibri" w:hAnsi="Calibri" w:cs="Calibri"/>
          <w:b/>
          <w:bCs/>
          <w:color w:val="000000"/>
          <w:sz w:val="22"/>
          <w:szCs w:val="22"/>
          <w:lang w:val="en-GB"/>
        </w:rPr>
      </w:pPr>
      <w:r w:rsidRPr="001B4AEC">
        <w:rPr>
          <w:rFonts w:ascii="Calibri" w:hAnsi="Calibri" w:cs="Calibri"/>
          <w:b/>
          <w:bCs/>
          <w:color w:val="000000"/>
          <w:sz w:val="22"/>
          <w:szCs w:val="22"/>
          <w:lang w:val="en-GB"/>
        </w:rPr>
        <w:t>The objective will be met by:</w:t>
      </w:r>
    </w:p>
    <w:p w14:paraId="0926D1A3" w14:textId="1C9AE133" w:rsidR="0056080E" w:rsidRPr="001B4AEC" w:rsidRDefault="004E7327" w:rsidP="00AB2756">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Empowering older public employees within the state administration (e.g. appointing a senior colleague as the organisation's ambassador for a one-year term);</w:t>
      </w:r>
    </w:p>
    <w:p w14:paraId="31450F57" w14:textId="77777777" w:rsidR="000B7418" w:rsidRPr="001B4AEC" w:rsidRDefault="000B7418" w:rsidP="00AB2756">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Establishing systems for knowledge transfer from older to younger public employees;</w:t>
      </w:r>
    </w:p>
    <w:p w14:paraId="416A4E21" w14:textId="6E2E3F17" w:rsidR="004E7327" w:rsidRPr="001B4AEC" w:rsidRDefault="004E7327" w:rsidP="00AB2756">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Providing training and strengthening leadership competences at all management levels;</w:t>
      </w:r>
    </w:p>
    <w:p w14:paraId="488CF157" w14:textId="1DD9AFFE" w:rsidR="007C5079" w:rsidRPr="001B4AEC" w:rsidRDefault="004E7327" w:rsidP="00AB2756">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 xml:space="preserve">Providing training and enhancing the human resources </w:t>
      </w:r>
      <w:r w:rsidR="00EF75DB">
        <w:rPr>
          <w:rFonts w:ascii="Calibri" w:hAnsi="Calibri" w:cs="Calibri"/>
          <w:sz w:val="22"/>
          <w:szCs w:val="22"/>
          <w:lang w:val="en-GB"/>
        </w:rPr>
        <w:t>coordinators</w:t>
      </w:r>
      <w:r w:rsidRPr="001B4AEC">
        <w:rPr>
          <w:rFonts w:ascii="Calibri" w:hAnsi="Calibri" w:cs="Calibri"/>
          <w:sz w:val="22"/>
          <w:szCs w:val="22"/>
          <w:lang w:val="en-GB"/>
        </w:rPr>
        <w:t>' competences in managing a multigenerational workforce;</w:t>
      </w:r>
    </w:p>
    <w:p w14:paraId="5665EF13" w14:textId="77777777" w:rsidR="00226EBD" w:rsidRPr="001B4AEC" w:rsidRDefault="007C5079" w:rsidP="00AB2756">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Cooperating in the development of the Employee Longevity Strategy;</w:t>
      </w:r>
    </w:p>
    <w:p w14:paraId="408B04AD" w14:textId="771BAE0F" w:rsidR="009023B5" w:rsidRPr="001B4AEC" w:rsidRDefault="00226EBD" w:rsidP="00AB2756">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Conducting interviews with older employees prior to retirement and reaching an agreement – at least one year before meeting the conditions for retirement – on the approximate retirement date or on a gradual/flexible transition to retirement; and</w:t>
      </w:r>
    </w:p>
    <w:p w14:paraId="75DB93E2" w14:textId="2EA5122D" w:rsidR="00A0776B" w:rsidRPr="001B4AEC" w:rsidRDefault="00D12BC2" w:rsidP="00AB2756">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Promoting active ageing and enhancing workplace well-being programmes.</w:t>
      </w:r>
    </w:p>
    <w:p w14:paraId="536EB1EE" w14:textId="14C5AAF2" w:rsidR="0025016B" w:rsidRPr="001B4AEC" w:rsidRDefault="00A960F4" w:rsidP="00E66DD0">
      <w:pPr>
        <w:spacing w:before="360" w:after="160" w:line="276" w:lineRule="auto"/>
        <w:ind w:left="357"/>
        <w:jc w:val="both"/>
        <w:rPr>
          <w:rFonts w:ascii="Calibri" w:hAnsi="Calibri" w:cs="Calibri"/>
          <w:b/>
          <w:bCs/>
          <w:noProof/>
          <w:lang w:val="en-GB"/>
        </w:rPr>
      </w:pPr>
      <w:r w:rsidRPr="001B4AEC">
        <w:rPr>
          <w:rFonts w:ascii="Calibri" w:hAnsi="Calibri" w:cs="Calibri"/>
          <w:b/>
          <w:bCs/>
          <w:noProof/>
          <w:lang w:val="en-GB"/>
        </w:rPr>
        <w:t xml:space="preserve">OBJECTIVE 4: Promoting the mobility of public employees </w:t>
      </w:r>
    </w:p>
    <w:p w14:paraId="778A784A" w14:textId="0AEB611C" w:rsidR="00561BB1" w:rsidRPr="001B4AEC" w:rsidRDefault="0025016B" w:rsidP="004004E3">
      <w:pPr>
        <w:spacing w:before="160" w:after="160" w:line="276" w:lineRule="auto"/>
        <w:jc w:val="both"/>
        <w:rPr>
          <w:rFonts w:ascii="Calibri" w:hAnsi="Calibri" w:cs="Calibri"/>
          <w:noProof/>
          <w:sz w:val="22"/>
          <w:szCs w:val="22"/>
          <w:lang w:val="en-GB"/>
        </w:rPr>
      </w:pPr>
      <w:r w:rsidRPr="001B4AEC">
        <w:rPr>
          <w:rFonts w:ascii="Calibri" w:hAnsi="Calibri" w:cs="Calibri"/>
          <w:noProof/>
          <w:sz w:val="22"/>
          <w:szCs w:val="22"/>
          <w:lang w:val="en-GB"/>
        </w:rPr>
        <w:lastRenderedPageBreak/>
        <w:t>Conditions will be created to rationalise and effectively organise human resources, enhance competences and support the career development of public employees. These measures will facilitate mobility by revitalising and digitalising the internal labour market, including knowledge and opportunity across state administration bodies. Furthermore, various forms of mobility (such as participation in working groups, project-based work and personnel transfers) will be promoted.</w:t>
      </w:r>
    </w:p>
    <w:p w14:paraId="24769192" w14:textId="4816A82C" w:rsidR="00765C33" w:rsidRPr="001B4AEC" w:rsidRDefault="00CE178B" w:rsidP="004004E3">
      <w:pPr>
        <w:spacing w:before="160" w:after="160" w:line="276" w:lineRule="auto"/>
        <w:jc w:val="both"/>
        <w:rPr>
          <w:rFonts w:ascii="Calibri" w:eastAsia="Calibri" w:hAnsi="Calibri" w:cs="Calibri"/>
          <w:bCs/>
          <w:sz w:val="22"/>
          <w:szCs w:val="22"/>
          <w:lang w:val="en-GB"/>
        </w:rPr>
      </w:pPr>
      <w:bookmarkStart w:id="23" w:name="_Hlk124237775"/>
      <w:r w:rsidRPr="001B4AEC">
        <w:rPr>
          <w:rFonts w:ascii="Calibri" w:hAnsi="Calibri" w:cs="Calibri"/>
          <w:noProof/>
          <w:sz w:val="22"/>
          <w:szCs w:val="22"/>
          <w:lang w:val="en-GB"/>
        </w:rPr>
        <w:t>The mobility of public employees will be promoted through an</w:t>
      </w:r>
      <w:bookmarkEnd w:id="23"/>
      <w:r w:rsidRPr="001B4AEC">
        <w:rPr>
          <w:rFonts w:ascii="Calibri" w:hAnsi="Calibri" w:cs="Calibri"/>
          <w:noProof/>
          <w:sz w:val="22"/>
          <w:szCs w:val="22"/>
          <w:lang w:val="en-GB"/>
        </w:rPr>
        <w:t xml:space="preserve"> </w:t>
      </w:r>
      <w:r w:rsidRPr="001B4AEC">
        <w:rPr>
          <w:rFonts w:ascii="Calibri" w:hAnsi="Calibri" w:cs="Calibri"/>
          <w:sz w:val="22"/>
          <w:szCs w:val="22"/>
          <w:lang w:val="en-GB"/>
        </w:rPr>
        <w:t xml:space="preserve">information-supported database containing data on required knowledge, as well as on potential candidates and their competences, thereby enabling human resource services to make optimal personnel decisions. This also provides public employees with the opportunity to pursue new challenges or areas of expertise in which to develop their potential. By encouraging mobility among public employees, the principle of placing the right individuals in the right positions will be followed. </w:t>
      </w:r>
    </w:p>
    <w:p w14:paraId="760EA59C" w14:textId="0EC3D116" w:rsidR="00B70217" w:rsidRPr="001B4AEC" w:rsidRDefault="00CB65F8" w:rsidP="004004E3">
      <w:pPr>
        <w:spacing w:before="160" w:after="160" w:line="276" w:lineRule="auto"/>
        <w:jc w:val="both"/>
        <w:rPr>
          <w:rFonts w:ascii="Calibri" w:hAnsi="Calibri" w:cs="Calibri"/>
          <w:szCs w:val="20"/>
          <w:lang w:val="en-GB"/>
        </w:rPr>
      </w:pPr>
      <w:r w:rsidRPr="001B4AEC">
        <w:rPr>
          <w:rFonts w:ascii="Calibri" w:eastAsia="Calibri" w:hAnsi="Calibri" w:cs="Calibri"/>
          <w:sz w:val="22"/>
          <w:szCs w:val="22"/>
          <w:lang w:val="en-GB"/>
        </w:rPr>
        <w:t>Mobility within the internal labour market will be promoted, while inclusion in the internal labour market will contribute to a better transfer of knowledge, information and good practices. Mobility will be promoted as a core value, and additional measures will be implemented for less attractive posts.</w:t>
      </w:r>
    </w:p>
    <w:p w14:paraId="04790A14" w14:textId="54445A6F" w:rsidR="0018465E" w:rsidRPr="001B4AEC" w:rsidRDefault="00777B0E" w:rsidP="00E66DD0">
      <w:pPr>
        <w:spacing w:line="276" w:lineRule="auto"/>
        <w:jc w:val="both"/>
        <w:rPr>
          <w:rFonts w:ascii="Calibri" w:hAnsi="Calibri" w:cs="Calibri"/>
          <w:b/>
          <w:bCs/>
          <w:color w:val="000000"/>
          <w:sz w:val="22"/>
          <w:szCs w:val="22"/>
          <w:lang w:val="en-GB"/>
        </w:rPr>
      </w:pPr>
      <w:r w:rsidRPr="001B4AEC">
        <w:rPr>
          <w:rFonts w:ascii="Calibri" w:hAnsi="Calibri" w:cs="Calibri"/>
          <w:b/>
          <w:bCs/>
          <w:color w:val="000000"/>
          <w:sz w:val="22"/>
          <w:szCs w:val="22"/>
          <w:lang w:val="en-GB"/>
        </w:rPr>
        <w:t>The objective will be met by:</w:t>
      </w:r>
    </w:p>
    <w:p w14:paraId="328453D8" w14:textId="560FDFA5" w:rsidR="005473B7" w:rsidRPr="001B4AEC" w:rsidRDefault="005473B7" w:rsidP="00E66DD0">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Revitalising the internal labour market, knowledge sharing and career opportunities within state administration bodies through the IS MUZA platform;</w:t>
      </w:r>
    </w:p>
    <w:p w14:paraId="19915040" w14:textId="77777777" w:rsidR="00FF1E34" w:rsidRPr="001B4AEC" w:rsidRDefault="005473B7" w:rsidP="00E66DD0">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Promoting the use of internal labour market, knowledge and career opportunities within state administration bodies;</w:t>
      </w:r>
    </w:p>
    <w:p w14:paraId="76C0655D" w14:textId="21BDF681" w:rsidR="00345E59" w:rsidRPr="001B4AEC" w:rsidRDefault="006B4036" w:rsidP="00E66DD0">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 xml:space="preserve">Encouraging various forms of mobility (e.g. participation in project groups and activities, (temporary) relocations for project implementation, substitution of absent employees and coverage during periods of temporarily increased workload); and </w:t>
      </w:r>
    </w:p>
    <w:p w14:paraId="4DFD90E1" w14:textId="246E8D06" w:rsidR="00345E59" w:rsidRPr="001B4AEC" w:rsidRDefault="00345E59" w:rsidP="00E66DD0">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Establishing a procedure for employee off-boarding, enabling structured evaluation and feedback on the reasons for termination of employment (including defined steps, required documentation, handover of duties and equipment and an exit interview to gather information on why the public employee is leaving and what could prevent such departures).</w:t>
      </w:r>
    </w:p>
    <w:p w14:paraId="4956ACF2" w14:textId="0F00A5CB" w:rsidR="00B70217" w:rsidRPr="001B4AEC" w:rsidRDefault="00A960F4" w:rsidP="00AF0956">
      <w:pPr>
        <w:spacing w:before="360" w:after="160" w:line="276" w:lineRule="auto"/>
        <w:ind w:left="1134" w:hanging="777"/>
        <w:jc w:val="both"/>
        <w:rPr>
          <w:rFonts w:ascii="Calibri" w:hAnsi="Calibri" w:cs="Calibri"/>
          <w:b/>
          <w:bCs/>
          <w:noProof/>
          <w:lang w:val="en-GB"/>
        </w:rPr>
      </w:pPr>
      <w:r w:rsidRPr="001B4AEC">
        <w:rPr>
          <w:rFonts w:ascii="Calibri" w:hAnsi="Calibri" w:cs="Calibri"/>
          <w:b/>
          <w:bCs/>
          <w:noProof/>
          <w:lang w:val="en-GB"/>
        </w:rPr>
        <w:t xml:space="preserve">OBJECTIVE 5: </w:t>
      </w:r>
      <w:bookmarkStart w:id="24" w:name="_Hlk166587938"/>
      <w:r w:rsidRPr="001B4AEC">
        <w:rPr>
          <w:rFonts w:ascii="Calibri" w:hAnsi="Calibri" w:cs="Calibri"/>
          <w:b/>
          <w:bCs/>
          <w:noProof/>
          <w:lang w:val="en-GB"/>
        </w:rPr>
        <w:t xml:space="preserve">Introducing flexible working methods into the work process </w:t>
      </w:r>
    </w:p>
    <w:bookmarkEnd w:id="24"/>
    <w:p w14:paraId="2E779A58" w14:textId="77777777" w:rsidR="00D24B05" w:rsidRPr="001B4AEC" w:rsidRDefault="00D24B05" w:rsidP="004004E3">
      <w:pPr>
        <w:pStyle w:val="xmsonormal"/>
        <w:spacing w:before="160" w:after="160" w:line="276" w:lineRule="auto"/>
        <w:jc w:val="both"/>
        <w:rPr>
          <w:lang w:val="en-GB"/>
        </w:rPr>
      </w:pPr>
      <w:r w:rsidRPr="001B4AEC">
        <w:rPr>
          <w:lang w:val="en-GB"/>
        </w:rPr>
        <w:t xml:space="preserve">In order for the state administration to become competitive in the labour market and to attract and retain personnel, it must respond to changing circumstances by adjusting its work organisation and working hours. One of the approaches is the introduction of flexible forms of work (e.g. remote work, reduced working hours), which support public employees in balancing their professional and private lives, while providing the employer with greater flexibility and more efficient work organisation. It is therefore necessary to keep pace with emerging trends in flexible work organisation and to create the conditions for their effective implementation, taking into account the operational needs of the state administration. </w:t>
      </w:r>
    </w:p>
    <w:p w14:paraId="7803C6DF" w14:textId="77777777" w:rsidR="00A0776B" w:rsidRPr="001B4AEC" w:rsidRDefault="00D24B05" w:rsidP="004004E3">
      <w:pPr>
        <w:pStyle w:val="xmsonormal"/>
        <w:spacing w:before="160" w:after="160" w:line="276" w:lineRule="auto"/>
        <w:jc w:val="both"/>
        <w:rPr>
          <w:lang w:val="en-GB"/>
        </w:rPr>
      </w:pPr>
      <w:r w:rsidRPr="001B4AEC">
        <w:rPr>
          <w:lang w:val="en-GB"/>
        </w:rPr>
        <w:t xml:space="preserve">In addition to the numerous benefits that flexible work organisation offers both public employees and the employer, it also presents certain challenges. Namely, the increasing use of information and communication technology in work processes is blurring the line between public employee's private and professional lives. </w:t>
      </w:r>
    </w:p>
    <w:p w14:paraId="7DC23AB0" w14:textId="36ADE8FA" w:rsidR="00D24B05" w:rsidRPr="001B4AEC" w:rsidRDefault="00D24B05" w:rsidP="004004E3">
      <w:pPr>
        <w:pStyle w:val="xmsonormal"/>
        <w:spacing w:before="160" w:after="160" w:line="276" w:lineRule="auto"/>
        <w:jc w:val="both"/>
        <w:rPr>
          <w:lang w:val="en-GB"/>
        </w:rPr>
      </w:pPr>
      <w:r w:rsidRPr="001B4AEC">
        <w:rPr>
          <w:lang w:val="en-GB"/>
        </w:rPr>
        <w:lastRenderedPageBreak/>
        <w:t xml:space="preserve">It is therefore essential to establish the conditions for the proper implementation of the right to disconnect through suitable measures, and to ensure that these measures are effectively applied in practice. </w:t>
      </w:r>
    </w:p>
    <w:p w14:paraId="029ED082" w14:textId="4A2346B3" w:rsidR="001F16F1" w:rsidRPr="001B4AEC" w:rsidRDefault="00796AAB" w:rsidP="001173BA">
      <w:pPr>
        <w:spacing w:line="276" w:lineRule="auto"/>
        <w:jc w:val="both"/>
        <w:rPr>
          <w:rFonts w:ascii="Calibri" w:hAnsi="Calibri" w:cs="Calibri"/>
          <w:b/>
          <w:bCs/>
          <w:color w:val="000000"/>
          <w:sz w:val="22"/>
          <w:szCs w:val="22"/>
          <w:lang w:val="en-GB"/>
        </w:rPr>
      </w:pPr>
      <w:r w:rsidRPr="001B4AEC">
        <w:rPr>
          <w:rFonts w:ascii="Calibri" w:hAnsi="Calibri" w:cs="Calibri"/>
          <w:b/>
          <w:bCs/>
          <w:color w:val="000000"/>
          <w:sz w:val="22"/>
          <w:szCs w:val="22"/>
          <w:lang w:val="en-GB"/>
        </w:rPr>
        <w:t>The objective will be met by:</w:t>
      </w:r>
    </w:p>
    <w:p w14:paraId="1E92B94A" w14:textId="1DB43395" w:rsidR="0099240C" w:rsidRPr="001B4AEC" w:rsidRDefault="00EB48CB" w:rsidP="001173BA">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 xml:space="preserve">Continuously monitoring developments in flexible forms of work and incorporating them by taking into account the requirements of the work process; </w:t>
      </w:r>
    </w:p>
    <w:p w14:paraId="5629F697" w14:textId="05211C7A" w:rsidR="008D2DEA" w:rsidRPr="001B4AEC" w:rsidRDefault="00AA21B9" w:rsidP="00F95BEF">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 xml:space="preserve">Designing a set of initiatives and implementing and monitoring measures that ensure public employees' right to disconnect in accordance with applicable regulations; </w:t>
      </w:r>
    </w:p>
    <w:p w14:paraId="22E5F5C5" w14:textId="24DEF661" w:rsidR="008D2DEA" w:rsidRPr="001B4AEC" w:rsidRDefault="008D2DEA" w:rsidP="001173BA">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Designing uniform guidelines to ensure flexible working arrangements, including hybrid forms of work in state administration in line with the Government's guidelines;</w:t>
      </w:r>
    </w:p>
    <w:p w14:paraId="6B124428" w14:textId="458F0EFC" w:rsidR="001037EA" w:rsidRPr="001B4AEC" w:rsidRDefault="008D2DEA" w:rsidP="001173BA">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Implementing arrangements whereby two or more public employees are employed part-time in one or more posts (job sharing);</w:t>
      </w:r>
    </w:p>
    <w:p w14:paraId="36CD9836" w14:textId="68B7D55D" w:rsidR="00D17C0B" w:rsidRPr="001B4AEC" w:rsidRDefault="001037EA" w:rsidP="001173BA">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 xml:space="preserve">Appointing an independent personnel representative to provide advice and assistance in exercising rights arising from labour legislation to public employees employed in state administration bodies where trade unions are not active; </w:t>
      </w:r>
    </w:p>
    <w:p w14:paraId="1A58B3FB" w14:textId="77777777" w:rsidR="007B5DFC" w:rsidRPr="001B4AEC" w:rsidRDefault="00D17C0B" w:rsidP="001173BA">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Promoting economic democracy in the workplace; and</w:t>
      </w:r>
    </w:p>
    <w:p w14:paraId="0BD16980" w14:textId="53B8863B" w:rsidR="00811C2F" w:rsidRPr="001B4AEC" w:rsidRDefault="005768DC" w:rsidP="00F95BEF">
      <w:pPr>
        <w:numPr>
          <w:ilvl w:val="0"/>
          <w:numId w:val="4"/>
        </w:numPr>
        <w:spacing w:line="276" w:lineRule="auto"/>
        <w:jc w:val="both"/>
        <w:rPr>
          <w:rFonts w:ascii="Calibri" w:hAnsi="Calibri" w:cs="Calibri"/>
          <w:sz w:val="22"/>
          <w:szCs w:val="22"/>
          <w:lang w:val="en-GB"/>
        </w:rPr>
      </w:pPr>
      <w:r w:rsidRPr="001B4AEC">
        <w:rPr>
          <w:rFonts w:ascii="Calibri" w:hAnsi="Calibri" w:cs="Calibri"/>
          <w:sz w:val="22"/>
          <w:szCs w:val="22"/>
          <w:lang w:val="en-GB"/>
        </w:rPr>
        <w:t>Encouraging the exchange of experience among employees in both the state administration and the private sector.</w:t>
      </w:r>
    </w:p>
    <w:p w14:paraId="6882C8D5" w14:textId="40475695" w:rsidR="00EC7630" w:rsidRPr="001B4AEC" w:rsidRDefault="0025016B" w:rsidP="001173BA">
      <w:pPr>
        <w:pStyle w:val="Slog1"/>
        <w:spacing w:before="360" w:after="360" w:line="276" w:lineRule="auto"/>
        <w:ind w:left="714" w:hanging="357"/>
        <w:rPr>
          <w:lang w:val="en-GB"/>
        </w:rPr>
      </w:pPr>
      <w:bookmarkStart w:id="25" w:name="_Toc205539566"/>
      <w:r w:rsidRPr="001B4AEC">
        <w:rPr>
          <w:lang w:val="en-GB"/>
        </w:rPr>
        <w:t>Sources and references</w:t>
      </w:r>
      <w:bookmarkEnd w:id="25"/>
    </w:p>
    <w:p w14:paraId="762CB526" w14:textId="145A6633" w:rsidR="0004259C" w:rsidRPr="001B4AEC" w:rsidRDefault="0004259C" w:rsidP="00D82A5E">
      <w:pPr>
        <w:numPr>
          <w:ilvl w:val="1"/>
          <w:numId w:val="3"/>
        </w:numPr>
        <w:spacing w:line="276" w:lineRule="auto"/>
        <w:ind w:left="357" w:hanging="357"/>
        <w:jc w:val="both"/>
        <w:rPr>
          <w:rFonts w:asciiTheme="minorHAnsi" w:hAnsiTheme="minorHAnsi" w:cstheme="minorHAnsi"/>
          <w:sz w:val="22"/>
          <w:szCs w:val="22"/>
          <w:lang w:val="en-GB"/>
        </w:rPr>
      </w:pPr>
      <w:r w:rsidRPr="001B4AEC">
        <w:rPr>
          <w:rFonts w:ascii="Calibri" w:hAnsi="Calibri"/>
          <w:sz w:val="22"/>
          <w:szCs w:val="22"/>
          <w:lang w:val="en-GB"/>
        </w:rPr>
        <w:t xml:space="preserve">EUPAE and TUNED. Undated. Reinforcing attractiveness and retention in public administrations Toolbox of the social dialogue committee for central government administrations. Obtained on 14 </w:t>
      </w:r>
      <w:r w:rsidRPr="001B4AEC">
        <w:rPr>
          <w:rFonts w:asciiTheme="minorHAnsi" w:hAnsiTheme="minorHAnsi"/>
          <w:sz w:val="22"/>
          <w:szCs w:val="22"/>
          <w:lang w:val="en-GB"/>
        </w:rPr>
        <w:t xml:space="preserve">May 2024 from </w:t>
      </w:r>
      <w:hyperlink r:id="rId13" w:history="1">
        <w:r w:rsidRPr="001B4AEC">
          <w:rPr>
            <w:rStyle w:val="Hiperpovezava"/>
            <w:rFonts w:asciiTheme="minorHAnsi" w:hAnsiTheme="minorHAnsi" w:cstheme="minorHAnsi"/>
            <w:sz w:val="22"/>
            <w:szCs w:val="22"/>
            <w:lang w:val="en-GB"/>
          </w:rPr>
          <w:t>https://www.fonction-publique.gouv.fr/files/files/La%20DGAFP/Europe%20et%20international/attractivness-SDC-CGA-toolbox-EN.pdf</w:t>
        </w:r>
      </w:hyperlink>
      <w:r w:rsidRPr="001B4AEC">
        <w:rPr>
          <w:rFonts w:asciiTheme="minorHAnsi" w:hAnsiTheme="minorHAnsi"/>
          <w:color w:val="000000"/>
          <w:sz w:val="22"/>
          <w:szCs w:val="22"/>
          <w:lang w:val="en-GB"/>
        </w:rPr>
        <w:t xml:space="preserve">. </w:t>
      </w:r>
    </w:p>
    <w:p w14:paraId="6E090C14" w14:textId="218D568A" w:rsidR="0096416B" w:rsidRPr="001B4AEC" w:rsidRDefault="0096416B" w:rsidP="00D82A5E">
      <w:pPr>
        <w:numPr>
          <w:ilvl w:val="1"/>
          <w:numId w:val="3"/>
        </w:numPr>
        <w:spacing w:line="276" w:lineRule="auto"/>
        <w:ind w:left="357" w:hanging="357"/>
        <w:jc w:val="both"/>
        <w:rPr>
          <w:rFonts w:asciiTheme="minorHAnsi" w:hAnsiTheme="minorHAnsi" w:cstheme="minorHAnsi"/>
          <w:sz w:val="22"/>
          <w:szCs w:val="22"/>
          <w:lang w:val="en-GB"/>
        </w:rPr>
      </w:pPr>
      <w:r w:rsidRPr="001B4AEC">
        <w:rPr>
          <w:rFonts w:asciiTheme="minorHAnsi" w:hAnsiTheme="minorHAnsi" w:cstheme="minorHAnsi"/>
          <w:sz w:val="22"/>
          <w:szCs w:val="22"/>
          <w:lang w:val="en-GB"/>
        </w:rPr>
        <w:t xml:space="preserve">EUPAN. 2023. Workforce composition in central/federal public administrations, EUPAN Statistical eNews, Swedish Presidency of EUPAN, 2023. Obtained on 31 January 2025 from </w:t>
      </w:r>
      <w:hyperlink r:id="rId14" w:history="1">
        <w:r w:rsidRPr="001B4AEC">
          <w:rPr>
            <w:rStyle w:val="Hiperpovezava"/>
            <w:rFonts w:asciiTheme="minorHAnsi" w:hAnsiTheme="minorHAnsi" w:cstheme="minorHAnsi"/>
            <w:sz w:val="22"/>
            <w:szCs w:val="22"/>
            <w:lang w:val="en-GB"/>
          </w:rPr>
          <w:t>https://www.eupan.eu/2023/05/publications-by-the-swedish-presidency/</w:t>
        </w:r>
      </w:hyperlink>
      <w:r w:rsidRPr="001B4AEC">
        <w:rPr>
          <w:rFonts w:asciiTheme="minorHAnsi" w:hAnsiTheme="minorHAnsi" w:cstheme="minorHAnsi"/>
          <w:sz w:val="22"/>
          <w:szCs w:val="22"/>
          <w:lang w:val="en-GB"/>
        </w:rPr>
        <w:t xml:space="preserve">. </w:t>
      </w:r>
    </w:p>
    <w:p w14:paraId="2C2E6020" w14:textId="77777777" w:rsidR="00192C38" w:rsidRPr="001B4AEC" w:rsidRDefault="00192C38" w:rsidP="00D82A5E">
      <w:pPr>
        <w:numPr>
          <w:ilvl w:val="1"/>
          <w:numId w:val="3"/>
        </w:numPr>
        <w:spacing w:line="276" w:lineRule="auto"/>
        <w:ind w:left="357" w:hanging="357"/>
        <w:jc w:val="both"/>
        <w:rPr>
          <w:rFonts w:ascii="Calibri" w:hAnsi="Calibri" w:cs="Calibri"/>
          <w:sz w:val="22"/>
          <w:szCs w:val="22"/>
          <w:lang w:val="en-GB"/>
        </w:rPr>
      </w:pPr>
      <w:r w:rsidRPr="001B4AEC">
        <w:rPr>
          <w:rFonts w:asciiTheme="minorHAnsi" w:hAnsiTheme="minorHAnsi"/>
          <w:sz w:val="22"/>
          <w:szCs w:val="22"/>
          <w:lang w:val="en-GB"/>
        </w:rPr>
        <w:t>Eurostat. 2024. EUROPOP2023. Obtained on 19</w:t>
      </w:r>
      <w:r w:rsidRPr="001B4AEC">
        <w:rPr>
          <w:rFonts w:ascii="Calibri" w:hAnsi="Calibri"/>
          <w:sz w:val="22"/>
          <w:szCs w:val="22"/>
          <w:lang w:val="en-GB"/>
        </w:rPr>
        <w:t xml:space="preserve"> March 2024 from </w:t>
      </w:r>
      <w:hyperlink r:id="rId15" w:history="1">
        <w:r w:rsidRPr="001B4AEC">
          <w:rPr>
            <w:rStyle w:val="Hiperpovezava"/>
            <w:rFonts w:ascii="Calibri" w:hAnsi="Calibri" w:cs="Calibri"/>
            <w:sz w:val="22"/>
            <w:szCs w:val="22"/>
            <w:lang w:val="en-GB"/>
          </w:rPr>
          <w:t>https://ec.europa.eu/eurostat/databrowser/view/proj_23np/default/table?lang=en&amp;category=proj.proj_23n</w:t>
        </w:r>
      </w:hyperlink>
      <w:r w:rsidRPr="001B4AEC">
        <w:rPr>
          <w:rFonts w:ascii="Calibri" w:hAnsi="Calibri"/>
          <w:sz w:val="22"/>
          <w:szCs w:val="22"/>
          <w:lang w:val="en-GB"/>
        </w:rPr>
        <w:t xml:space="preserve">. </w:t>
      </w:r>
    </w:p>
    <w:p w14:paraId="0A2A8611" w14:textId="541DBBC9" w:rsidR="00FE71B9" w:rsidRPr="001B4AEC" w:rsidRDefault="00FE71B9"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EU funds. 2022. Multiannual financial framework of the European Union for the period 2021–2027. Obtained on 12 January 2023 from program-ekp-2021-27_si_sfc-razlicica-1-2.pdf.</w:t>
      </w:r>
    </w:p>
    <w:p w14:paraId="1C65F6DF" w14:textId="77777777" w:rsidR="00AA21B9" w:rsidRPr="001B4AEC" w:rsidRDefault="005D6F25"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 xml:space="preserve">European Commission. 2020. European Commission. European Skills Agenda for sustainable competitiveness, social fairness and resilience. Obtained on 10 January 2023 from </w:t>
      </w:r>
      <w:hyperlink r:id="rId16" w:history="1">
        <w:r w:rsidRPr="001B4AEC">
          <w:rPr>
            <w:rStyle w:val="Hiperpovezava"/>
            <w:rFonts w:ascii="Calibri" w:hAnsi="Calibri" w:cs="Calibri"/>
            <w:sz w:val="22"/>
            <w:szCs w:val="22"/>
            <w:lang w:val="en-GB"/>
          </w:rPr>
          <w:t>https://ec.europa.eu/social/main.jsp?catId=1223&amp;langId=sl</w:t>
        </w:r>
      </w:hyperlink>
    </w:p>
    <w:p w14:paraId="0EBC8170" w14:textId="77777777" w:rsidR="005D6F25" w:rsidRPr="001B4AEC" w:rsidRDefault="005D6F25"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 xml:space="preserve">European Commission. 2022. Slovenia's exceptional performance poses a significant challenge for experts. Obtained on 20 December 2022 from </w:t>
      </w:r>
      <w:hyperlink r:id="rId17" w:history="1">
        <w:r w:rsidRPr="001B4AEC">
          <w:rPr>
            <w:rStyle w:val="Hiperpovezava"/>
            <w:rFonts w:ascii="Calibri" w:hAnsi="Calibri" w:cs="Calibri"/>
            <w:sz w:val="22"/>
            <w:szCs w:val="22"/>
            <w:lang w:val="en-GB"/>
          </w:rPr>
          <w:t>https://epale.ec.europa.eu/sl/blog/izjemni-rezultati-za-slovenijo-velik-izziv-za-strokovnjake</w:t>
        </w:r>
      </w:hyperlink>
      <w:r w:rsidRPr="001B4AEC">
        <w:rPr>
          <w:rFonts w:ascii="Calibri" w:hAnsi="Calibri" w:cs="Calibri"/>
          <w:sz w:val="22"/>
          <w:szCs w:val="22"/>
          <w:lang w:val="en-GB"/>
        </w:rPr>
        <w:t>.</w:t>
      </w:r>
    </w:p>
    <w:p w14:paraId="5024E0CD" w14:textId="33941839" w:rsidR="005D6F25" w:rsidRPr="001B4AEC" w:rsidRDefault="005D6F25"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 xml:space="preserve">European Commission. 2023. Communication to the commission, A new Human Resources Strategy for the Commission. Obtained on 23 January 2023 from </w:t>
      </w:r>
      <w:hyperlink r:id="rId18" w:history="1">
        <w:r w:rsidRPr="001B4AEC">
          <w:rPr>
            <w:rStyle w:val="Hiperpovezava"/>
            <w:rFonts w:ascii="Calibri" w:hAnsi="Calibri" w:cs="Calibri"/>
            <w:sz w:val="22"/>
            <w:szCs w:val="22"/>
            <w:lang w:val="en-GB"/>
          </w:rPr>
          <w:t>https://commission.europa.eu/system/files/2022-04/c_2022_2229_2_en_act_part1_v12.pdf</w:t>
        </w:r>
      </w:hyperlink>
      <w:r w:rsidRPr="001B4AEC">
        <w:rPr>
          <w:rFonts w:ascii="Calibri" w:hAnsi="Calibri" w:cs="Calibri"/>
          <w:sz w:val="22"/>
          <w:szCs w:val="22"/>
          <w:lang w:val="en-GB"/>
        </w:rPr>
        <w:t xml:space="preserve">. </w:t>
      </w:r>
    </w:p>
    <w:p w14:paraId="31D0FF80" w14:textId="77777777" w:rsidR="005D6F25" w:rsidRPr="001B4AEC" w:rsidRDefault="005D6F25"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lastRenderedPageBreak/>
        <w:t xml:space="preserve">Ministry of Public Administration. 2015. Public administration 2020, Public Administration Development Strategy 2015–2020: Ljubljana. Obtained on 20 December 2022 from </w:t>
      </w:r>
      <w:hyperlink r:id="rId19" w:history="1">
        <w:r w:rsidRPr="001B4AEC">
          <w:rPr>
            <w:rStyle w:val="Hiperpovezava"/>
            <w:rFonts w:ascii="Calibri" w:hAnsi="Calibri" w:cs="Calibri"/>
            <w:sz w:val="22"/>
            <w:szCs w:val="22"/>
            <w:lang w:val="en-GB"/>
          </w:rPr>
          <w:t>https://www.gov.si/assets/ministrstva/MJU/Kakovost-in-inovativnost-v-javni-upravi/Strategija/Strategija-razvoja-javne-uprave-2015-2020.pdf</w:t>
        </w:r>
      </w:hyperlink>
      <w:r w:rsidRPr="001B4AEC">
        <w:rPr>
          <w:rFonts w:ascii="Calibri" w:hAnsi="Calibri" w:cs="Calibri"/>
          <w:sz w:val="22"/>
          <w:szCs w:val="22"/>
          <w:lang w:val="en-GB"/>
        </w:rPr>
        <w:t>.</w:t>
      </w:r>
    </w:p>
    <w:p w14:paraId="39E6A1F9" w14:textId="197DC310" w:rsidR="005D6F25" w:rsidRPr="001B4AEC" w:rsidRDefault="005D6F25"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 xml:space="preserve">Ministry of Public Administration. 2021. Management of older employees and talent in European state administrations. Obtained on 20 December 2022 from </w:t>
      </w:r>
      <w:hyperlink r:id="rId20" w:history="1">
        <w:r w:rsidRPr="001B4AEC">
          <w:rPr>
            <w:rStyle w:val="Hiperpovezava"/>
            <w:rFonts w:ascii="Calibri" w:hAnsi="Calibri" w:cs="Calibri"/>
            <w:sz w:val="22"/>
            <w:szCs w:val="22"/>
            <w:lang w:val="en-GB"/>
          </w:rPr>
          <w:t>https://www.gov.si/assets/ministrstva/MJU/DJS/Studija-OECD/Ravnanje-s-starejsimi-zaposlenimi-in-talenti-v-evropskih-javnih-upravah.pdf</w:t>
        </w:r>
      </w:hyperlink>
      <w:r w:rsidRPr="001B4AEC">
        <w:rPr>
          <w:rFonts w:ascii="Calibri" w:hAnsi="Calibri" w:cs="Calibri"/>
          <w:sz w:val="22"/>
          <w:szCs w:val="22"/>
          <w:lang w:val="en-GB"/>
        </w:rPr>
        <w:t>.</w:t>
      </w:r>
    </w:p>
    <w:p w14:paraId="08F823A1" w14:textId="3A7C79B7" w:rsidR="00A93278" w:rsidRPr="001B4AEC" w:rsidRDefault="00FE71B9"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Ministry of Public Administration. 2022. Trainees analysis.</w:t>
      </w:r>
      <w:bookmarkStart w:id="26" w:name="_Hlk184984508"/>
    </w:p>
    <w:p w14:paraId="6B7D4401" w14:textId="4B156B63" w:rsidR="00A93278" w:rsidRPr="001B4AEC" w:rsidRDefault="00A93278" w:rsidP="00D82A5E">
      <w:pPr>
        <w:numPr>
          <w:ilvl w:val="1"/>
          <w:numId w:val="3"/>
        </w:numPr>
        <w:spacing w:line="276" w:lineRule="auto"/>
        <w:ind w:left="357" w:hanging="357"/>
        <w:jc w:val="both"/>
        <w:rPr>
          <w:rFonts w:ascii="Calibri" w:hAnsi="Calibri" w:cs="Calibri"/>
          <w:sz w:val="22"/>
          <w:szCs w:val="22"/>
          <w:lang w:val="en-GB"/>
        </w:rPr>
      </w:pPr>
      <w:r w:rsidRPr="001B4AEC">
        <w:rPr>
          <w:rFonts w:asciiTheme="minorHAnsi" w:hAnsiTheme="minorHAnsi" w:cstheme="minorHAnsi"/>
          <w:sz w:val="22"/>
          <w:szCs w:val="22"/>
          <w:lang w:val="en-GB"/>
        </w:rPr>
        <w:t xml:space="preserve">Ministry of Public Administration. 2024. Report on the work of the Council of Officials for 2023, 13. 5. 2024. Obtained on 13 December 2024 from </w:t>
      </w:r>
      <w:hyperlink r:id="rId21" w:history="1">
        <w:r w:rsidRPr="001B4AEC">
          <w:rPr>
            <w:rStyle w:val="Hiperpovezava"/>
            <w:rFonts w:asciiTheme="minorHAnsi" w:hAnsiTheme="minorHAnsi" w:cstheme="minorHAnsi"/>
            <w:sz w:val="22"/>
            <w:szCs w:val="22"/>
            <w:lang w:val="en-GB"/>
          </w:rPr>
          <w:t>https://www.gov.si/assets/ministrstva/MJU/DJS/Letno-porocilo-o-delu-US_2023_koncno-ZA-OBJAVO.docx</w:t>
        </w:r>
      </w:hyperlink>
      <w:r w:rsidRPr="001B4AEC">
        <w:rPr>
          <w:rFonts w:asciiTheme="minorHAnsi" w:hAnsiTheme="minorHAnsi" w:cstheme="minorHAnsi"/>
          <w:sz w:val="22"/>
          <w:szCs w:val="22"/>
          <w:lang w:val="en-GB"/>
        </w:rPr>
        <w:t xml:space="preserve">. </w:t>
      </w:r>
    </w:p>
    <w:bookmarkEnd w:id="26"/>
    <w:p w14:paraId="5DFC62F4" w14:textId="77777777" w:rsidR="00FE71B9" w:rsidRPr="001B4AEC" w:rsidRDefault="00FE71B9"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 xml:space="preserve">OECD. 2020. OECD Composition of the workforce in central/federal governments survey. Obtained on 20 December 2022 from </w:t>
      </w:r>
      <w:hyperlink r:id="rId22" w:history="1">
        <w:r w:rsidRPr="001B4AEC">
          <w:rPr>
            <w:rStyle w:val="Hiperpovezava"/>
            <w:rFonts w:ascii="Calibri" w:hAnsi="Calibri" w:cs="Calibri"/>
            <w:sz w:val="22"/>
            <w:szCs w:val="22"/>
            <w:lang w:val="en-GB"/>
          </w:rPr>
          <w:t>https://www.oecd-ilibrary.org/sites/1d754cfc-en/index.html?itemId=/content/component/1d754cfc-en</w:t>
        </w:r>
      </w:hyperlink>
      <w:r w:rsidRPr="001B4AEC">
        <w:rPr>
          <w:rFonts w:ascii="Calibri" w:hAnsi="Calibri" w:cs="Calibri"/>
          <w:sz w:val="22"/>
          <w:szCs w:val="22"/>
          <w:lang w:val="en-GB"/>
        </w:rPr>
        <w:t xml:space="preserve">. </w:t>
      </w:r>
    </w:p>
    <w:p w14:paraId="366D089A" w14:textId="77777777" w:rsidR="00192C38" w:rsidRPr="001B4AEC" w:rsidRDefault="00192C38"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 xml:space="preserve">Republic of Slovenia Gov.si. Recovery and Resilience Plan. Obtained on 20 December 2022 from 01_si-rrp_23-7-2021.pdf. </w:t>
      </w:r>
    </w:p>
    <w:p w14:paraId="0FEFCD3F" w14:textId="77777777" w:rsidR="00FE71B9" w:rsidRPr="001B4AEC" w:rsidRDefault="00FE71B9"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 xml:space="preserve">Republic of Slovenia Gov.si. 2022. Job positions. Obtained on 20 December 2022 from </w:t>
      </w:r>
      <w:hyperlink r:id="rId23" w:history="1">
        <w:r w:rsidRPr="001B4AEC">
          <w:rPr>
            <w:rStyle w:val="Hiperpovezava"/>
            <w:rFonts w:ascii="Calibri" w:hAnsi="Calibri" w:cs="Calibri"/>
            <w:sz w:val="22"/>
            <w:szCs w:val="22"/>
            <w:lang w:val="en-GB"/>
          </w:rPr>
          <w:t>https://www.gov.si/zbirke/delovna-mesta/</w:t>
        </w:r>
      </w:hyperlink>
    </w:p>
    <w:p w14:paraId="7DA1A06E" w14:textId="77777777" w:rsidR="00192C38" w:rsidRPr="001B4AEC" w:rsidRDefault="00FE71B9"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 xml:space="preserve">Government Office for Development and European Cohesion Policy. 2017. Slovenian Development Strategy 2030: Ljubljana. Obtained on 20 December 2022 from </w:t>
      </w:r>
      <w:hyperlink r:id="rId24" w:history="1">
        <w:r w:rsidRPr="001B4AEC">
          <w:rPr>
            <w:rStyle w:val="Hiperpovezava"/>
            <w:rFonts w:ascii="Calibri" w:hAnsi="Calibri" w:cs="Calibri"/>
            <w:sz w:val="22"/>
            <w:szCs w:val="22"/>
            <w:lang w:val="en-GB"/>
          </w:rPr>
          <w:t>https://www.gov.si/assets/vladne-sluzbe/SVRK/Strategija-razvoja-Slovenije-2030/Strategija_razvoja_Slovenije_2030.pdf</w:t>
        </w:r>
      </w:hyperlink>
      <w:r w:rsidRPr="001B4AEC">
        <w:rPr>
          <w:rFonts w:ascii="Calibri" w:hAnsi="Calibri" w:cs="Calibri"/>
          <w:sz w:val="22"/>
          <w:szCs w:val="22"/>
          <w:lang w:val="en-GB"/>
        </w:rPr>
        <w:t xml:space="preserve">. </w:t>
      </w:r>
    </w:p>
    <w:p w14:paraId="16456254" w14:textId="2CEBBC38" w:rsidR="00CD4EDE" w:rsidRPr="001B4AEC" w:rsidRDefault="00294F93"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 xml:space="preserve">Sullivan, John. 2004. The 8 Elements of a Successful Employment Brand, ER Daily, 23 </w:t>
      </w:r>
      <w:proofErr w:type="gramStart"/>
      <w:r w:rsidRPr="001B4AEC">
        <w:rPr>
          <w:rFonts w:ascii="Calibri" w:hAnsi="Calibri" w:cs="Calibri"/>
          <w:sz w:val="22"/>
          <w:szCs w:val="22"/>
          <w:lang w:val="en-GB"/>
        </w:rPr>
        <w:t>February,</w:t>
      </w:r>
      <w:proofErr w:type="gramEnd"/>
      <w:r w:rsidRPr="001B4AEC">
        <w:rPr>
          <w:rFonts w:ascii="Calibri" w:hAnsi="Calibri" w:cs="Calibri"/>
          <w:sz w:val="22"/>
          <w:szCs w:val="22"/>
          <w:lang w:val="en-GB"/>
        </w:rPr>
        <w:t xml:space="preserve"> 2004. Obtained on 31 January 2025 from </w:t>
      </w:r>
      <w:hyperlink r:id="rId25" w:history="1">
        <w:r w:rsidRPr="001B4AEC">
          <w:rPr>
            <w:rStyle w:val="Hiperpovezava"/>
            <w:rFonts w:ascii="Calibri" w:hAnsi="Calibri" w:cs="Calibri"/>
            <w:sz w:val="22"/>
            <w:szCs w:val="22"/>
            <w:lang w:val="en-GB"/>
          </w:rPr>
          <w:t>https://drjohnsullivan.com/uncategorized/the-8-elements-of-a-successful-employment-brand/</w:t>
        </w:r>
      </w:hyperlink>
      <w:r w:rsidRPr="001B4AEC">
        <w:rPr>
          <w:rFonts w:ascii="Calibri" w:hAnsi="Calibri" w:cs="Calibri"/>
          <w:sz w:val="22"/>
          <w:szCs w:val="22"/>
          <w:lang w:val="en-GB"/>
        </w:rPr>
        <w:t xml:space="preserve">. </w:t>
      </w:r>
    </w:p>
    <w:p w14:paraId="3C94A528" w14:textId="465C1566" w:rsidR="005D6F25" w:rsidRPr="001B4AEC" w:rsidRDefault="005D6F25"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 xml:space="preserve">Government of the Republic of Slovenia. </w:t>
      </w:r>
      <w:r w:rsidRPr="00725D34">
        <w:rPr>
          <w:rFonts w:ascii="Calibri" w:hAnsi="Calibri" w:cs="Calibri"/>
          <w:sz w:val="22"/>
          <w:szCs w:val="22"/>
          <w:lang w:val="it-IT"/>
        </w:rPr>
        <w:t xml:space="preserve">2023. Digital Slovenia 2030 </w:t>
      </w:r>
      <w:r w:rsidRPr="00725D34">
        <w:rPr>
          <w:rFonts w:ascii="Calibri" w:hAnsi="Calibri" w:cs="Calibri"/>
          <w:sz w:val="16"/>
          <w:szCs w:val="16"/>
          <w:lang w:val="it-IT"/>
        </w:rPr>
        <w:t xml:space="preserve">– </w:t>
      </w:r>
      <w:proofErr w:type="spellStart"/>
      <w:r w:rsidRPr="00725D34">
        <w:rPr>
          <w:rFonts w:ascii="Calibri" w:hAnsi="Calibri" w:cs="Calibri"/>
          <w:sz w:val="22"/>
          <w:szCs w:val="22"/>
          <w:lang w:val="it-IT"/>
        </w:rPr>
        <w:t>Slovenia's</w:t>
      </w:r>
      <w:proofErr w:type="spellEnd"/>
      <w:r w:rsidRPr="00725D34">
        <w:rPr>
          <w:rFonts w:ascii="Calibri" w:hAnsi="Calibri" w:cs="Calibri"/>
          <w:sz w:val="22"/>
          <w:szCs w:val="22"/>
          <w:lang w:val="it-IT"/>
        </w:rPr>
        <w:t xml:space="preserve"> </w:t>
      </w:r>
      <w:proofErr w:type="spellStart"/>
      <w:r w:rsidRPr="00725D34">
        <w:rPr>
          <w:rFonts w:ascii="Calibri" w:hAnsi="Calibri" w:cs="Calibri"/>
          <w:sz w:val="22"/>
          <w:szCs w:val="22"/>
          <w:lang w:val="it-IT"/>
        </w:rPr>
        <w:t>umbrella</w:t>
      </w:r>
      <w:proofErr w:type="spellEnd"/>
      <w:r w:rsidRPr="00725D34">
        <w:rPr>
          <w:rFonts w:ascii="Calibri" w:hAnsi="Calibri" w:cs="Calibri"/>
          <w:sz w:val="22"/>
          <w:szCs w:val="22"/>
          <w:lang w:val="it-IT"/>
        </w:rPr>
        <w:t xml:space="preserve"> </w:t>
      </w:r>
      <w:proofErr w:type="spellStart"/>
      <w:r w:rsidRPr="00725D34">
        <w:rPr>
          <w:rFonts w:ascii="Calibri" w:hAnsi="Calibri" w:cs="Calibri"/>
          <w:sz w:val="22"/>
          <w:szCs w:val="22"/>
          <w:lang w:val="it-IT"/>
        </w:rPr>
        <w:t>digital</w:t>
      </w:r>
      <w:proofErr w:type="spellEnd"/>
      <w:r w:rsidRPr="00725D34">
        <w:rPr>
          <w:rFonts w:ascii="Calibri" w:hAnsi="Calibri" w:cs="Calibri"/>
          <w:sz w:val="22"/>
          <w:szCs w:val="22"/>
          <w:lang w:val="it-IT"/>
        </w:rPr>
        <w:t xml:space="preserve"> </w:t>
      </w:r>
      <w:proofErr w:type="spellStart"/>
      <w:r w:rsidRPr="00725D34">
        <w:rPr>
          <w:rFonts w:ascii="Calibri" w:hAnsi="Calibri" w:cs="Calibri"/>
          <w:sz w:val="22"/>
          <w:szCs w:val="22"/>
          <w:lang w:val="it-IT"/>
        </w:rPr>
        <w:t>transformation</w:t>
      </w:r>
      <w:proofErr w:type="spellEnd"/>
      <w:r w:rsidRPr="00725D34">
        <w:rPr>
          <w:rFonts w:ascii="Calibri" w:hAnsi="Calibri" w:cs="Calibri"/>
          <w:sz w:val="22"/>
          <w:szCs w:val="22"/>
          <w:lang w:val="it-IT"/>
        </w:rPr>
        <w:t xml:space="preserve"> strategy to 2030. </w:t>
      </w:r>
      <w:r w:rsidRPr="001B4AEC">
        <w:rPr>
          <w:rFonts w:ascii="Calibri" w:hAnsi="Calibri" w:cs="Calibri"/>
          <w:sz w:val="22"/>
          <w:szCs w:val="22"/>
          <w:lang w:val="en-GB"/>
        </w:rPr>
        <w:t xml:space="preserve">Obtained on 19 March 2024 from </w:t>
      </w:r>
      <w:hyperlink r:id="rId26" w:history="1">
        <w:r w:rsidRPr="001B4AEC">
          <w:rPr>
            <w:rStyle w:val="Hiperpovezava"/>
            <w:rFonts w:ascii="Calibri" w:hAnsi="Calibri" w:cs="Calibri"/>
            <w:sz w:val="22"/>
            <w:szCs w:val="22"/>
            <w:lang w:val="en-GB"/>
          </w:rPr>
          <w:t>https://www.gov.si/novice/2023-03-23-vlada-sprejela-strategijo-digitalna-slovenija-2030/</w:t>
        </w:r>
      </w:hyperlink>
      <w:r w:rsidRPr="001B4AEC">
        <w:rPr>
          <w:rFonts w:ascii="Calibri" w:hAnsi="Calibri" w:cs="Calibri"/>
          <w:sz w:val="22"/>
          <w:szCs w:val="22"/>
          <w:lang w:val="en-GB"/>
        </w:rPr>
        <w:t xml:space="preserve">. </w:t>
      </w:r>
    </w:p>
    <w:p w14:paraId="7CEA95CE" w14:textId="31EF89FC" w:rsidR="005D0CA2" w:rsidRPr="001B4AEC" w:rsidRDefault="005D7C93"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 xml:space="preserve">Weske, Ulrike et al. 2019. Attracting future civil servants with public values? An experimental study on employer branding. </w:t>
      </w:r>
      <w:r w:rsidRPr="001B4AEC">
        <w:rPr>
          <w:rFonts w:ascii="Calibri" w:hAnsi="Calibri" w:cs="Calibri"/>
          <w:i/>
          <w:iCs/>
          <w:sz w:val="22"/>
          <w:szCs w:val="22"/>
          <w:lang w:val="en-GB"/>
        </w:rPr>
        <w:t>International Public Management Journal</w:t>
      </w:r>
      <w:r w:rsidRPr="001B4AEC">
        <w:rPr>
          <w:rFonts w:ascii="Calibri" w:hAnsi="Calibri" w:cs="Calibri"/>
          <w:sz w:val="22"/>
          <w:szCs w:val="22"/>
          <w:lang w:val="en-GB"/>
        </w:rPr>
        <w:t xml:space="preserve"> vol. 23, 2020, issue 5. Obtained on 31 January 2025 from </w:t>
      </w:r>
      <w:hyperlink r:id="rId27" w:anchor="abstract" w:history="1">
        <w:r w:rsidRPr="001B4AEC">
          <w:rPr>
            <w:rStyle w:val="Hiperpovezava"/>
            <w:rFonts w:ascii="Calibri" w:hAnsi="Calibri" w:cs="Calibri"/>
            <w:sz w:val="22"/>
            <w:szCs w:val="22"/>
            <w:lang w:val="en-GB"/>
          </w:rPr>
          <w:t>https://www.tandfonline.com/doi/full/10.1080/10967494.2018.1541830#abstract</w:t>
        </w:r>
      </w:hyperlink>
      <w:r w:rsidRPr="001B4AEC">
        <w:rPr>
          <w:rFonts w:ascii="Calibri" w:hAnsi="Calibri" w:cs="Calibri"/>
          <w:sz w:val="22"/>
          <w:szCs w:val="22"/>
          <w:lang w:val="en-GB"/>
        </w:rPr>
        <w:t xml:space="preserve">. </w:t>
      </w:r>
    </w:p>
    <w:p w14:paraId="3D61EB9A" w14:textId="5D0F3F75" w:rsidR="0023025E" w:rsidRPr="001B4AEC" w:rsidRDefault="0023025E"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Wilkerson, Brian. 2007. Effective Succession Planning in the Public Sector. North America: Watson Wyatt Worldwide. Obtained on 31 January 2025 from https://pdf4pro.com/view/effective-succession-planning-in-the-public-sector-4cf84c.html.</w:t>
      </w:r>
    </w:p>
    <w:p w14:paraId="2D90B97D" w14:textId="77777777" w:rsidR="00192C38" w:rsidRPr="001B4AEC" w:rsidRDefault="00192C38"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 xml:space="preserve">State Administration Act (ZDU-1). 2002. Obtained on 20 December 2022 from </w:t>
      </w:r>
      <w:hyperlink r:id="rId28" w:history="1">
        <w:r w:rsidRPr="001B4AEC">
          <w:rPr>
            <w:rStyle w:val="Hiperpovezava"/>
            <w:rFonts w:ascii="Calibri" w:hAnsi="Calibri" w:cs="Calibri"/>
            <w:sz w:val="22"/>
            <w:szCs w:val="22"/>
            <w:lang w:val="en-GB"/>
          </w:rPr>
          <w:t>http://pisrs.si/Pis.web/pregledPredpisa?id=ZAKO3225</w:t>
        </w:r>
      </w:hyperlink>
      <w:r w:rsidRPr="001B4AEC">
        <w:rPr>
          <w:rFonts w:ascii="Calibri" w:hAnsi="Calibri" w:cs="Calibri"/>
          <w:sz w:val="22"/>
          <w:szCs w:val="22"/>
          <w:lang w:val="en-GB"/>
        </w:rPr>
        <w:t>.</w:t>
      </w:r>
    </w:p>
    <w:p w14:paraId="47BF1AA5" w14:textId="51848D8F" w:rsidR="00B540FE" w:rsidRPr="001B4AEC" w:rsidRDefault="00EC7630"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 xml:space="preserve">Public Employees Act (ZJU). 2002. Obtained on 20 December 2022 from </w:t>
      </w:r>
      <w:hyperlink r:id="rId29" w:history="1">
        <w:r w:rsidRPr="001B4AEC">
          <w:rPr>
            <w:rStyle w:val="Hiperpovezava"/>
            <w:rFonts w:ascii="Calibri" w:hAnsi="Calibri" w:cs="Calibri"/>
            <w:sz w:val="22"/>
            <w:szCs w:val="22"/>
            <w:lang w:val="en-GB"/>
          </w:rPr>
          <w:t>http://pisrs.si/Pis.web/pregledPredpisa?id=ZAKO3177</w:t>
        </w:r>
      </w:hyperlink>
      <w:r w:rsidRPr="001B4AEC">
        <w:rPr>
          <w:rFonts w:ascii="Calibri" w:hAnsi="Calibri" w:cs="Calibri"/>
          <w:sz w:val="22"/>
          <w:szCs w:val="22"/>
          <w:lang w:val="en-GB"/>
        </w:rPr>
        <w:t xml:space="preserve">. </w:t>
      </w:r>
      <w:bookmarkEnd w:id="1"/>
      <w:bookmarkEnd w:id="2"/>
      <w:bookmarkEnd w:id="9"/>
    </w:p>
    <w:p w14:paraId="4D1F56AD" w14:textId="70EE7DB1" w:rsidR="004335F6" w:rsidRPr="001B4AEC" w:rsidRDefault="004335F6"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 xml:space="preserve">Public Sector Salary System Act (ZSPJS). Obtained on 31 January 2025 from </w:t>
      </w:r>
      <w:hyperlink r:id="rId30" w:history="1">
        <w:r w:rsidRPr="001B4AEC">
          <w:rPr>
            <w:rStyle w:val="Hiperpovezava"/>
            <w:rFonts w:ascii="Calibri" w:hAnsi="Calibri" w:cs="Calibri"/>
            <w:sz w:val="22"/>
            <w:szCs w:val="22"/>
            <w:lang w:val="en-GB"/>
          </w:rPr>
          <w:t>https://pisrs.si/pregledPredpisa?id=ZAKO3328</w:t>
        </w:r>
      </w:hyperlink>
      <w:r w:rsidRPr="001B4AEC">
        <w:rPr>
          <w:rFonts w:ascii="Calibri" w:hAnsi="Calibri" w:cs="Calibri"/>
          <w:sz w:val="22"/>
          <w:szCs w:val="22"/>
          <w:lang w:val="en-GB"/>
        </w:rPr>
        <w:t>.</w:t>
      </w:r>
    </w:p>
    <w:p w14:paraId="60FA8DA6" w14:textId="757806F5" w:rsidR="004335F6" w:rsidRPr="001B4AEC" w:rsidRDefault="004335F6" w:rsidP="00D82A5E">
      <w:pPr>
        <w:numPr>
          <w:ilvl w:val="1"/>
          <w:numId w:val="3"/>
        </w:numPr>
        <w:spacing w:line="276" w:lineRule="auto"/>
        <w:ind w:left="357" w:hanging="357"/>
        <w:jc w:val="both"/>
        <w:rPr>
          <w:rFonts w:ascii="Calibri" w:hAnsi="Calibri" w:cs="Calibri"/>
          <w:sz w:val="22"/>
          <w:szCs w:val="22"/>
          <w:lang w:val="en-GB"/>
        </w:rPr>
      </w:pPr>
      <w:r w:rsidRPr="001B4AEC">
        <w:rPr>
          <w:rFonts w:ascii="Calibri" w:hAnsi="Calibri" w:cs="Calibri"/>
          <w:sz w:val="22"/>
          <w:szCs w:val="22"/>
          <w:lang w:val="en-GB"/>
        </w:rPr>
        <w:t xml:space="preserve">Common Foundations of the Public Sector Salary System Act (ZSTSPJS). Obtained on 31 January 2025 from </w:t>
      </w:r>
      <w:hyperlink r:id="rId31" w:history="1">
        <w:r w:rsidRPr="001B4AEC">
          <w:rPr>
            <w:rStyle w:val="Hiperpovezava"/>
            <w:rFonts w:ascii="Calibri" w:hAnsi="Calibri" w:cs="Calibri"/>
            <w:sz w:val="22"/>
            <w:szCs w:val="22"/>
            <w:lang w:val="en-GB"/>
          </w:rPr>
          <w:t>https://pisrs.si/pregledPredpisa?id=ZAKO8826</w:t>
        </w:r>
      </w:hyperlink>
      <w:r w:rsidRPr="001B4AEC">
        <w:rPr>
          <w:rFonts w:ascii="Calibri" w:hAnsi="Calibri" w:cs="Calibri"/>
          <w:sz w:val="22"/>
          <w:szCs w:val="22"/>
          <w:lang w:val="en-GB"/>
        </w:rPr>
        <w:t xml:space="preserve">. </w:t>
      </w:r>
    </w:p>
    <w:sectPr w:rsidR="004335F6" w:rsidRPr="001B4AEC" w:rsidSect="0045529F">
      <w:headerReference w:type="default" r:id="rId32"/>
      <w:footerReference w:type="even" r:id="rId33"/>
      <w:footerReference w:type="default" r:id="rId34"/>
      <w:headerReference w:type="first" r:id="rId35"/>
      <w:footerReference w:type="first" r:id="rId36"/>
      <w:pgSz w:w="11906" w:h="16838"/>
      <w:pgMar w:top="1417" w:right="1417" w:bottom="1417" w:left="1417" w:header="0"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4625" w14:textId="77777777" w:rsidR="004F53EB" w:rsidRDefault="004F53EB">
      <w:r>
        <w:separator/>
      </w:r>
    </w:p>
  </w:endnote>
  <w:endnote w:type="continuationSeparator" w:id="0">
    <w:p w14:paraId="70701B49" w14:textId="77777777" w:rsidR="004F53EB" w:rsidRDefault="004F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jaVu Sans">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EB74" w14:textId="77777777" w:rsidR="00363002" w:rsidRDefault="00363002" w:rsidP="00093706">
    <w:pPr>
      <w:pStyle w:val="Noga"/>
      <w:framePr w:wrap="around" w:vAnchor="text" w:hAnchor="margin" w:xAlign="center" w:y="1"/>
      <w:rPr>
        <w:rStyle w:val="tevilkastrani"/>
      </w:rPr>
    </w:pPr>
    <w:r>
      <w:rPr>
        <w:rStyle w:val="tevilkastrani"/>
        <w:lang w:val="en-GB"/>
      </w:rPr>
      <w:fldChar w:fldCharType="begin"/>
    </w:r>
    <w:r>
      <w:rPr>
        <w:rStyle w:val="tevilkastrani"/>
        <w:lang w:val="en-GB"/>
      </w:rPr>
      <w:instrText xml:space="preserve">PAGE  </w:instrText>
    </w:r>
    <w:r>
      <w:rPr>
        <w:rStyle w:val="tevilkastrani"/>
        <w:lang w:val="en-GB"/>
      </w:rPr>
      <w:fldChar w:fldCharType="end"/>
    </w:r>
  </w:p>
  <w:p w14:paraId="71407D28" w14:textId="77777777" w:rsidR="00363002" w:rsidRDefault="0036300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EA78" w14:textId="77777777" w:rsidR="00363002" w:rsidRDefault="00363002" w:rsidP="00093706">
    <w:pPr>
      <w:pStyle w:val="Noga"/>
      <w:framePr w:wrap="around" w:vAnchor="text" w:hAnchor="margin" w:xAlign="center" w:y="1"/>
      <w:rPr>
        <w:rStyle w:val="tevilkastrani"/>
      </w:rPr>
    </w:pPr>
    <w:r>
      <w:rPr>
        <w:rStyle w:val="tevilkastrani"/>
        <w:lang w:val="en-GB"/>
      </w:rPr>
      <w:fldChar w:fldCharType="begin"/>
    </w:r>
    <w:r>
      <w:rPr>
        <w:rStyle w:val="tevilkastrani"/>
        <w:lang w:val="en-GB"/>
      </w:rPr>
      <w:instrText xml:space="preserve">PAGE  </w:instrText>
    </w:r>
    <w:r>
      <w:rPr>
        <w:rStyle w:val="tevilkastrani"/>
        <w:lang w:val="en-GB"/>
      </w:rPr>
      <w:fldChar w:fldCharType="separate"/>
    </w:r>
    <w:r w:rsidR="001B4AEC">
      <w:rPr>
        <w:rStyle w:val="tevilkastrani"/>
        <w:noProof/>
        <w:lang w:val="en-GB"/>
      </w:rPr>
      <w:t>20</w:t>
    </w:r>
    <w:r>
      <w:rPr>
        <w:rStyle w:val="tevilkastrani"/>
        <w:lang w:val="en-GB"/>
      </w:rPr>
      <w:fldChar w:fldCharType="end"/>
    </w:r>
  </w:p>
  <w:p w14:paraId="65C0A9CD" w14:textId="59275DC3" w:rsidR="00363002" w:rsidRPr="00EC3C95" w:rsidRDefault="001E1F23" w:rsidP="00C67C09">
    <w:pPr>
      <w:pStyle w:val="Noga"/>
    </w:pPr>
    <w:r>
      <w:rPr>
        <w:noProof/>
      </w:rPr>
      <w:drawing>
        <wp:anchor distT="0" distB="0" distL="114300" distR="114300" simplePos="0" relativeHeight="251660288" behindDoc="1" locked="0" layoutInCell="1" allowOverlap="1" wp14:anchorId="26FB47A0" wp14:editId="2D62775F">
          <wp:simplePos x="0" y="0"/>
          <wp:positionH relativeFrom="column">
            <wp:posOffset>2659380</wp:posOffset>
          </wp:positionH>
          <wp:positionV relativeFrom="paragraph">
            <wp:posOffset>-360680</wp:posOffset>
          </wp:positionV>
          <wp:extent cx="4010025" cy="676275"/>
          <wp:effectExtent l="0" t="0" r="9525" b="9525"/>
          <wp:wrapThrough wrapText="bothSides">
            <wp:wrapPolygon edited="0">
              <wp:start x="21036" y="0"/>
              <wp:lineTo x="15700" y="608"/>
              <wp:lineTo x="13648" y="3651"/>
              <wp:lineTo x="13648" y="9735"/>
              <wp:lineTo x="6362" y="12777"/>
              <wp:lineTo x="513" y="17037"/>
              <wp:lineTo x="0" y="21296"/>
              <wp:lineTo x="21549" y="21296"/>
              <wp:lineTo x="21549" y="0"/>
              <wp:lineTo x="21036" y="0"/>
            </wp:wrapPolygon>
          </wp:wrapThrough>
          <wp:docPr id="780893288" name="Slika 780893288" descr="dekorativna slika na dnu str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93288" name="Slika 780893288" descr="dekorativna slika na dnu str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819B" w14:textId="773DB269" w:rsidR="00F96198" w:rsidRDefault="004C7705" w:rsidP="00F96198">
    <w:pPr>
      <w:pStyle w:val="Noga"/>
      <w:jc w:val="right"/>
    </w:pPr>
    <w:r>
      <w:rPr>
        <w:rFonts w:ascii="Arial" w:hAnsi="Arial" w:cs="Arial"/>
        <w:b/>
        <w:bCs/>
        <w:noProof/>
        <w:sz w:val="20"/>
        <w:szCs w:val="20"/>
      </w:rPr>
      <w:drawing>
        <wp:anchor distT="0" distB="0" distL="114300" distR="114300" simplePos="0" relativeHeight="251664384" behindDoc="1" locked="0" layoutInCell="1" allowOverlap="1" wp14:anchorId="14F26DEB" wp14:editId="65054EF8">
          <wp:simplePos x="0" y="0"/>
          <wp:positionH relativeFrom="page">
            <wp:posOffset>2291033</wp:posOffset>
          </wp:positionH>
          <wp:positionV relativeFrom="paragraph">
            <wp:posOffset>-893634</wp:posOffset>
          </wp:positionV>
          <wp:extent cx="5328285" cy="1196975"/>
          <wp:effectExtent l="0" t="0" r="5715" b="3175"/>
          <wp:wrapThrough wrapText="bothSides">
            <wp:wrapPolygon edited="0">
              <wp:start x="21237" y="0"/>
              <wp:lineTo x="15754" y="1031"/>
              <wp:lineTo x="14364" y="2063"/>
              <wp:lineTo x="14364" y="5500"/>
              <wp:lineTo x="13514" y="11001"/>
              <wp:lineTo x="10503" y="11344"/>
              <wp:lineTo x="2394" y="15126"/>
              <wp:lineTo x="2394" y="16501"/>
              <wp:lineTo x="1853" y="17188"/>
              <wp:lineTo x="0" y="20626"/>
              <wp:lineTo x="0" y="21314"/>
              <wp:lineTo x="21546" y="21314"/>
              <wp:lineTo x="21546" y="0"/>
              <wp:lineTo x="21237" y="0"/>
            </wp:wrapPolygon>
          </wp:wrapThrough>
          <wp:docPr id="1571434043" name="Slika 1954" descr="dekorativna slika na dnu naslov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434043" name="Slika 1954" descr="dekorativna slika na dnu naslovn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285" cy="1196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BB331" w14:textId="77777777" w:rsidR="004F53EB" w:rsidRDefault="004F53EB">
      <w:r>
        <w:separator/>
      </w:r>
    </w:p>
  </w:footnote>
  <w:footnote w:type="continuationSeparator" w:id="0">
    <w:p w14:paraId="6525DC49" w14:textId="77777777" w:rsidR="004F53EB" w:rsidRDefault="004F53EB">
      <w:r>
        <w:continuationSeparator/>
      </w:r>
    </w:p>
  </w:footnote>
  <w:footnote w:id="1">
    <w:p w14:paraId="0E868BF0" w14:textId="3E4F6783" w:rsidR="000179F2" w:rsidRPr="00F258EC" w:rsidRDefault="000179F2">
      <w:pPr>
        <w:pStyle w:val="Sprotnaopomba-besedilo"/>
        <w:rPr>
          <w:rFonts w:ascii="Calibri" w:hAnsi="Calibri" w:cs="Calibri"/>
          <w:sz w:val="16"/>
          <w:szCs w:val="16"/>
        </w:rPr>
      </w:pPr>
      <w:r>
        <w:rPr>
          <w:rStyle w:val="Sprotnaopomba-sklic"/>
          <w:rFonts w:ascii="Calibri" w:hAnsi="Calibri" w:cs="Calibri"/>
          <w:sz w:val="16"/>
          <w:szCs w:val="16"/>
          <w:lang w:val="en-GB"/>
        </w:rPr>
        <w:footnoteRef/>
      </w:r>
      <w:r>
        <w:rPr>
          <w:rStyle w:val="Sprotnaopomba-sklic"/>
          <w:rFonts w:ascii="Calibri" w:hAnsi="Calibri" w:cs="Calibri"/>
          <w:sz w:val="16"/>
          <w:szCs w:val="16"/>
          <w:lang w:val="en-GB"/>
        </w:rPr>
        <w:t xml:space="preserve"> </w:t>
      </w:r>
      <w:r>
        <w:rPr>
          <w:rFonts w:ascii="Calibri" w:hAnsi="Calibri" w:cs="Calibri"/>
          <w:sz w:val="16"/>
          <w:szCs w:val="16"/>
          <w:lang w:val="en-GB"/>
        </w:rPr>
        <w:t>The definition of the term "employer branding" is provided in Chapter 5.1 below.</w:t>
      </w:r>
    </w:p>
  </w:footnote>
  <w:footnote w:id="2">
    <w:p w14:paraId="234B652F" w14:textId="4872EA6F" w:rsidR="00C549EF" w:rsidRPr="00F258EC" w:rsidRDefault="00C549EF" w:rsidP="00F258EC">
      <w:pPr>
        <w:pStyle w:val="Sprotnaopomba-besedilo"/>
        <w:jc w:val="both"/>
        <w:rPr>
          <w:rFonts w:ascii="Calibri" w:hAnsi="Calibri" w:cs="Calibri"/>
          <w:sz w:val="16"/>
          <w:szCs w:val="16"/>
        </w:rPr>
      </w:pPr>
      <w:r>
        <w:rPr>
          <w:rStyle w:val="Sprotnaopomba-sklic"/>
          <w:rFonts w:ascii="Calibri" w:hAnsi="Calibri" w:cs="Calibri"/>
          <w:sz w:val="16"/>
          <w:szCs w:val="16"/>
          <w:lang w:val="en-GB"/>
        </w:rPr>
        <w:footnoteRef/>
      </w:r>
      <w:r>
        <w:rPr>
          <w:lang w:val="en-GB"/>
        </w:rPr>
        <w:t xml:space="preserve"> </w:t>
      </w:r>
      <w:r>
        <w:rPr>
          <w:rFonts w:asciiTheme="minorHAnsi" w:hAnsiTheme="minorHAnsi"/>
          <w:sz w:val="16"/>
          <w:szCs w:val="16"/>
          <w:lang w:val="en-GB"/>
        </w:rPr>
        <w:t xml:space="preserve">On 1 January 2025, the </w:t>
      </w:r>
      <w:r>
        <w:rPr>
          <w:rFonts w:ascii="Calibri" w:hAnsi="Calibri"/>
          <w:sz w:val="16"/>
          <w:szCs w:val="16"/>
          <w:lang w:val="en-GB"/>
        </w:rPr>
        <w:t>Common Foundations of the Public Sector Salary System Act – ZSTSPJS (Official Gazette of the Republic of Slovenia [</w:t>
      </w:r>
      <w:proofErr w:type="spellStart"/>
      <w:r>
        <w:rPr>
          <w:rFonts w:ascii="Calibri" w:hAnsi="Calibri"/>
          <w:i/>
          <w:iCs/>
          <w:sz w:val="16"/>
          <w:szCs w:val="16"/>
          <w:lang w:val="en-GB"/>
        </w:rPr>
        <w:t>Uradni</w:t>
      </w:r>
      <w:proofErr w:type="spellEnd"/>
      <w:r>
        <w:rPr>
          <w:rFonts w:ascii="Calibri" w:hAnsi="Calibri"/>
          <w:i/>
          <w:iCs/>
          <w:sz w:val="16"/>
          <w:szCs w:val="16"/>
          <w:lang w:val="en-GB"/>
        </w:rPr>
        <w:t xml:space="preserve"> list RS</w:t>
      </w:r>
      <w:r>
        <w:rPr>
          <w:rFonts w:ascii="Calibri" w:hAnsi="Calibri"/>
          <w:sz w:val="16"/>
          <w:szCs w:val="16"/>
          <w:lang w:val="en-GB"/>
        </w:rPr>
        <w:t>], No 95/24) entered into force. The ZSTSPJS replaced the Public Sector Salary System Act – ZSPJS (Official Gazette of the Republic of Slovenia [</w:t>
      </w:r>
      <w:proofErr w:type="spellStart"/>
      <w:r>
        <w:rPr>
          <w:rFonts w:ascii="Calibri" w:hAnsi="Calibri"/>
          <w:i/>
          <w:iCs/>
          <w:sz w:val="16"/>
          <w:szCs w:val="16"/>
          <w:lang w:val="en-GB"/>
        </w:rPr>
        <w:t>Uradni</w:t>
      </w:r>
      <w:proofErr w:type="spellEnd"/>
      <w:r>
        <w:rPr>
          <w:rFonts w:ascii="Calibri" w:hAnsi="Calibri"/>
          <w:i/>
          <w:iCs/>
          <w:sz w:val="16"/>
          <w:szCs w:val="16"/>
          <w:lang w:val="en-GB"/>
        </w:rPr>
        <w:t xml:space="preserve"> list RS</w:t>
      </w:r>
      <w:r>
        <w:rPr>
          <w:rFonts w:ascii="Calibri" w:hAnsi="Calibri"/>
          <w:sz w:val="16"/>
          <w:szCs w:val="16"/>
          <w:lang w:val="en-GB"/>
        </w:rPr>
        <w:t>], No 56/02 with amendments), which had been in force since 1 January 2004.</w:t>
      </w:r>
    </w:p>
  </w:footnote>
  <w:footnote w:id="3">
    <w:p w14:paraId="5D32C0E3" w14:textId="2FEB7F90" w:rsidR="00D4503E" w:rsidRPr="00F258EC" w:rsidRDefault="00D4503E" w:rsidP="00F258EC">
      <w:pPr>
        <w:pStyle w:val="Sprotnaopomba-besedilo"/>
        <w:jc w:val="both"/>
        <w:rPr>
          <w:rFonts w:ascii="Calibri" w:hAnsi="Calibri" w:cs="Calibri"/>
          <w:sz w:val="16"/>
          <w:szCs w:val="16"/>
        </w:rPr>
      </w:pPr>
      <w:r>
        <w:rPr>
          <w:rStyle w:val="Sprotnaopomba-sklic"/>
          <w:rFonts w:ascii="Calibri" w:hAnsi="Calibri" w:cs="Calibri"/>
          <w:sz w:val="16"/>
          <w:szCs w:val="16"/>
          <w:lang w:val="en-GB"/>
        </w:rPr>
        <w:footnoteRef/>
      </w:r>
      <w:r>
        <w:rPr>
          <w:rStyle w:val="Sprotnaopomba-sklic"/>
          <w:rFonts w:ascii="Calibri" w:hAnsi="Calibri" w:cs="Calibri"/>
          <w:sz w:val="16"/>
          <w:szCs w:val="16"/>
          <w:lang w:val="en-GB"/>
        </w:rPr>
        <w:t xml:space="preserve"> </w:t>
      </w:r>
      <w:r>
        <w:rPr>
          <w:rFonts w:ascii="Calibri" w:hAnsi="Calibri" w:cs="Calibri"/>
          <w:sz w:val="16"/>
          <w:szCs w:val="16"/>
          <w:lang w:val="en-GB"/>
        </w:rPr>
        <w:t xml:space="preserve">Succession planning </w:t>
      </w:r>
      <w:r w:rsidRPr="00BD1745">
        <w:rPr>
          <w:rFonts w:ascii="Calibri" w:hAnsi="Calibri" w:cs="Calibri"/>
          <w:sz w:val="16"/>
          <w:szCs w:val="16"/>
          <w:lang w:val="en-GB"/>
        </w:rPr>
        <w:t xml:space="preserve">is a </w:t>
      </w:r>
      <w:r w:rsidR="000B616D" w:rsidRPr="00BD1745">
        <w:rPr>
          <w:rFonts w:ascii="Calibri" w:hAnsi="Calibri" w:cs="Calibri"/>
          <w:sz w:val="16"/>
          <w:szCs w:val="16"/>
          <w:lang w:val="en-GB"/>
        </w:rPr>
        <w:t>human resource management</w:t>
      </w:r>
      <w:r w:rsidRPr="00BD1745">
        <w:rPr>
          <w:rFonts w:ascii="Calibri" w:hAnsi="Calibri" w:cs="Calibri"/>
          <w:sz w:val="16"/>
          <w:szCs w:val="16"/>
          <w:lang w:val="en-GB"/>
        </w:rPr>
        <w:t xml:space="preserve"> approach</w:t>
      </w:r>
      <w:r>
        <w:rPr>
          <w:rFonts w:ascii="Calibri" w:hAnsi="Calibri" w:cs="Calibri"/>
          <w:sz w:val="16"/>
          <w:szCs w:val="16"/>
          <w:lang w:val="en-GB"/>
        </w:rPr>
        <w:t xml:space="preserve"> used by organisations to prepare for the departure of leaders, managers and other key employees, and to ensure their replacement. It is of vital importance for the organisation's continued development and future success. Source: Brian Wilkerson (2007). Effective Succession Planning in the Public Sector. North America: Watson Wyatt Worldwide.</w:t>
      </w:r>
    </w:p>
  </w:footnote>
  <w:footnote w:id="4">
    <w:p w14:paraId="335530DC" w14:textId="05AD2CDB" w:rsidR="00336E30" w:rsidRPr="00E01EE4" w:rsidRDefault="00336E30" w:rsidP="00336E30">
      <w:pPr>
        <w:pStyle w:val="Sprotnaopomba-besedilo"/>
        <w:rPr>
          <w:rFonts w:ascii="Calibri" w:hAnsi="Calibri" w:cs="Calibri"/>
          <w:sz w:val="16"/>
          <w:szCs w:val="16"/>
        </w:rPr>
      </w:pPr>
      <w:r>
        <w:rPr>
          <w:rStyle w:val="Sprotnaopomba-sklic"/>
          <w:rFonts w:ascii="Calibri" w:hAnsi="Calibri" w:cs="Calibri"/>
          <w:sz w:val="16"/>
          <w:szCs w:val="16"/>
          <w:lang w:val="en-GB"/>
        </w:rPr>
        <w:footnoteRef/>
      </w:r>
      <w:r>
        <w:rPr>
          <w:rFonts w:ascii="Calibri" w:hAnsi="Calibri" w:cs="Calibri"/>
          <w:sz w:val="16"/>
          <w:szCs w:val="16"/>
          <w:lang w:val="en-GB"/>
        </w:rPr>
        <w:t xml:space="preserve"> Source: Ministry of Public Administration, Council of Officials, Report on the work of the Council of Officials for 2023, p. 3–4, available at https://www.gov.si/assets/ministrstva/MJU/DJS/Letno-porocilo-o-delu-US_2023_koncno-ZA-OBJAVO.docx.</w:t>
      </w:r>
    </w:p>
  </w:footnote>
  <w:footnote w:id="5">
    <w:p w14:paraId="5A37AB74" w14:textId="77777777" w:rsidR="00A506D0" w:rsidRPr="00E01EE4" w:rsidRDefault="00A506D0">
      <w:pPr>
        <w:pStyle w:val="Sprotnaopomba-besedilo"/>
        <w:rPr>
          <w:rFonts w:ascii="Calibri" w:hAnsi="Calibri" w:cs="Calibri"/>
          <w:sz w:val="16"/>
          <w:szCs w:val="16"/>
        </w:rPr>
      </w:pPr>
      <w:r>
        <w:rPr>
          <w:rFonts w:ascii="Calibri" w:hAnsi="Calibri" w:cs="Calibri"/>
          <w:sz w:val="16"/>
          <w:szCs w:val="16"/>
          <w:lang w:val="en-GB"/>
        </w:rPr>
        <w:footnoteRef/>
      </w:r>
      <w:r>
        <w:rPr>
          <w:rFonts w:ascii="Calibri" w:hAnsi="Calibri" w:cs="Calibri"/>
          <w:sz w:val="16"/>
          <w:szCs w:val="16"/>
          <w:lang w:val="en-GB"/>
        </w:rPr>
        <w:t xml:space="preserve"> Source: Ministry of Public Administration, Trainees analysis. 2022.</w:t>
      </w:r>
    </w:p>
  </w:footnote>
  <w:footnote w:id="6">
    <w:p w14:paraId="24B96CE4" w14:textId="77777777" w:rsidR="002000C8" w:rsidRPr="002000C8" w:rsidRDefault="002000C8">
      <w:pPr>
        <w:pStyle w:val="Sprotnaopomba-besedilo"/>
        <w:rPr>
          <w:sz w:val="16"/>
          <w:szCs w:val="16"/>
        </w:rPr>
      </w:pPr>
      <w:r>
        <w:rPr>
          <w:rStyle w:val="Sprotnaopomba-sklic"/>
          <w:rFonts w:ascii="Calibri" w:hAnsi="Calibri" w:cs="Calibri"/>
          <w:sz w:val="16"/>
          <w:szCs w:val="16"/>
          <w:lang w:val="en-GB"/>
        </w:rPr>
        <w:footnoteRef/>
      </w:r>
      <w:r>
        <w:rPr>
          <w:rStyle w:val="Sprotnaopomba-sklic"/>
          <w:rFonts w:ascii="Calibri" w:hAnsi="Calibri" w:cs="Calibri"/>
          <w:sz w:val="16"/>
          <w:szCs w:val="16"/>
          <w:lang w:val="en-GB"/>
        </w:rPr>
        <w:t xml:space="preserve"> </w:t>
      </w:r>
      <w:r>
        <w:rPr>
          <w:rFonts w:ascii="Calibri" w:hAnsi="Calibri" w:cs="Calibri"/>
          <w:sz w:val="16"/>
          <w:szCs w:val="16"/>
          <w:lang w:val="en-GB"/>
        </w:rPr>
        <w:t>In 2022, 17% of published job vacancies remained unfilled at the time of data collection.</w:t>
      </w:r>
    </w:p>
  </w:footnote>
  <w:footnote w:id="7">
    <w:p w14:paraId="3A0D7C60" w14:textId="55825EB4" w:rsidR="006D5CC4" w:rsidRPr="00894514" w:rsidRDefault="006D5CC4" w:rsidP="00C82A67">
      <w:pPr>
        <w:pStyle w:val="Sprotnaopomba-besedilo"/>
        <w:rPr>
          <w:rFonts w:ascii="Calibri" w:hAnsi="Calibri" w:cs="Calibri"/>
          <w:sz w:val="16"/>
          <w:szCs w:val="16"/>
        </w:rPr>
      </w:pPr>
      <w:r>
        <w:rPr>
          <w:rStyle w:val="Sprotnaopomba-sklic"/>
          <w:rFonts w:ascii="Calibri" w:hAnsi="Calibri" w:cs="Calibri"/>
          <w:sz w:val="16"/>
          <w:szCs w:val="16"/>
          <w:lang w:val="en-GB"/>
        </w:rPr>
        <w:footnoteRef/>
      </w:r>
      <w:r>
        <w:rPr>
          <w:sz w:val="16"/>
          <w:szCs w:val="16"/>
          <w:lang w:val="en-GB"/>
        </w:rPr>
        <w:t xml:space="preserve"> </w:t>
      </w:r>
      <w:r>
        <w:rPr>
          <w:rFonts w:ascii="Calibri" w:hAnsi="Calibri"/>
          <w:sz w:val="16"/>
          <w:szCs w:val="16"/>
          <w:lang w:val="en-GB"/>
        </w:rPr>
        <w:t>EUPAN, Workforce composition in central/federal public administrations, EUPAN Statistical eNews, Swedish Presidency of EUPAN, 2023.</w:t>
      </w:r>
      <w:r>
        <w:rPr>
          <w:sz w:val="16"/>
          <w:szCs w:val="16"/>
          <w:lang w:val="en-GB"/>
        </w:rPr>
        <w:fldChar w:fldCharType="begin"/>
      </w:r>
      <w:r>
        <w:rPr>
          <w:rFonts w:ascii="Calibri" w:hAnsi="Calibri"/>
          <w:sz w:val="16"/>
          <w:szCs w:val="16"/>
          <w:lang w:val="en-GB"/>
        </w:rPr>
        <w:instrText>https://www.eupan.eu/2023/05/publications-by-the-swedish-presidency/"</w:instrText>
      </w:r>
      <w:r>
        <w:rPr>
          <w:sz w:val="16"/>
          <w:szCs w:val="16"/>
          <w:lang w:val="en-GB"/>
        </w:rPr>
        <w:fldChar w:fldCharType="separate"/>
      </w:r>
      <w:r>
        <w:rPr>
          <w:rFonts w:ascii="Calibri" w:hAnsi="Calibri"/>
          <w:lang w:val="en-GB"/>
        </w:rPr>
        <w:t>https://www.eupan.eu/2023/05/publications-by-the-swedish-presidency/</w:t>
      </w:r>
      <w:r>
        <w:rPr>
          <w:lang w:val="en-GB"/>
        </w:rPr>
        <w:fldChar w:fldCharType="end"/>
      </w:r>
      <w:r>
        <w:rPr>
          <w:rFonts w:ascii="Calibri" w:hAnsi="Calibri"/>
          <w:sz w:val="16"/>
          <w:szCs w:val="16"/>
          <w:lang w:val="en-GB"/>
        </w:rPr>
        <w:t xml:space="preserve"> </w:t>
      </w:r>
    </w:p>
  </w:footnote>
  <w:footnote w:id="8">
    <w:p w14:paraId="789321F2" w14:textId="77777777" w:rsidR="00936DD6" w:rsidRPr="00DD09C3" w:rsidRDefault="00936DD6" w:rsidP="00C82A67">
      <w:pPr>
        <w:pStyle w:val="Sprotnaopomba-besedilo"/>
        <w:rPr>
          <w:rFonts w:ascii="Calibri" w:hAnsi="Calibri" w:cs="Calibri"/>
          <w:sz w:val="16"/>
          <w:szCs w:val="16"/>
        </w:rPr>
      </w:pPr>
      <w:r>
        <w:rPr>
          <w:rStyle w:val="Sprotnaopomba-sklic"/>
          <w:rFonts w:ascii="Calibri" w:hAnsi="Calibri" w:cs="Calibri"/>
          <w:sz w:val="16"/>
          <w:szCs w:val="16"/>
          <w:lang w:val="en-GB"/>
        </w:rPr>
        <w:footnoteRef/>
      </w:r>
      <w:r>
        <w:rPr>
          <w:rFonts w:ascii="Calibri" w:hAnsi="Calibri" w:cs="Calibri"/>
          <w:sz w:val="16"/>
          <w:szCs w:val="16"/>
          <w:lang w:val="en-GB"/>
        </w:rPr>
        <w:t xml:space="preserve"> Source: Ministry of Public Administration. 2021. Management of older employees and talent in European state administrations. https://www.gov.si/assets/ministrstva/MJU/DJS/Studija-OECD/Ravnanje-s-starejsimi-zaposlenimi-in-talenti-v-evropskih-javnih-upravah.pdf.</w:t>
      </w:r>
    </w:p>
  </w:footnote>
  <w:footnote w:id="9">
    <w:p w14:paraId="3F8A26D1" w14:textId="77777777" w:rsidR="008634CF" w:rsidRPr="00DD09C3" w:rsidRDefault="008634CF">
      <w:pPr>
        <w:pStyle w:val="Sprotnaopomba-besedilo"/>
        <w:rPr>
          <w:rFonts w:ascii="Calibri" w:hAnsi="Calibri" w:cs="Calibri"/>
          <w:sz w:val="16"/>
          <w:szCs w:val="16"/>
        </w:rPr>
      </w:pPr>
      <w:r>
        <w:rPr>
          <w:rStyle w:val="Sprotnaopomba-sklic"/>
          <w:rFonts w:ascii="Calibri" w:hAnsi="Calibri" w:cs="Calibri"/>
          <w:sz w:val="16"/>
          <w:szCs w:val="16"/>
          <w:lang w:val="en-GB"/>
        </w:rPr>
        <w:footnoteRef/>
      </w:r>
      <w:r>
        <w:rPr>
          <w:rFonts w:ascii="Calibri" w:hAnsi="Calibri" w:cs="Calibri"/>
          <w:sz w:val="16"/>
          <w:szCs w:val="16"/>
          <w:lang w:val="en-GB"/>
        </w:rPr>
        <w:t xml:space="preserve"> </w:t>
      </w:r>
      <w:r>
        <w:rPr>
          <w:rFonts w:ascii="Calibri" w:hAnsi="Calibri" w:cs="Calibri"/>
          <w:color w:val="000000"/>
          <w:sz w:val="16"/>
          <w:szCs w:val="16"/>
          <w:lang w:val="en-GB"/>
        </w:rPr>
        <w:t xml:space="preserve">Source: </w:t>
      </w:r>
      <w:r>
        <w:rPr>
          <w:rFonts w:ascii="Calibri" w:hAnsi="Calibri" w:cs="Calibri"/>
          <w:sz w:val="16"/>
          <w:szCs w:val="16"/>
          <w:lang w:val="en-GB"/>
        </w:rPr>
        <w:t>OECD. 2020. Composition of the workforce in central/federal governments survey.</w:t>
      </w:r>
    </w:p>
  </w:footnote>
  <w:footnote w:id="10">
    <w:p w14:paraId="4A006B82" w14:textId="77777777" w:rsidR="003709ED" w:rsidRPr="008A6B33" w:rsidRDefault="003709ED" w:rsidP="003709ED">
      <w:pPr>
        <w:pStyle w:val="Naslov1"/>
        <w:rPr>
          <w:rFonts w:ascii="Calibri" w:hAnsi="Calibri" w:cs="Calibri"/>
          <w:b w:val="0"/>
          <w:bCs w:val="0"/>
          <w:sz w:val="16"/>
          <w:szCs w:val="16"/>
        </w:rPr>
      </w:pPr>
      <w:r>
        <w:rPr>
          <w:rStyle w:val="Sprotnaopomba-sklic"/>
          <w:rFonts w:ascii="Calibri" w:hAnsi="Calibri" w:cs="Calibri"/>
          <w:b w:val="0"/>
          <w:bCs w:val="0"/>
          <w:sz w:val="16"/>
          <w:szCs w:val="16"/>
          <w:lang w:val="en-GB"/>
        </w:rPr>
        <w:footnoteRef/>
      </w:r>
      <w:r>
        <w:rPr>
          <w:rFonts w:ascii="Calibri" w:hAnsi="Calibri" w:cs="Calibri"/>
          <w:b w:val="0"/>
          <w:bCs w:val="0"/>
          <w:sz w:val="16"/>
          <w:szCs w:val="16"/>
          <w:lang w:val="en-GB"/>
        </w:rPr>
        <w:t xml:space="preserve"> Source: European Commission. 2022. Slovenia's exceptional performance poses a significant challenge for experts.</w:t>
      </w:r>
    </w:p>
    <w:p w14:paraId="0D2934F8" w14:textId="77777777" w:rsidR="003709ED" w:rsidRPr="00DD09C3" w:rsidRDefault="003709ED" w:rsidP="003709ED">
      <w:pPr>
        <w:pStyle w:val="Sprotnaopomba-besedilo"/>
        <w:rPr>
          <w:rFonts w:ascii="Calibri" w:hAnsi="Calibri" w:cs="Calibri"/>
          <w:sz w:val="16"/>
          <w:szCs w:val="16"/>
        </w:rPr>
      </w:pPr>
      <w:r w:rsidRPr="001B4AEC">
        <w:rPr>
          <w:rFonts w:ascii="Calibri" w:hAnsi="Calibri" w:cs="Calibri"/>
          <w:sz w:val="16"/>
          <w:szCs w:val="16"/>
        </w:rPr>
        <w:t>https://epale.ec.europa.eu/sl/blog/izjemni-rezultati-za-slovenijo-velik-izziv-za-strokovnjake</w:t>
      </w:r>
    </w:p>
  </w:footnote>
  <w:footnote w:id="11">
    <w:p w14:paraId="7B039C2A" w14:textId="1AFDD9D1" w:rsidR="006E6374" w:rsidRDefault="006E6374">
      <w:pPr>
        <w:pStyle w:val="Sprotnaopomba-besedilo"/>
      </w:pPr>
      <w:r>
        <w:rPr>
          <w:rStyle w:val="Sprotnaopomba-sklic"/>
          <w:rFonts w:ascii="Calibri" w:hAnsi="Calibri" w:cs="Calibri"/>
          <w:kern w:val="32"/>
          <w:sz w:val="16"/>
          <w:szCs w:val="16"/>
          <w:lang w:val="en-GB"/>
        </w:rPr>
        <w:footnoteRef/>
      </w:r>
      <w:r>
        <w:rPr>
          <w:rStyle w:val="Sprotnaopomba-sklic"/>
          <w:rFonts w:ascii="Calibri" w:hAnsi="Calibri" w:cs="Calibri"/>
          <w:kern w:val="32"/>
          <w:sz w:val="16"/>
          <w:szCs w:val="16"/>
          <w:lang w:val="en-GB"/>
        </w:rPr>
        <w:t xml:space="preserve"> </w:t>
      </w:r>
      <w:r>
        <w:rPr>
          <w:rFonts w:ascii="Calibri" w:hAnsi="Calibri" w:cs="Calibri"/>
          <w:sz w:val="16"/>
          <w:szCs w:val="16"/>
          <w:lang w:val="en-GB"/>
        </w:rPr>
        <w:t>Source: Republic of Slovenia Gov.si. Introducing a competency model – VKM, https://www.gov.si/zbirke/projekti-in-programi/projekt-vzpostavitev-kompetencnega-modela/</w:t>
      </w:r>
    </w:p>
  </w:footnote>
  <w:footnote w:id="12">
    <w:p w14:paraId="24D7FA04" w14:textId="77777777" w:rsidR="00765C33" w:rsidRPr="00DD09C3" w:rsidRDefault="00765C33">
      <w:pPr>
        <w:pStyle w:val="Sprotnaopomba-besedilo"/>
        <w:rPr>
          <w:rFonts w:ascii="Calibri" w:hAnsi="Calibri" w:cs="Calibri"/>
          <w:sz w:val="16"/>
          <w:szCs w:val="16"/>
        </w:rPr>
      </w:pPr>
      <w:r>
        <w:rPr>
          <w:rStyle w:val="Sprotnaopomba-sklic"/>
          <w:rFonts w:ascii="Calibri" w:hAnsi="Calibri" w:cs="Calibri"/>
          <w:sz w:val="16"/>
          <w:szCs w:val="16"/>
          <w:lang w:val="en-GB"/>
        </w:rPr>
        <w:footnoteRef/>
      </w:r>
      <w:r>
        <w:rPr>
          <w:rFonts w:ascii="Calibri" w:hAnsi="Calibri" w:cs="Calibri"/>
          <w:sz w:val="16"/>
          <w:szCs w:val="16"/>
          <w:lang w:val="en-GB"/>
        </w:rPr>
        <w:t xml:space="preserve"> Source: Republic of Slovenia Gov.si. Job positions, https://www.gov.si/zbirke/delovna-mesta/</w:t>
      </w:r>
    </w:p>
  </w:footnote>
  <w:footnote w:id="13">
    <w:p w14:paraId="7BDCB65C" w14:textId="72DA4394" w:rsidR="00885C61" w:rsidRPr="002D0FB4" w:rsidRDefault="00885C61">
      <w:pPr>
        <w:pStyle w:val="Sprotnaopomba-besedilo"/>
        <w:rPr>
          <w:rStyle w:val="Sprotnaopomba-sklic"/>
          <w:rFonts w:ascii="Calibri" w:hAnsi="Calibri" w:cs="Calibri"/>
          <w:kern w:val="32"/>
          <w:sz w:val="16"/>
          <w:szCs w:val="16"/>
          <w:vertAlign w:val="baseline"/>
        </w:rPr>
      </w:pPr>
      <w:r>
        <w:rPr>
          <w:rStyle w:val="Sprotnaopomba-sklic"/>
          <w:rFonts w:ascii="Calibri" w:hAnsi="Calibri" w:cs="Calibri"/>
          <w:kern w:val="32"/>
          <w:sz w:val="16"/>
          <w:szCs w:val="16"/>
          <w:lang w:val="en-GB"/>
        </w:rPr>
        <w:footnoteRef/>
      </w:r>
      <w:r>
        <w:rPr>
          <w:rStyle w:val="Sprotnaopomba-sklic"/>
          <w:rFonts w:ascii="Calibri" w:hAnsi="Calibri" w:cs="Calibri"/>
          <w:kern w:val="32"/>
          <w:sz w:val="16"/>
          <w:szCs w:val="16"/>
          <w:lang w:val="en-GB"/>
        </w:rPr>
        <w:t xml:space="preserve"> </w:t>
      </w:r>
      <w:r>
        <w:rPr>
          <w:rStyle w:val="Sprotnaopomba-sklic"/>
          <w:rFonts w:ascii="Calibri" w:hAnsi="Calibri" w:cs="Calibri"/>
          <w:kern w:val="32"/>
          <w:sz w:val="16"/>
          <w:szCs w:val="16"/>
          <w:vertAlign w:val="baseline"/>
          <w:lang w:val="en-GB"/>
        </w:rPr>
        <w:t>Source: Ministry of Public Administration, Public Sector Directorate</w:t>
      </w:r>
      <w:r>
        <w:rPr>
          <w:rFonts w:ascii="Calibri" w:hAnsi="Calibri" w:cs="Calibri"/>
          <w:kern w:val="32"/>
          <w:sz w:val="16"/>
          <w:szCs w:val="16"/>
          <w:lang w:val="en-GB"/>
        </w:rPr>
        <w:t>, IS MUZA analytics</w:t>
      </w:r>
      <w:r>
        <w:rPr>
          <w:rStyle w:val="Sprotnaopomba-sklic"/>
          <w:rFonts w:ascii="Calibri" w:hAnsi="Calibri" w:cs="Calibri"/>
          <w:kern w:val="32"/>
          <w:sz w:val="16"/>
          <w:szCs w:val="16"/>
          <w:vertAlign w:val="baseline"/>
          <w:lang w:val="en-GB"/>
        </w:rPr>
        <w:t>.</w:t>
      </w:r>
    </w:p>
  </w:footnote>
  <w:footnote w:id="14">
    <w:p w14:paraId="0C9F3FAD" w14:textId="77777777" w:rsidR="00067405" w:rsidRPr="00DD09C3" w:rsidRDefault="00067405">
      <w:pPr>
        <w:pStyle w:val="Sprotnaopomba-besedilo"/>
        <w:rPr>
          <w:rFonts w:ascii="Calibri" w:hAnsi="Calibri" w:cs="Calibri"/>
          <w:sz w:val="16"/>
          <w:szCs w:val="16"/>
        </w:rPr>
      </w:pPr>
      <w:r>
        <w:rPr>
          <w:rStyle w:val="Sprotnaopomba-sklic"/>
          <w:rFonts w:ascii="Calibri" w:hAnsi="Calibri" w:cs="Calibri"/>
          <w:sz w:val="16"/>
          <w:szCs w:val="16"/>
          <w:lang w:val="en-GB"/>
        </w:rPr>
        <w:footnoteRef/>
      </w:r>
      <w:r w:rsidRPr="001B4AEC">
        <w:rPr>
          <w:rFonts w:ascii="Calibri" w:hAnsi="Calibri" w:cs="Calibri"/>
          <w:sz w:val="16"/>
          <w:szCs w:val="16"/>
        </w:rPr>
        <w:t xml:space="preserve"> http://pisrs.si/Pis.web/pregledPredpisa?id=ZAKO3225</w:t>
      </w:r>
    </w:p>
  </w:footnote>
  <w:footnote w:id="15">
    <w:p w14:paraId="545A899E" w14:textId="77777777" w:rsidR="00067405" w:rsidRPr="00DD09C3" w:rsidRDefault="00067405">
      <w:pPr>
        <w:pStyle w:val="Sprotnaopomba-besedilo"/>
        <w:rPr>
          <w:rFonts w:ascii="Calibri" w:hAnsi="Calibri" w:cs="Calibri"/>
          <w:sz w:val="16"/>
          <w:szCs w:val="16"/>
        </w:rPr>
      </w:pPr>
      <w:r>
        <w:rPr>
          <w:rStyle w:val="Sprotnaopomba-sklic"/>
          <w:rFonts w:ascii="Calibri" w:hAnsi="Calibri" w:cs="Calibri"/>
          <w:sz w:val="16"/>
          <w:szCs w:val="16"/>
          <w:lang w:val="en-GB"/>
        </w:rPr>
        <w:footnoteRef/>
      </w:r>
      <w:r w:rsidRPr="001B4AEC">
        <w:rPr>
          <w:rFonts w:ascii="Calibri" w:hAnsi="Calibri" w:cs="Calibri"/>
          <w:sz w:val="16"/>
          <w:szCs w:val="16"/>
        </w:rPr>
        <w:t xml:space="preserve"> http://pisrs.si/Pis.web/pregledPredpisa?id=ZAKO3177</w:t>
      </w:r>
    </w:p>
  </w:footnote>
  <w:footnote w:id="16">
    <w:p w14:paraId="305E4DF6" w14:textId="77777777" w:rsidR="00221586" w:rsidRPr="00DD09C3" w:rsidRDefault="00221586">
      <w:pPr>
        <w:pStyle w:val="Sprotnaopomba-besedilo"/>
        <w:rPr>
          <w:rFonts w:ascii="Calibri" w:hAnsi="Calibri" w:cs="Calibri"/>
          <w:sz w:val="16"/>
          <w:szCs w:val="16"/>
        </w:rPr>
      </w:pPr>
      <w:r>
        <w:rPr>
          <w:rStyle w:val="Sprotnaopomba-sklic"/>
          <w:rFonts w:ascii="Calibri" w:hAnsi="Calibri" w:cs="Calibri"/>
          <w:sz w:val="16"/>
          <w:szCs w:val="16"/>
          <w:lang w:val="en-GB"/>
        </w:rPr>
        <w:footnoteRef/>
      </w:r>
      <w:r w:rsidRPr="001B4AEC">
        <w:rPr>
          <w:rFonts w:ascii="Calibri" w:hAnsi="Calibri" w:cs="Calibri"/>
          <w:sz w:val="16"/>
          <w:szCs w:val="16"/>
        </w:rPr>
        <w:t xml:space="preserve"> https://www.gov.si/assets/ministrstva/MJU/Kakovost-in-inovativnost-v-javni-upravi/Strategija/Strategija-razvoja-javne-uprave-2015-2020.pdf</w:t>
      </w:r>
    </w:p>
  </w:footnote>
  <w:footnote w:id="17">
    <w:p w14:paraId="2CE1AEDC" w14:textId="77777777" w:rsidR="004130A7" w:rsidRPr="00DD09C3" w:rsidRDefault="004130A7" w:rsidP="004130A7">
      <w:pPr>
        <w:pStyle w:val="Sprotnaopomba-besedilo"/>
        <w:rPr>
          <w:rFonts w:ascii="Calibri" w:hAnsi="Calibri" w:cs="Calibri"/>
          <w:sz w:val="16"/>
          <w:szCs w:val="16"/>
        </w:rPr>
      </w:pPr>
      <w:r>
        <w:rPr>
          <w:rStyle w:val="Sprotnaopomba-sklic"/>
          <w:rFonts w:ascii="Calibri" w:hAnsi="Calibri" w:cs="Calibri"/>
          <w:sz w:val="16"/>
          <w:szCs w:val="16"/>
          <w:lang w:val="en-GB"/>
        </w:rPr>
        <w:footnoteRef/>
      </w:r>
      <w:r w:rsidRPr="001B4AEC">
        <w:rPr>
          <w:rFonts w:ascii="Calibri" w:hAnsi="Calibri" w:cs="Calibri"/>
          <w:sz w:val="16"/>
          <w:szCs w:val="16"/>
        </w:rPr>
        <w:t xml:space="preserve"> https://www.gov.si/assets/vladne-sluzbe/SVRK/Strategija-razvoja-Slovenije-2030/Strategija_razvoja_Slovenije_2030.pdf</w:t>
      </w:r>
    </w:p>
  </w:footnote>
  <w:footnote w:id="18">
    <w:p w14:paraId="68FDF540" w14:textId="77777777" w:rsidR="0098418A" w:rsidRPr="00DD09C3" w:rsidRDefault="0098418A" w:rsidP="0098418A">
      <w:pPr>
        <w:pStyle w:val="Sprotnaopomba-besedilo"/>
        <w:rPr>
          <w:rFonts w:ascii="Calibri" w:hAnsi="Calibri" w:cs="Calibri"/>
          <w:sz w:val="16"/>
          <w:szCs w:val="16"/>
        </w:rPr>
      </w:pPr>
      <w:r>
        <w:rPr>
          <w:rStyle w:val="Sprotnaopomba-sklic"/>
          <w:rFonts w:ascii="Calibri" w:hAnsi="Calibri" w:cs="Calibri"/>
          <w:sz w:val="16"/>
          <w:szCs w:val="16"/>
          <w:lang w:val="en-GB"/>
        </w:rPr>
        <w:footnoteRef/>
      </w:r>
      <w:r w:rsidRPr="001B4AEC">
        <w:rPr>
          <w:rFonts w:ascii="Calibri" w:hAnsi="Calibri" w:cs="Calibri"/>
          <w:sz w:val="16"/>
          <w:szCs w:val="16"/>
        </w:rPr>
        <w:t xml:space="preserve"> https://www.gov.si/novice/2023-03-23-vlada-sprejela-strategijo-digitalna-slovenija-2030/ </w:t>
      </w:r>
    </w:p>
  </w:footnote>
  <w:footnote w:id="19">
    <w:p w14:paraId="71B69574" w14:textId="77777777" w:rsidR="009F13A2" w:rsidRPr="00DD09C3" w:rsidRDefault="009F13A2" w:rsidP="00D61854">
      <w:pPr>
        <w:pStyle w:val="Sprotnaopomba-besedilo"/>
        <w:rPr>
          <w:rFonts w:ascii="Calibri" w:hAnsi="Calibri" w:cs="Calibri"/>
          <w:sz w:val="16"/>
          <w:szCs w:val="16"/>
        </w:rPr>
      </w:pPr>
      <w:r>
        <w:rPr>
          <w:rStyle w:val="Sprotnaopomba-sklic"/>
          <w:rFonts w:ascii="Calibri" w:hAnsi="Calibri" w:cs="Calibri"/>
          <w:sz w:val="16"/>
          <w:szCs w:val="16"/>
          <w:lang w:val="en-GB"/>
        </w:rPr>
        <w:footnoteRef/>
      </w:r>
      <w:r w:rsidRPr="001B4AEC">
        <w:rPr>
          <w:rFonts w:ascii="Calibri" w:hAnsi="Calibri" w:cs="Calibri"/>
          <w:sz w:val="16"/>
          <w:szCs w:val="16"/>
        </w:rPr>
        <w:t xml:space="preserve"> https://www.gov.si/assets/ministrstva/MJU/DJS/Studija-OECD/Ravnanje-s-starejsimi-zaposlenimi-in-talenti-v-evropskih-javnih-upravah.pdf</w:t>
      </w:r>
    </w:p>
  </w:footnote>
  <w:footnote w:id="20">
    <w:p w14:paraId="049070FD" w14:textId="77777777" w:rsidR="00F45A89" w:rsidRPr="00E01EE4" w:rsidRDefault="00F45A89" w:rsidP="00E50013">
      <w:pPr>
        <w:pStyle w:val="Sprotnaopomba-besedilo"/>
        <w:rPr>
          <w:rFonts w:ascii="Calibri" w:hAnsi="Calibri" w:cs="Calibri"/>
          <w:sz w:val="16"/>
          <w:szCs w:val="16"/>
        </w:rPr>
      </w:pPr>
      <w:r>
        <w:rPr>
          <w:rStyle w:val="Sprotnaopomba-sklic"/>
          <w:rFonts w:ascii="Calibri" w:hAnsi="Calibri" w:cs="Calibri"/>
          <w:sz w:val="16"/>
          <w:szCs w:val="16"/>
          <w:lang w:val="en-GB"/>
        </w:rPr>
        <w:footnoteRef/>
      </w:r>
      <w:r w:rsidRPr="001B4AEC">
        <w:rPr>
          <w:rFonts w:ascii="Calibri" w:hAnsi="Calibri" w:cs="Calibri"/>
          <w:sz w:val="16"/>
          <w:szCs w:val="16"/>
          <w:lang w:val="de-DE"/>
        </w:rPr>
        <w:t xml:space="preserve"> </w:t>
      </w:r>
      <w:hyperlink r:id="rId1" w:history="1">
        <w:r w:rsidRPr="001B4AEC">
          <w:rPr>
            <w:rStyle w:val="Hiperpovezava"/>
            <w:rFonts w:ascii="Calibri" w:hAnsi="Calibri" w:cs="Calibri"/>
            <w:sz w:val="16"/>
            <w:szCs w:val="16"/>
            <w:u w:val="none"/>
            <w:lang w:val="de-DE"/>
          </w:rPr>
          <w:t>01_si-rrp_23-7-2021.pdf (eu-skladi.si)</w:t>
        </w:r>
      </w:hyperlink>
    </w:p>
  </w:footnote>
  <w:footnote w:id="21">
    <w:p w14:paraId="344B587A" w14:textId="77777777" w:rsidR="00CC2FC8" w:rsidRPr="00E01EE4" w:rsidRDefault="00CC2FC8" w:rsidP="00E50013">
      <w:pPr>
        <w:pStyle w:val="Sprotnaopomba-besedilo"/>
        <w:rPr>
          <w:rFonts w:ascii="Calibri" w:hAnsi="Calibri" w:cs="Calibri"/>
          <w:sz w:val="16"/>
          <w:szCs w:val="16"/>
        </w:rPr>
      </w:pPr>
      <w:r>
        <w:rPr>
          <w:rStyle w:val="Sprotnaopomba-sklic"/>
          <w:rFonts w:ascii="Calibri" w:hAnsi="Calibri" w:cs="Calibri"/>
          <w:sz w:val="16"/>
          <w:szCs w:val="16"/>
          <w:lang w:val="en-GB"/>
        </w:rPr>
        <w:footnoteRef/>
      </w:r>
      <w:r w:rsidRPr="001B4AEC">
        <w:rPr>
          <w:rFonts w:ascii="Calibri" w:hAnsi="Calibri" w:cs="Calibri"/>
          <w:sz w:val="16"/>
          <w:szCs w:val="16"/>
          <w:lang w:val="de-DE"/>
        </w:rPr>
        <w:t xml:space="preserve"> </w:t>
      </w:r>
      <w:hyperlink r:id="rId2" w:history="1">
        <w:r w:rsidRPr="001B4AEC">
          <w:rPr>
            <w:rStyle w:val="Hiperpovezava"/>
            <w:rFonts w:ascii="Calibri" w:hAnsi="Calibri" w:cs="Calibri"/>
            <w:sz w:val="16"/>
            <w:szCs w:val="16"/>
            <w:u w:val="none"/>
            <w:lang w:val="de-DE"/>
          </w:rPr>
          <w:t>program-ekp-2021-27_si_sfc-razlicica-1-2.pdf (eu-skladi.si)</w:t>
        </w:r>
      </w:hyperlink>
      <w:r w:rsidRPr="001B4AEC">
        <w:rPr>
          <w:rFonts w:ascii="Calibri" w:hAnsi="Calibri" w:cs="Calibri"/>
          <w:sz w:val="16"/>
          <w:szCs w:val="16"/>
          <w:lang w:val="de-DE"/>
        </w:rPr>
        <w:t xml:space="preserve"> </w:t>
      </w:r>
    </w:p>
  </w:footnote>
  <w:footnote w:id="22">
    <w:p w14:paraId="498E0D7F" w14:textId="77777777" w:rsidR="00F45A89" w:rsidRPr="00CB1340" w:rsidRDefault="00F45A89" w:rsidP="00087A64">
      <w:pPr>
        <w:jc w:val="both"/>
        <w:rPr>
          <w:rFonts w:ascii="Calibri" w:hAnsi="Calibri" w:cs="Calibri"/>
          <w:sz w:val="14"/>
          <w:szCs w:val="14"/>
        </w:rPr>
      </w:pPr>
      <w:r>
        <w:rPr>
          <w:rStyle w:val="Sprotnaopomba-sklic"/>
          <w:rFonts w:ascii="Calibri" w:hAnsi="Calibri" w:cs="Calibri"/>
          <w:sz w:val="16"/>
          <w:szCs w:val="16"/>
          <w:lang w:val="en-GB"/>
        </w:rPr>
        <w:footnoteRef/>
      </w:r>
      <w:r w:rsidRPr="001B4AEC">
        <w:rPr>
          <w:rFonts w:ascii="Calibri" w:hAnsi="Calibri" w:cs="Calibri"/>
          <w:sz w:val="16"/>
          <w:szCs w:val="16"/>
        </w:rPr>
        <w:t xml:space="preserve"> </w:t>
      </w:r>
      <w:hyperlink r:id="rId3" w:history="1">
        <w:r w:rsidRPr="001B4AEC">
          <w:rPr>
            <w:rStyle w:val="Hiperpovezava"/>
            <w:rFonts w:ascii="Calibri" w:hAnsi="Calibri" w:cs="Calibri"/>
            <w:sz w:val="16"/>
            <w:szCs w:val="16"/>
            <w:u w:val="none"/>
          </w:rPr>
          <w:t>https://commission.europa.eu/system/files/2022-04/c_2022_2229_2_en_act_part1_v12.pdf</w:t>
        </w:r>
      </w:hyperlink>
    </w:p>
  </w:footnote>
  <w:footnote w:id="23">
    <w:p w14:paraId="69A89E6C" w14:textId="77777777" w:rsidR="002C77A8" w:rsidRPr="00CB1340" w:rsidRDefault="002C77A8" w:rsidP="00161223">
      <w:pPr>
        <w:pStyle w:val="Sprotnaopomba-besedilo"/>
        <w:jc w:val="both"/>
        <w:rPr>
          <w:rFonts w:ascii="Calibri" w:hAnsi="Calibri" w:cs="Calibri"/>
          <w:sz w:val="16"/>
          <w:szCs w:val="16"/>
        </w:rPr>
      </w:pPr>
      <w:r>
        <w:rPr>
          <w:rStyle w:val="Sprotnaopomba-sklic"/>
          <w:rFonts w:ascii="Calibri" w:hAnsi="Calibri" w:cs="Calibri"/>
          <w:kern w:val="0"/>
          <w:sz w:val="16"/>
          <w:szCs w:val="16"/>
          <w:lang w:val="en-GB"/>
        </w:rPr>
        <w:footnoteRef/>
      </w:r>
      <w:r>
        <w:rPr>
          <w:rStyle w:val="Sprotnaopomba-sklic"/>
          <w:rFonts w:ascii="Calibri" w:hAnsi="Calibri" w:cs="Calibri"/>
          <w:kern w:val="0"/>
          <w:sz w:val="16"/>
          <w:szCs w:val="16"/>
          <w:lang w:val="en-GB"/>
        </w:rPr>
        <w:t xml:space="preserve"> </w:t>
      </w:r>
      <w:r>
        <w:rPr>
          <w:rFonts w:ascii="Calibri" w:hAnsi="Calibri" w:cs="Calibri"/>
          <w:sz w:val="16"/>
          <w:szCs w:val="16"/>
          <w:lang w:val="en-GB"/>
        </w:rPr>
        <w:t>Communication From the Commission to the European Parliament, the Council, the European Economic and Social Committee and the Committee of the Regions European Skills Agenda for sustainable competitiveness, social fairness and resilience, 1 July 2020, COM(2020)274 final, available at https://eur-lex.europa.eu/legal-content/SL/ALL/?uri=CELEX:52020DC0274</w:t>
      </w:r>
    </w:p>
  </w:footnote>
  <w:footnote w:id="24">
    <w:p w14:paraId="640E95F9" w14:textId="326B91F3" w:rsidR="00E508B0" w:rsidRPr="00F258EC" w:rsidRDefault="00E508B0">
      <w:pPr>
        <w:pStyle w:val="Sprotnaopomba-besedilo"/>
        <w:rPr>
          <w:rFonts w:asciiTheme="minorHAnsi" w:hAnsiTheme="minorHAnsi" w:cstheme="minorHAnsi"/>
          <w:sz w:val="16"/>
          <w:szCs w:val="16"/>
        </w:rPr>
      </w:pPr>
      <w:r>
        <w:rPr>
          <w:rStyle w:val="Sprotnaopomba-sklic"/>
          <w:rFonts w:ascii="Calibri" w:hAnsi="Calibri" w:cs="Calibri"/>
          <w:kern w:val="0"/>
          <w:sz w:val="16"/>
          <w:szCs w:val="16"/>
          <w:lang w:val="en-GB"/>
        </w:rPr>
        <w:footnoteRef/>
      </w:r>
      <w:r>
        <w:rPr>
          <w:rStyle w:val="Sprotnaopomba-sklic"/>
          <w:rFonts w:ascii="Calibri" w:hAnsi="Calibri" w:cs="Calibri"/>
          <w:kern w:val="0"/>
          <w:sz w:val="16"/>
          <w:szCs w:val="16"/>
          <w:lang w:val="en-GB"/>
        </w:rPr>
        <w:t xml:space="preserve"> </w:t>
      </w:r>
      <w:r>
        <w:rPr>
          <w:rFonts w:asciiTheme="minorHAnsi" w:hAnsiTheme="minorHAnsi" w:cstheme="minorHAnsi"/>
          <w:sz w:val="16"/>
          <w:szCs w:val="16"/>
          <w:lang w:val="en-GB"/>
        </w:rPr>
        <w:t>John Sullivan (2004), The 8 Elements of a Successful Employment Brand, February 23, 2004. https://drjohnsullivan.com/uncategorized/the-8-elements-of-a-successful-employment-brand/</w:t>
      </w:r>
    </w:p>
  </w:footnote>
  <w:footnote w:id="25">
    <w:p w14:paraId="73C93393" w14:textId="762C61B5" w:rsidR="00C07AD5" w:rsidRPr="00F258EC" w:rsidRDefault="00C07AD5" w:rsidP="00161223">
      <w:pPr>
        <w:pStyle w:val="Sprotnaopomba-besedilo"/>
        <w:jc w:val="both"/>
        <w:rPr>
          <w:rFonts w:asciiTheme="minorHAnsi" w:hAnsiTheme="minorHAnsi" w:cstheme="minorHAnsi"/>
          <w:sz w:val="16"/>
          <w:szCs w:val="16"/>
        </w:rPr>
      </w:pPr>
      <w:r>
        <w:rPr>
          <w:rStyle w:val="Sprotnaopomba-sklic"/>
          <w:rFonts w:ascii="Calibri" w:hAnsi="Calibri" w:cs="Calibri"/>
          <w:kern w:val="0"/>
          <w:sz w:val="16"/>
          <w:szCs w:val="16"/>
          <w:lang w:val="en-GB"/>
        </w:rPr>
        <w:footnoteRef/>
      </w:r>
      <w:r>
        <w:rPr>
          <w:rStyle w:val="Sprotnaopomba-sklic"/>
          <w:rFonts w:ascii="Calibri" w:hAnsi="Calibri" w:cs="Calibri"/>
          <w:kern w:val="0"/>
          <w:sz w:val="16"/>
          <w:szCs w:val="16"/>
          <w:lang w:val="en-GB"/>
        </w:rPr>
        <w:t xml:space="preserve"> </w:t>
      </w:r>
      <w:r>
        <w:rPr>
          <w:rFonts w:asciiTheme="minorHAnsi" w:hAnsiTheme="minorHAnsi" w:cstheme="minorHAnsi"/>
          <w:sz w:val="16"/>
          <w:szCs w:val="16"/>
          <w:lang w:val="en-GB"/>
        </w:rPr>
        <w:t>Ulrike Weske et al. (2019), Attracting future civil servants with public values? An experimental study on employer branding. International Public Management Journal vol. 23, 2020, issue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DCB9" w14:textId="7FA47169" w:rsidR="0007037F" w:rsidRDefault="001E1F23">
    <w:pPr>
      <w:pStyle w:val="Glava"/>
    </w:pPr>
    <w:r>
      <w:rPr>
        <w:noProof/>
      </w:rPr>
      <w:drawing>
        <wp:anchor distT="0" distB="0" distL="114300" distR="114300" simplePos="0" relativeHeight="251659264" behindDoc="1" locked="0" layoutInCell="1" allowOverlap="1" wp14:anchorId="1B55005A" wp14:editId="112A6B33">
          <wp:simplePos x="0" y="0"/>
          <wp:positionH relativeFrom="column">
            <wp:posOffset>-899795</wp:posOffset>
          </wp:positionH>
          <wp:positionV relativeFrom="paragraph">
            <wp:posOffset>0</wp:posOffset>
          </wp:positionV>
          <wp:extent cx="4381500" cy="535305"/>
          <wp:effectExtent l="0" t="0" r="0" b="0"/>
          <wp:wrapThrough wrapText="bothSides">
            <wp:wrapPolygon edited="0">
              <wp:start x="0" y="0"/>
              <wp:lineTo x="0" y="20754"/>
              <wp:lineTo x="563" y="20754"/>
              <wp:lineTo x="5635" y="20754"/>
              <wp:lineTo x="7889" y="18448"/>
              <wp:lineTo x="7795" y="12299"/>
              <wp:lineTo x="21506" y="4612"/>
              <wp:lineTo x="21506" y="0"/>
              <wp:lineTo x="0" y="0"/>
            </wp:wrapPolygon>
          </wp:wrapThrough>
          <wp:docPr id="1208228308" name="Slika 1208228308" descr="Dekorativ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28308" name="Slika 1208228308" descr="Dekorativna 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35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A042" w14:textId="021B2804" w:rsidR="004C7705" w:rsidRDefault="004C7705">
    <w:pPr>
      <w:pStyle w:val="Glava"/>
    </w:pPr>
    <w:r>
      <w:rPr>
        <w:rFonts w:ascii="Arial" w:hAnsi="Arial" w:cs="Arial"/>
        <w:b/>
        <w:bCs/>
        <w:noProof/>
        <w:sz w:val="20"/>
        <w:szCs w:val="20"/>
      </w:rPr>
      <w:drawing>
        <wp:anchor distT="0" distB="0" distL="114300" distR="114300" simplePos="0" relativeHeight="251662336" behindDoc="1" locked="0" layoutInCell="1" allowOverlap="1" wp14:anchorId="66DAE5B6" wp14:editId="5BDE4616">
          <wp:simplePos x="0" y="0"/>
          <wp:positionH relativeFrom="page">
            <wp:posOffset>14656</wp:posOffset>
          </wp:positionH>
          <wp:positionV relativeFrom="paragraph">
            <wp:posOffset>14325</wp:posOffset>
          </wp:positionV>
          <wp:extent cx="4476750" cy="1247775"/>
          <wp:effectExtent l="0" t="0" r="0" b="9525"/>
          <wp:wrapThrough wrapText="bothSides">
            <wp:wrapPolygon edited="0">
              <wp:start x="0" y="0"/>
              <wp:lineTo x="0" y="21435"/>
              <wp:lineTo x="368" y="21435"/>
              <wp:lineTo x="5055" y="21105"/>
              <wp:lineTo x="7261" y="19456"/>
              <wp:lineTo x="7261" y="15829"/>
              <wp:lineTo x="7997" y="10553"/>
              <wp:lineTo x="9743" y="10553"/>
              <wp:lineTo x="18843" y="6266"/>
              <wp:lineTo x="18843" y="5276"/>
              <wp:lineTo x="21508" y="1319"/>
              <wp:lineTo x="21508" y="0"/>
              <wp:lineTo x="0" y="0"/>
            </wp:wrapPolygon>
          </wp:wrapThrough>
          <wp:docPr id="873617958" name="Slika 873617958" descr="dekorativna slika na naslovn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17958" name="Slika 873617958" descr="dekorativna slika na naslovni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99BE9D" w14:textId="2ADC3213" w:rsidR="00363002" w:rsidRDefault="0036300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93" w:hanging="360"/>
      </w:pPr>
      <w:rPr>
        <w:rFonts w:ascii="Symbol" w:hAnsi="Symbol" w:cs="Arial" w:hint="default"/>
      </w:rPr>
    </w:lvl>
  </w:abstractNum>
  <w:abstractNum w:abstractNumId="1" w15:restartNumberingAfterBreak="0">
    <w:nsid w:val="00000004"/>
    <w:multiLevelType w:val="singleLevel"/>
    <w:tmpl w:val="00000004"/>
    <w:name w:val="WW8Num4"/>
    <w:lvl w:ilvl="0">
      <w:numFmt w:val="bullet"/>
      <w:lvlText w:val=""/>
      <w:lvlJc w:val="left"/>
      <w:pPr>
        <w:tabs>
          <w:tab w:val="num" w:pos="0"/>
        </w:tabs>
        <w:ind w:left="0" w:firstLine="0"/>
      </w:pPr>
      <w:rPr>
        <w:rFonts w:ascii="Symbol" w:hAnsi="Symbol" w:cs="Symbol" w:hint="default"/>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93" w:hanging="360"/>
      </w:pPr>
      <w:rPr>
        <w:rFonts w:ascii="Symbol" w:hAnsi="Symbol" w:cs="Symbol" w:hint="default"/>
        <w:sz w:val="16"/>
        <w:szCs w:val="16"/>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93" w:hanging="360"/>
      </w:pPr>
      <w:rPr>
        <w:rFonts w:ascii="Symbol" w:hAnsi="Symbol" w:cs="Symbol" w:hint="default"/>
      </w:rPr>
    </w:lvl>
  </w:abstractNum>
  <w:abstractNum w:abstractNumId="4" w15:restartNumberingAfterBreak="0">
    <w:nsid w:val="00000008"/>
    <w:multiLevelType w:val="singleLevel"/>
    <w:tmpl w:val="00000008"/>
    <w:name w:val="WW8Num8"/>
    <w:lvl w:ilvl="0">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9"/>
    <w:multiLevelType w:val="multilevel"/>
    <w:tmpl w:val="00000009"/>
    <w:name w:val="WW8Num9"/>
    <w:lvl w:ilvl="0">
      <w:start w:val="1"/>
      <w:numFmt w:val="bullet"/>
      <w:lvlText w:val="-"/>
      <w:lvlJc w:val="left"/>
      <w:pPr>
        <w:tabs>
          <w:tab w:val="num" w:pos="0"/>
        </w:tabs>
        <w:ind w:left="360" w:hanging="360"/>
      </w:pPr>
      <w:rPr>
        <w:rFonts w:ascii="Cambria" w:hAnsi="Cambria" w:cs="Symbol" w:hint="default"/>
        <w:lang w:val="sl-SI"/>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0000000A"/>
    <w:multiLevelType w:val="singleLevel"/>
    <w:tmpl w:val="0000000A"/>
    <w:name w:val="WW8Num10"/>
    <w:lvl w:ilvl="0">
      <w:numFmt w:val="bullet"/>
      <w:lvlText w:val=""/>
      <w:lvlJc w:val="left"/>
      <w:pPr>
        <w:tabs>
          <w:tab w:val="num" w:pos="0"/>
        </w:tabs>
        <w:ind w:left="0" w:firstLine="0"/>
      </w:pPr>
      <w:rPr>
        <w:rFonts w:ascii="Symbol" w:hAnsi="Symbol" w:cs="Symbol" w:hint="default"/>
        <w:color w:val="000000"/>
        <w:sz w:val="20"/>
        <w:szCs w:val="20"/>
        <w:shd w:val="clear" w:color="auto" w:fill="FFFFFF"/>
      </w:rPr>
    </w:lvl>
  </w:abstractNum>
  <w:abstractNum w:abstractNumId="7" w15:restartNumberingAfterBreak="0">
    <w:nsid w:val="0C5830EA"/>
    <w:multiLevelType w:val="hybridMultilevel"/>
    <w:tmpl w:val="84C644A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EDC401C"/>
    <w:multiLevelType w:val="multilevel"/>
    <w:tmpl w:val="26F290D8"/>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Calibri" w:eastAsia="Times New Roman" w:hAnsi="Calibri" w:cs="Calibr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37479E8"/>
    <w:multiLevelType w:val="hybridMultilevel"/>
    <w:tmpl w:val="F5B006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E87620"/>
    <w:multiLevelType w:val="hybridMultilevel"/>
    <w:tmpl w:val="E6862F80"/>
    <w:lvl w:ilvl="0" w:tplc="B2BE9B18">
      <w:start w:val="1"/>
      <w:numFmt w:val="bullet"/>
      <w:lvlText w:val=""/>
      <w:lvlJc w:val="left"/>
      <w:pPr>
        <w:ind w:left="720" w:hanging="360"/>
      </w:pPr>
      <w:rPr>
        <w:rFonts w:ascii="Symbol" w:hAnsi="Symbol" w:hint="default"/>
        <w:color w:val="auto"/>
        <w:sz w:val="24"/>
        <w:szCs w:val="24"/>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07204B"/>
    <w:multiLevelType w:val="multilevel"/>
    <w:tmpl w:val="35F20452"/>
    <w:lvl w:ilvl="0">
      <w:start w:val="1"/>
      <w:numFmt w:val="bullet"/>
      <w:lvlText w:val=""/>
      <w:lvlJc w:val="left"/>
      <w:pPr>
        <w:tabs>
          <w:tab w:val="num" w:pos="720"/>
        </w:tabs>
        <w:ind w:left="720" w:hanging="360"/>
      </w:pPr>
      <w:rPr>
        <w:rFonts w:ascii="Symbol" w:hAnsi="Symbol" w:hint="default"/>
        <w:sz w:val="20"/>
      </w:rPr>
    </w:lvl>
    <w:lvl w:ilvl="1">
      <w:start w:val="1"/>
      <w:numFmt w:val="bullet"/>
      <w:pStyle w:val="Naslov2"/>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429AA"/>
    <w:multiLevelType w:val="hybridMultilevel"/>
    <w:tmpl w:val="76E6E29C"/>
    <w:lvl w:ilvl="0" w:tplc="7422D194">
      <w:start w:val="1"/>
      <w:numFmt w:val="bullet"/>
      <w:lvlText w:val=""/>
      <w:lvlJc w:val="left"/>
      <w:rPr>
        <w:rFonts w:ascii="Symbol" w:hAnsi="Symbol" w:hint="default"/>
        <w:color w:val="auto"/>
      </w:rPr>
    </w:lvl>
    <w:lvl w:ilvl="1" w:tplc="04240001">
      <w:start w:val="1"/>
      <w:numFmt w:val="bullet"/>
      <w:lvlText w:val=""/>
      <w:lvlJc w:val="left"/>
      <w:pPr>
        <w:ind w:left="36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1DF049A"/>
    <w:multiLevelType w:val="hybridMultilevel"/>
    <w:tmpl w:val="F39093FA"/>
    <w:lvl w:ilvl="0" w:tplc="4EC43E3A">
      <w:start w:val="1"/>
      <w:numFmt w:val="bullet"/>
      <w:lvlText w:val=""/>
      <w:lvlJc w:val="left"/>
      <w:rPr>
        <w:rFonts w:ascii="Symbol" w:hAnsi="Symbol" w:hint="default"/>
        <w:color w:val="auto"/>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4" w15:restartNumberingAfterBreak="0">
    <w:nsid w:val="35845766"/>
    <w:multiLevelType w:val="multilevel"/>
    <w:tmpl w:val="54CED9FE"/>
    <w:lvl w:ilvl="0">
      <w:start w:val="1"/>
      <w:numFmt w:val="decimal"/>
      <w:pStyle w:val="Slog1"/>
      <w:lvlText w:val="%1."/>
      <w:lvlJc w:val="left"/>
      <w:pPr>
        <w:ind w:left="720" w:hanging="360"/>
      </w:pPr>
      <w:rPr>
        <w:rFonts w:hint="default"/>
      </w:rPr>
    </w:lvl>
    <w:lvl w:ilvl="1">
      <w:start w:val="2"/>
      <w:numFmt w:val="decimal"/>
      <w:isLgl/>
      <w:lvlText w:val="%1.%2"/>
      <w:lvlJc w:val="left"/>
      <w:pPr>
        <w:ind w:left="981" w:hanging="40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15"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spacing w:val="-20"/>
        <w:kern w:val="0"/>
        <w:position w:val="0"/>
        <w:u w:val="none"/>
        <w:effect w:val="none"/>
        <w:vertAlign w:val="base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6" w15:restartNumberingAfterBreak="0">
    <w:nsid w:val="522D4124"/>
    <w:multiLevelType w:val="hybridMultilevel"/>
    <w:tmpl w:val="988E2F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3E515CF"/>
    <w:multiLevelType w:val="singleLevel"/>
    <w:tmpl w:val="44E6B334"/>
    <w:lvl w:ilvl="0">
      <w:start w:val="1"/>
      <w:numFmt w:val="bullet"/>
      <w:pStyle w:val="ListBulletBox"/>
      <w:lvlText w:val="·"/>
      <w:lvlJc w:val="left"/>
      <w:pPr>
        <w:tabs>
          <w:tab w:val="num" w:pos="850"/>
        </w:tabs>
        <w:ind w:left="850" w:hanging="408"/>
      </w:pPr>
      <w:rPr>
        <w:rFonts w:ascii="Symbol" w:hAnsi="Symbol" w:cs="Times New Roman" w:hint="default"/>
        <w:b w:val="0"/>
        <w:i w:val="0"/>
        <w:color w:val="4F81BD"/>
        <w:sz w:val="22"/>
        <w:szCs w:val="22"/>
      </w:rPr>
    </w:lvl>
  </w:abstractNum>
  <w:abstractNum w:abstractNumId="18" w15:restartNumberingAfterBreak="0">
    <w:nsid w:val="76834B8E"/>
    <w:multiLevelType w:val="hybridMultilevel"/>
    <w:tmpl w:val="8D9AC8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C4C36A2"/>
    <w:multiLevelType w:val="hybridMultilevel"/>
    <w:tmpl w:val="526EBD4C"/>
    <w:lvl w:ilvl="0" w:tplc="7422D194">
      <w:start w:val="1"/>
      <w:numFmt w:val="bullet"/>
      <w:lvlText w:val=""/>
      <w:lvlJc w:val="left"/>
      <w:rPr>
        <w:rFonts w:ascii="Symbol" w:hAnsi="Symbol" w:hint="default"/>
        <w:color w:val="auto"/>
      </w:rPr>
    </w:lvl>
    <w:lvl w:ilvl="1" w:tplc="04240003" w:tentative="1">
      <w:start w:val="1"/>
      <w:numFmt w:val="bullet"/>
      <w:lvlText w:val="o"/>
      <w:lvlJc w:val="left"/>
      <w:pPr>
        <w:ind w:left="1071" w:hanging="360"/>
      </w:pPr>
      <w:rPr>
        <w:rFonts w:ascii="Courier New" w:hAnsi="Courier New" w:cs="Courier New" w:hint="default"/>
      </w:rPr>
    </w:lvl>
    <w:lvl w:ilvl="2" w:tplc="04240005" w:tentative="1">
      <w:start w:val="1"/>
      <w:numFmt w:val="bullet"/>
      <w:lvlText w:val=""/>
      <w:lvlJc w:val="left"/>
      <w:pPr>
        <w:ind w:left="1791" w:hanging="360"/>
      </w:pPr>
      <w:rPr>
        <w:rFonts w:ascii="Wingdings" w:hAnsi="Wingdings" w:hint="default"/>
      </w:rPr>
    </w:lvl>
    <w:lvl w:ilvl="3" w:tplc="04240001" w:tentative="1">
      <w:start w:val="1"/>
      <w:numFmt w:val="bullet"/>
      <w:lvlText w:val=""/>
      <w:lvlJc w:val="left"/>
      <w:pPr>
        <w:ind w:left="2511" w:hanging="360"/>
      </w:pPr>
      <w:rPr>
        <w:rFonts w:ascii="Symbol" w:hAnsi="Symbol" w:hint="default"/>
      </w:rPr>
    </w:lvl>
    <w:lvl w:ilvl="4" w:tplc="04240003" w:tentative="1">
      <w:start w:val="1"/>
      <w:numFmt w:val="bullet"/>
      <w:lvlText w:val="o"/>
      <w:lvlJc w:val="left"/>
      <w:pPr>
        <w:ind w:left="3231" w:hanging="360"/>
      </w:pPr>
      <w:rPr>
        <w:rFonts w:ascii="Courier New" w:hAnsi="Courier New" w:cs="Courier New" w:hint="default"/>
      </w:rPr>
    </w:lvl>
    <w:lvl w:ilvl="5" w:tplc="04240005" w:tentative="1">
      <w:start w:val="1"/>
      <w:numFmt w:val="bullet"/>
      <w:lvlText w:val=""/>
      <w:lvlJc w:val="left"/>
      <w:pPr>
        <w:ind w:left="3951" w:hanging="360"/>
      </w:pPr>
      <w:rPr>
        <w:rFonts w:ascii="Wingdings" w:hAnsi="Wingdings" w:hint="default"/>
      </w:rPr>
    </w:lvl>
    <w:lvl w:ilvl="6" w:tplc="04240001" w:tentative="1">
      <w:start w:val="1"/>
      <w:numFmt w:val="bullet"/>
      <w:lvlText w:val=""/>
      <w:lvlJc w:val="left"/>
      <w:pPr>
        <w:ind w:left="4671" w:hanging="360"/>
      </w:pPr>
      <w:rPr>
        <w:rFonts w:ascii="Symbol" w:hAnsi="Symbol" w:hint="default"/>
      </w:rPr>
    </w:lvl>
    <w:lvl w:ilvl="7" w:tplc="04240003" w:tentative="1">
      <w:start w:val="1"/>
      <w:numFmt w:val="bullet"/>
      <w:lvlText w:val="o"/>
      <w:lvlJc w:val="left"/>
      <w:pPr>
        <w:ind w:left="5391" w:hanging="360"/>
      </w:pPr>
      <w:rPr>
        <w:rFonts w:ascii="Courier New" w:hAnsi="Courier New" w:cs="Courier New" w:hint="default"/>
      </w:rPr>
    </w:lvl>
    <w:lvl w:ilvl="8" w:tplc="04240005" w:tentative="1">
      <w:start w:val="1"/>
      <w:numFmt w:val="bullet"/>
      <w:lvlText w:val=""/>
      <w:lvlJc w:val="left"/>
      <w:pPr>
        <w:ind w:left="6111" w:hanging="360"/>
      </w:pPr>
      <w:rPr>
        <w:rFonts w:ascii="Wingdings" w:hAnsi="Wingdings" w:hint="default"/>
      </w:rPr>
    </w:lvl>
  </w:abstractNum>
  <w:num w:numId="1" w16cid:durableId="22675979">
    <w:abstractNumId w:val="11"/>
  </w:num>
  <w:num w:numId="2" w16cid:durableId="211236861">
    <w:abstractNumId w:val="17"/>
  </w:num>
  <w:num w:numId="3" w16cid:durableId="2063794294">
    <w:abstractNumId w:val="8"/>
  </w:num>
  <w:num w:numId="4" w16cid:durableId="681317231">
    <w:abstractNumId w:val="10"/>
  </w:num>
  <w:num w:numId="5" w16cid:durableId="1635528783">
    <w:abstractNumId w:val="12"/>
  </w:num>
  <w:num w:numId="6" w16cid:durableId="1163281703">
    <w:abstractNumId w:val="19"/>
  </w:num>
  <w:num w:numId="7" w16cid:durableId="1789811686">
    <w:abstractNumId w:val="13"/>
  </w:num>
  <w:num w:numId="8" w16cid:durableId="1014956451">
    <w:abstractNumId w:val="16"/>
  </w:num>
  <w:num w:numId="9" w16cid:durableId="385642041">
    <w:abstractNumId w:val="9"/>
  </w:num>
  <w:num w:numId="10" w16cid:durableId="724258972">
    <w:abstractNumId w:val="7"/>
  </w:num>
  <w:num w:numId="11" w16cid:durableId="1718892585">
    <w:abstractNumId w:val="18"/>
  </w:num>
  <w:num w:numId="12" w16cid:durableId="1289509918">
    <w:abstractNumId w:val="14"/>
  </w:num>
  <w:num w:numId="13" w16cid:durableId="1140734761">
    <w:abstractNumId w:val="14"/>
  </w:num>
  <w:num w:numId="14" w16cid:durableId="635961674">
    <w:abstractNumId w:val="14"/>
  </w:num>
  <w:num w:numId="15" w16cid:durableId="1361662807">
    <w:abstractNumId w:val="14"/>
  </w:num>
  <w:num w:numId="16" w16cid:durableId="1368679731">
    <w:abstractNumId w:val="14"/>
  </w:num>
  <w:num w:numId="17" w16cid:durableId="1743285989">
    <w:abstractNumId w:val="14"/>
  </w:num>
  <w:num w:numId="18" w16cid:durableId="14438411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5E"/>
    <w:rsid w:val="00000B0A"/>
    <w:rsid w:val="00003B51"/>
    <w:rsid w:val="00004614"/>
    <w:rsid w:val="000052C8"/>
    <w:rsid w:val="000060B0"/>
    <w:rsid w:val="000078DB"/>
    <w:rsid w:val="00007CC1"/>
    <w:rsid w:val="00010CEE"/>
    <w:rsid w:val="00011573"/>
    <w:rsid w:val="00012F7F"/>
    <w:rsid w:val="000133D1"/>
    <w:rsid w:val="00013891"/>
    <w:rsid w:val="00013CC8"/>
    <w:rsid w:val="000146D8"/>
    <w:rsid w:val="0001497D"/>
    <w:rsid w:val="00015139"/>
    <w:rsid w:val="00015E06"/>
    <w:rsid w:val="0001725F"/>
    <w:rsid w:val="000179F2"/>
    <w:rsid w:val="00017E93"/>
    <w:rsid w:val="000205E4"/>
    <w:rsid w:val="000205E6"/>
    <w:rsid w:val="000206DF"/>
    <w:rsid w:val="00021460"/>
    <w:rsid w:val="00023242"/>
    <w:rsid w:val="0002415F"/>
    <w:rsid w:val="00024D11"/>
    <w:rsid w:val="00024D52"/>
    <w:rsid w:val="000255B0"/>
    <w:rsid w:val="00026CFB"/>
    <w:rsid w:val="0003003D"/>
    <w:rsid w:val="00030652"/>
    <w:rsid w:val="00032D39"/>
    <w:rsid w:val="00032E2E"/>
    <w:rsid w:val="00033153"/>
    <w:rsid w:val="00033B20"/>
    <w:rsid w:val="00034083"/>
    <w:rsid w:val="00034B12"/>
    <w:rsid w:val="00034E05"/>
    <w:rsid w:val="0003548A"/>
    <w:rsid w:val="00035843"/>
    <w:rsid w:val="00035870"/>
    <w:rsid w:val="00036045"/>
    <w:rsid w:val="000366D1"/>
    <w:rsid w:val="000373CB"/>
    <w:rsid w:val="00037B7F"/>
    <w:rsid w:val="000403D8"/>
    <w:rsid w:val="000412B2"/>
    <w:rsid w:val="00041917"/>
    <w:rsid w:val="0004259C"/>
    <w:rsid w:val="0004372D"/>
    <w:rsid w:val="00043A40"/>
    <w:rsid w:val="00044046"/>
    <w:rsid w:val="000443CF"/>
    <w:rsid w:val="00044435"/>
    <w:rsid w:val="000452E7"/>
    <w:rsid w:val="00045550"/>
    <w:rsid w:val="00046E54"/>
    <w:rsid w:val="00050649"/>
    <w:rsid w:val="00050F26"/>
    <w:rsid w:val="00051249"/>
    <w:rsid w:val="000513AB"/>
    <w:rsid w:val="00051821"/>
    <w:rsid w:val="0005202C"/>
    <w:rsid w:val="0005279C"/>
    <w:rsid w:val="0005329E"/>
    <w:rsid w:val="000538E9"/>
    <w:rsid w:val="0005691D"/>
    <w:rsid w:val="00056C15"/>
    <w:rsid w:val="00057337"/>
    <w:rsid w:val="00057B24"/>
    <w:rsid w:val="00060308"/>
    <w:rsid w:val="00060542"/>
    <w:rsid w:val="00061434"/>
    <w:rsid w:val="00063194"/>
    <w:rsid w:val="00063C6F"/>
    <w:rsid w:val="00063E74"/>
    <w:rsid w:val="00063EAA"/>
    <w:rsid w:val="00064562"/>
    <w:rsid w:val="00064C46"/>
    <w:rsid w:val="0006508D"/>
    <w:rsid w:val="0006530C"/>
    <w:rsid w:val="0006726F"/>
    <w:rsid w:val="000673B7"/>
    <w:rsid w:val="00067405"/>
    <w:rsid w:val="0007037F"/>
    <w:rsid w:val="000705DC"/>
    <w:rsid w:val="000705FE"/>
    <w:rsid w:val="0007227A"/>
    <w:rsid w:val="0007305F"/>
    <w:rsid w:val="000742E3"/>
    <w:rsid w:val="000743E7"/>
    <w:rsid w:val="00074DD0"/>
    <w:rsid w:val="000753D4"/>
    <w:rsid w:val="0007557A"/>
    <w:rsid w:val="00075FC7"/>
    <w:rsid w:val="00077496"/>
    <w:rsid w:val="000774BE"/>
    <w:rsid w:val="000817B9"/>
    <w:rsid w:val="000829FB"/>
    <w:rsid w:val="00082C5E"/>
    <w:rsid w:val="00082E34"/>
    <w:rsid w:val="00082FCB"/>
    <w:rsid w:val="000837AA"/>
    <w:rsid w:val="00085532"/>
    <w:rsid w:val="00085541"/>
    <w:rsid w:val="0008597B"/>
    <w:rsid w:val="00085EA7"/>
    <w:rsid w:val="00087A64"/>
    <w:rsid w:val="0009012B"/>
    <w:rsid w:val="000903A0"/>
    <w:rsid w:val="00090FB7"/>
    <w:rsid w:val="00092BFE"/>
    <w:rsid w:val="00093381"/>
    <w:rsid w:val="00093706"/>
    <w:rsid w:val="00093B3A"/>
    <w:rsid w:val="000944CE"/>
    <w:rsid w:val="00094C33"/>
    <w:rsid w:val="00095835"/>
    <w:rsid w:val="00096804"/>
    <w:rsid w:val="000979EF"/>
    <w:rsid w:val="000A1F83"/>
    <w:rsid w:val="000A2AD4"/>
    <w:rsid w:val="000A33D3"/>
    <w:rsid w:val="000A385B"/>
    <w:rsid w:val="000A469F"/>
    <w:rsid w:val="000A4B9B"/>
    <w:rsid w:val="000A4C4B"/>
    <w:rsid w:val="000A4F81"/>
    <w:rsid w:val="000A58BA"/>
    <w:rsid w:val="000A5F71"/>
    <w:rsid w:val="000A6894"/>
    <w:rsid w:val="000A7017"/>
    <w:rsid w:val="000A7083"/>
    <w:rsid w:val="000A79FD"/>
    <w:rsid w:val="000B0A58"/>
    <w:rsid w:val="000B0C1D"/>
    <w:rsid w:val="000B1088"/>
    <w:rsid w:val="000B1467"/>
    <w:rsid w:val="000B2787"/>
    <w:rsid w:val="000B3143"/>
    <w:rsid w:val="000B361E"/>
    <w:rsid w:val="000B4313"/>
    <w:rsid w:val="000B5891"/>
    <w:rsid w:val="000B58F2"/>
    <w:rsid w:val="000B616D"/>
    <w:rsid w:val="000B6472"/>
    <w:rsid w:val="000B691C"/>
    <w:rsid w:val="000B7418"/>
    <w:rsid w:val="000B7CA8"/>
    <w:rsid w:val="000C07F4"/>
    <w:rsid w:val="000C0FFD"/>
    <w:rsid w:val="000C24B9"/>
    <w:rsid w:val="000C2974"/>
    <w:rsid w:val="000C2A7D"/>
    <w:rsid w:val="000C37EE"/>
    <w:rsid w:val="000C3BF4"/>
    <w:rsid w:val="000C3DF7"/>
    <w:rsid w:val="000C449E"/>
    <w:rsid w:val="000C6203"/>
    <w:rsid w:val="000C6404"/>
    <w:rsid w:val="000C6EEF"/>
    <w:rsid w:val="000C740E"/>
    <w:rsid w:val="000C7CBB"/>
    <w:rsid w:val="000D0157"/>
    <w:rsid w:val="000D059A"/>
    <w:rsid w:val="000D0945"/>
    <w:rsid w:val="000D0FBE"/>
    <w:rsid w:val="000D1032"/>
    <w:rsid w:val="000D194F"/>
    <w:rsid w:val="000D1B43"/>
    <w:rsid w:val="000D2AC7"/>
    <w:rsid w:val="000D2D47"/>
    <w:rsid w:val="000D2D6A"/>
    <w:rsid w:val="000D45EA"/>
    <w:rsid w:val="000D5B46"/>
    <w:rsid w:val="000D6540"/>
    <w:rsid w:val="000D7078"/>
    <w:rsid w:val="000D728A"/>
    <w:rsid w:val="000D737B"/>
    <w:rsid w:val="000E0400"/>
    <w:rsid w:val="000E1493"/>
    <w:rsid w:val="000E1B7C"/>
    <w:rsid w:val="000E204F"/>
    <w:rsid w:val="000E307B"/>
    <w:rsid w:val="000E3D33"/>
    <w:rsid w:val="000E5D88"/>
    <w:rsid w:val="000E6024"/>
    <w:rsid w:val="000E71A2"/>
    <w:rsid w:val="000E73ED"/>
    <w:rsid w:val="000E772B"/>
    <w:rsid w:val="000E780B"/>
    <w:rsid w:val="000E793D"/>
    <w:rsid w:val="000E7F7C"/>
    <w:rsid w:val="000F0616"/>
    <w:rsid w:val="000F08F8"/>
    <w:rsid w:val="000F0C62"/>
    <w:rsid w:val="000F1962"/>
    <w:rsid w:val="000F266B"/>
    <w:rsid w:val="000F2708"/>
    <w:rsid w:val="000F278A"/>
    <w:rsid w:val="000F2DA2"/>
    <w:rsid w:val="000F2E32"/>
    <w:rsid w:val="000F3818"/>
    <w:rsid w:val="000F40A8"/>
    <w:rsid w:val="000F45A9"/>
    <w:rsid w:val="000F703B"/>
    <w:rsid w:val="001024CD"/>
    <w:rsid w:val="00102A65"/>
    <w:rsid w:val="001037EA"/>
    <w:rsid w:val="00103940"/>
    <w:rsid w:val="00103A3E"/>
    <w:rsid w:val="00104163"/>
    <w:rsid w:val="001042B2"/>
    <w:rsid w:val="00104F14"/>
    <w:rsid w:val="00105228"/>
    <w:rsid w:val="001054D7"/>
    <w:rsid w:val="00106131"/>
    <w:rsid w:val="00106B8E"/>
    <w:rsid w:val="00107E55"/>
    <w:rsid w:val="00111698"/>
    <w:rsid w:val="00111BE6"/>
    <w:rsid w:val="00112985"/>
    <w:rsid w:val="00115137"/>
    <w:rsid w:val="00116984"/>
    <w:rsid w:val="00116F68"/>
    <w:rsid w:val="001173BA"/>
    <w:rsid w:val="001201F4"/>
    <w:rsid w:val="00122BB3"/>
    <w:rsid w:val="00123C10"/>
    <w:rsid w:val="001248B0"/>
    <w:rsid w:val="00131DE1"/>
    <w:rsid w:val="00132457"/>
    <w:rsid w:val="001347F9"/>
    <w:rsid w:val="001353C2"/>
    <w:rsid w:val="001363B5"/>
    <w:rsid w:val="001367F9"/>
    <w:rsid w:val="00136B79"/>
    <w:rsid w:val="00136DEE"/>
    <w:rsid w:val="0013720A"/>
    <w:rsid w:val="00137335"/>
    <w:rsid w:val="00137A24"/>
    <w:rsid w:val="00141BBE"/>
    <w:rsid w:val="001429FC"/>
    <w:rsid w:val="00142A37"/>
    <w:rsid w:val="0014303A"/>
    <w:rsid w:val="001430C9"/>
    <w:rsid w:val="001436F6"/>
    <w:rsid w:val="00143C80"/>
    <w:rsid w:val="00144AC4"/>
    <w:rsid w:val="001455D7"/>
    <w:rsid w:val="0014597A"/>
    <w:rsid w:val="00146296"/>
    <w:rsid w:val="001467D5"/>
    <w:rsid w:val="00146A7B"/>
    <w:rsid w:val="00146A93"/>
    <w:rsid w:val="00146DA7"/>
    <w:rsid w:val="00147A0D"/>
    <w:rsid w:val="001501D4"/>
    <w:rsid w:val="001505A1"/>
    <w:rsid w:val="00152439"/>
    <w:rsid w:val="00152842"/>
    <w:rsid w:val="0015457A"/>
    <w:rsid w:val="00154BCA"/>
    <w:rsid w:val="00154D5D"/>
    <w:rsid w:val="001565A5"/>
    <w:rsid w:val="00156A9A"/>
    <w:rsid w:val="00157384"/>
    <w:rsid w:val="00157FC1"/>
    <w:rsid w:val="0016002A"/>
    <w:rsid w:val="00160321"/>
    <w:rsid w:val="00160C86"/>
    <w:rsid w:val="00160D1E"/>
    <w:rsid w:val="00160EFE"/>
    <w:rsid w:val="00161223"/>
    <w:rsid w:val="00161390"/>
    <w:rsid w:val="001618D2"/>
    <w:rsid w:val="00161944"/>
    <w:rsid w:val="00161AF9"/>
    <w:rsid w:val="00162816"/>
    <w:rsid w:val="00162A5F"/>
    <w:rsid w:val="0016351D"/>
    <w:rsid w:val="00163578"/>
    <w:rsid w:val="00163654"/>
    <w:rsid w:val="00164379"/>
    <w:rsid w:val="001648BD"/>
    <w:rsid w:val="00164BC0"/>
    <w:rsid w:val="00164ECC"/>
    <w:rsid w:val="0016648B"/>
    <w:rsid w:val="001666D2"/>
    <w:rsid w:val="00166DFC"/>
    <w:rsid w:val="001675FC"/>
    <w:rsid w:val="00167B29"/>
    <w:rsid w:val="00167F05"/>
    <w:rsid w:val="0017036B"/>
    <w:rsid w:val="00171062"/>
    <w:rsid w:val="00172BD4"/>
    <w:rsid w:val="001736BB"/>
    <w:rsid w:val="00173716"/>
    <w:rsid w:val="00173FBD"/>
    <w:rsid w:val="00174CF3"/>
    <w:rsid w:val="00180CAD"/>
    <w:rsid w:val="0018235C"/>
    <w:rsid w:val="001833F6"/>
    <w:rsid w:val="0018465E"/>
    <w:rsid w:val="001853EE"/>
    <w:rsid w:val="001900DF"/>
    <w:rsid w:val="00191B33"/>
    <w:rsid w:val="00192C38"/>
    <w:rsid w:val="00193582"/>
    <w:rsid w:val="001949A7"/>
    <w:rsid w:val="0019574D"/>
    <w:rsid w:val="00196E11"/>
    <w:rsid w:val="001973F2"/>
    <w:rsid w:val="00197450"/>
    <w:rsid w:val="0019746E"/>
    <w:rsid w:val="001978A0"/>
    <w:rsid w:val="001A0601"/>
    <w:rsid w:val="001A0A60"/>
    <w:rsid w:val="001A0C43"/>
    <w:rsid w:val="001A1FEA"/>
    <w:rsid w:val="001A2392"/>
    <w:rsid w:val="001A3897"/>
    <w:rsid w:val="001A392B"/>
    <w:rsid w:val="001A42F2"/>
    <w:rsid w:val="001A4466"/>
    <w:rsid w:val="001A6C16"/>
    <w:rsid w:val="001A7321"/>
    <w:rsid w:val="001A7487"/>
    <w:rsid w:val="001A7664"/>
    <w:rsid w:val="001A789C"/>
    <w:rsid w:val="001B16B9"/>
    <w:rsid w:val="001B1EE3"/>
    <w:rsid w:val="001B3589"/>
    <w:rsid w:val="001B490E"/>
    <w:rsid w:val="001B4AEC"/>
    <w:rsid w:val="001B53E7"/>
    <w:rsid w:val="001B5FF4"/>
    <w:rsid w:val="001B696F"/>
    <w:rsid w:val="001B791A"/>
    <w:rsid w:val="001C0448"/>
    <w:rsid w:val="001C1C52"/>
    <w:rsid w:val="001C1E6F"/>
    <w:rsid w:val="001C212E"/>
    <w:rsid w:val="001C27E1"/>
    <w:rsid w:val="001C3DD1"/>
    <w:rsid w:val="001C465E"/>
    <w:rsid w:val="001C4F3C"/>
    <w:rsid w:val="001C7C5F"/>
    <w:rsid w:val="001D0C54"/>
    <w:rsid w:val="001D1FA3"/>
    <w:rsid w:val="001D2725"/>
    <w:rsid w:val="001D397A"/>
    <w:rsid w:val="001D500A"/>
    <w:rsid w:val="001D5508"/>
    <w:rsid w:val="001D5E86"/>
    <w:rsid w:val="001D6193"/>
    <w:rsid w:val="001D7599"/>
    <w:rsid w:val="001E0F50"/>
    <w:rsid w:val="001E1F23"/>
    <w:rsid w:val="001E271B"/>
    <w:rsid w:val="001E3DFC"/>
    <w:rsid w:val="001E3E02"/>
    <w:rsid w:val="001E3FCF"/>
    <w:rsid w:val="001E416E"/>
    <w:rsid w:val="001E46CC"/>
    <w:rsid w:val="001E5C1B"/>
    <w:rsid w:val="001E5DB6"/>
    <w:rsid w:val="001E65BF"/>
    <w:rsid w:val="001E6DE0"/>
    <w:rsid w:val="001F16F1"/>
    <w:rsid w:val="001F23A0"/>
    <w:rsid w:val="001F3668"/>
    <w:rsid w:val="001F36A1"/>
    <w:rsid w:val="001F59A5"/>
    <w:rsid w:val="001F6AF6"/>
    <w:rsid w:val="001F6C74"/>
    <w:rsid w:val="002000C8"/>
    <w:rsid w:val="002008E7"/>
    <w:rsid w:val="002019D0"/>
    <w:rsid w:val="00201DC1"/>
    <w:rsid w:val="00203731"/>
    <w:rsid w:val="00204160"/>
    <w:rsid w:val="002043BD"/>
    <w:rsid w:val="00205777"/>
    <w:rsid w:val="0020624A"/>
    <w:rsid w:val="00207769"/>
    <w:rsid w:val="0020799C"/>
    <w:rsid w:val="00207BB4"/>
    <w:rsid w:val="00210F41"/>
    <w:rsid w:val="00211467"/>
    <w:rsid w:val="00211806"/>
    <w:rsid w:val="0021188F"/>
    <w:rsid w:val="0021254E"/>
    <w:rsid w:val="00214CB2"/>
    <w:rsid w:val="00215404"/>
    <w:rsid w:val="002157A2"/>
    <w:rsid w:val="002159D8"/>
    <w:rsid w:val="002169A4"/>
    <w:rsid w:val="00216F4F"/>
    <w:rsid w:val="00220CE6"/>
    <w:rsid w:val="0022140D"/>
    <w:rsid w:val="00221586"/>
    <w:rsid w:val="00221874"/>
    <w:rsid w:val="00221AFA"/>
    <w:rsid w:val="00222949"/>
    <w:rsid w:val="00222B80"/>
    <w:rsid w:val="00222C60"/>
    <w:rsid w:val="0022358B"/>
    <w:rsid w:val="002242D3"/>
    <w:rsid w:val="002247ED"/>
    <w:rsid w:val="00226EBD"/>
    <w:rsid w:val="00226EED"/>
    <w:rsid w:val="002274AC"/>
    <w:rsid w:val="00227E75"/>
    <w:rsid w:val="0023025E"/>
    <w:rsid w:val="002311DB"/>
    <w:rsid w:val="00232E70"/>
    <w:rsid w:val="002330CA"/>
    <w:rsid w:val="00233E0C"/>
    <w:rsid w:val="002348B7"/>
    <w:rsid w:val="00235351"/>
    <w:rsid w:val="00235B23"/>
    <w:rsid w:val="002368EB"/>
    <w:rsid w:val="00237CFD"/>
    <w:rsid w:val="002402B9"/>
    <w:rsid w:val="00240756"/>
    <w:rsid w:val="00241DAC"/>
    <w:rsid w:val="002421C1"/>
    <w:rsid w:val="00242F5A"/>
    <w:rsid w:val="00243130"/>
    <w:rsid w:val="00243CAC"/>
    <w:rsid w:val="00244EEF"/>
    <w:rsid w:val="00244F41"/>
    <w:rsid w:val="002455C1"/>
    <w:rsid w:val="00246590"/>
    <w:rsid w:val="00246C32"/>
    <w:rsid w:val="00246C48"/>
    <w:rsid w:val="00247C34"/>
    <w:rsid w:val="002500C2"/>
    <w:rsid w:val="0025016B"/>
    <w:rsid w:val="002504E5"/>
    <w:rsid w:val="00250935"/>
    <w:rsid w:val="00250E4E"/>
    <w:rsid w:val="002517E3"/>
    <w:rsid w:val="00253234"/>
    <w:rsid w:val="0025494F"/>
    <w:rsid w:val="0025539D"/>
    <w:rsid w:val="00256AFF"/>
    <w:rsid w:val="00261B57"/>
    <w:rsid w:val="00261E6E"/>
    <w:rsid w:val="002626AE"/>
    <w:rsid w:val="00262B10"/>
    <w:rsid w:val="00262B66"/>
    <w:rsid w:val="00265507"/>
    <w:rsid w:val="0026565C"/>
    <w:rsid w:val="00267CB9"/>
    <w:rsid w:val="00271BFD"/>
    <w:rsid w:val="002722DF"/>
    <w:rsid w:val="00272335"/>
    <w:rsid w:val="00272AFB"/>
    <w:rsid w:val="002734C7"/>
    <w:rsid w:val="00273562"/>
    <w:rsid w:val="002735A5"/>
    <w:rsid w:val="0027360B"/>
    <w:rsid w:val="00273E6A"/>
    <w:rsid w:val="00273FDB"/>
    <w:rsid w:val="00274109"/>
    <w:rsid w:val="00274E7C"/>
    <w:rsid w:val="00275F99"/>
    <w:rsid w:val="002767AC"/>
    <w:rsid w:val="002768C6"/>
    <w:rsid w:val="00276BE5"/>
    <w:rsid w:val="00276C28"/>
    <w:rsid w:val="00280C56"/>
    <w:rsid w:val="00280EE4"/>
    <w:rsid w:val="00281BE9"/>
    <w:rsid w:val="00283138"/>
    <w:rsid w:val="00283E40"/>
    <w:rsid w:val="00284A48"/>
    <w:rsid w:val="00285F40"/>
    <w:rsid w:val="00286C85"/>
    <w:rsid w:val="002903AC"/>
    <w:rsid w:val="002913D0"/>
    <w:rsid w:val="00291884"/>
    <w:rsid w:val="00292336"/>
    <w:rsid w:val="00294400"/>
    <w:rsid w:val="00294A0E"/>
    <w:rsid w:val="00294F93"/>
    <w:rsid w:val="00295CC4"/>
    <w:rsid w:val="002A3FEE"/>
    <w:rsid w:val="002A4409"/>
    <w:rsid w:val="002A4C31"/>
    <w:rsid w:val="002A4DB0"/>
    <w:rsid w:val="002A5394"/>
    <w:rsid w:val="002A5E29"/>
    <w:rsid w:val="002A6525"/>
    <w:rsid w:val="002B19C5"/>
    <w:rsid w:val="002B1EBC"/>
    <w:rsid w:val="002B2934"/>
    <w:rsid w:val="002B469F"/>
    <w:rsid w:val="002B5B50"/>
    <w:rsid w:val="002B6152"/>
    <w:rsid w:val="002B6C1C"/>
    <w:rsid w:val="002B7A12"/>
    <w:rsid w:val="002C0ED0"/>
    <w:rsid w:val="002C1365"/>
    <w:rsid w:val="002C1627"/>
    <w:rsid w:val="002C1B5B"/>
    <w:rsid w:val="002C1D0D"/>
    <w:rsid w:val="002C3017"/>
    <w:rsid w:val="002C38E6"/>
    <w:rsid w:val="002C3A8F"/>
    <w:rsid w:val="002C3B3E"/>
    <w:rsid w:val="002C4898"/>
    <w:rsid w:val="002C4D52"/>
    <w:rsid w:val="002C569D"/>
    <w:rsid w:val="002C5CF6"/>
    <w:rsid w:val="002C62CC"/>
    <w:rsid w:val="002C671A"/>
    <w:rsid w:val="002C6E70"/>
    <w:rsid w:val="002C77A8"/>
    <w:rsid w:val="002C79E6"/>
    <w:rsid w:val="002C7E66"/>
    <w:rsid w:val="002D05B2"/>
    <w:rsid w:val="002D0FB4"/>
    <w:rsid w:val="002D1821"/>
    <w:rsid w:val="002D2670"/>
    <w:rsid w:val="002D291A"/>
    <w:rsid w:val="002D2F7D"/>
    <w:rsid w:val="002D3AA8"/>
    <w:rsid w:val="002D3FF7"/>
    <w:rsid w:val="002D4B50"/>
    <w:rsid w:val="002D4B54"/>
    <w:rsid w:val="002D577F"/>
    <w:rsid w:val="002D5C43"/>
    <w:rsid w:val="002D6B30"/>
    <w:rsid w:val="002D6B65"/>
    <w:rsid w:val="002D7050"/>
    <w:rsid w:val="002D74B5"/>
    <w:rsid w:val="002D76DE"/>
    <w:rsid w:val="002D7736"/>
    <w:rsid w:val="002D79EA"/>
    <w:rsid w:val="002D7EE0"/>
    <w:rsid w:val="002E01E6"/>
    <w:rsid w:val="002E0C11"/>
    <w:rsid w:val="002E0D71"/>
    <w:rsid w:val="002E0E0A"/>
    <w:rsid w:val="002E0E41"/>
    <w:rsid w:val="002E10C6"/>
    <w:rsid w:val="002E1147"/>
    <w:rsid w:val="002E234C"/>
    <w:rsid w:val="002E28C4"/>
    <w:rsid w:val="002E3E55"/>
    <w:rsid w:val="002E6282"/>
    <w:rsid w:val="002E6EDB"/>
    <w:rsid w:val="002F04BC"/>
    <w:rsid w:val="002F0573"/>
    <w:rsid w:val="002F085D"/>
    <w:rsid w:val="002F0E7C"/>
    <w:rsid w:val="002F151A"/>
    <w:rsid w:val="002F1FC8"/>
    <w:rsid w:val="002F223E"/>
    <w:rsid w:val="002F34CD"/>
    <w:rsid w:val="002F4EA1"/>
    <w:rsid w:val="002F5EE6"/>
    <w:rsid w:val="002F5F68"/>
    <w:rsid w:val="002F7C9E"/>
    <w:rsid w:val="002F7DFB"/>
    <w:rsid w:val="00300A03"/>
    <w:rsid w:val="00300C94"/>
    <w:rsid w:val="00300CAF"/>
    <w:rsid w:val="00301493"/>
    <w:rsid w:val="00304073"/>
    <w:rsid w:val="0030447A"/>
    <w:rsid w:val="00305098"/>
    <w:rsid w:val="00305C80"/>
    <w:rsid w:val="00306A7B"/>
    <w:rsid w:val="00306C67"/>
    <w:rsid w:val="00306E47"/>
    <w:rsid w:val="00307028"/>
    <w:rsid w:val="00307A0E"/>
    <w:rsid w:val="00307D00"/>
    <w:rsid w:val="0031285E"/>
    <w:rsid w:val="00312F23"/>
    <w:rsid w:val="00312F8F"/>
    <w:rsid w:val="00313C85"/>
    <w:rsid w:val="003141CF"/>
    <w:rsid w:val="00315913"/>
    <w:rsid w:val="00315EBD"/>
    <w:rsid w:val="00317513"/>
    <w:rsid w:val="00321077"/>
    <w:rsid w:val="0032151D"/>
    <w:rsid w:val="0032165A"/>
    <w:rsid w:val="00321936"/>
    <w:rsid w:val="0032363F"/>
    <w:rsid w:val="003236EC"/>
    <w:rsid w:val="00323CAD"/>
    <w:rsid w:val="003246B1"/>
    <w:rsid w:val="00325FCD"/>
    <w:rsid w:val="00326279"/>
    <w:rsid w:val="00326C18"/>
    <w:rsid w:val="00327C79"/>
    <w:rsid w:val="0033026E"/>
    <w:rsid w:val="00333691"/>
    <w:rsid w:val="00333F29"/>
    <w:rsid w:val="00335EC6"/>
    <w:rsid w:val="00336E30"/>
    <w:rsid w:val="00337267"/>
    <w:rsid w:val="003403E6"/>
    <w:rsid w:val="003426C8"/>
    <w:rsid w:val="00343A39"/>
    <w:rsid w:val="00343D88"/>
    <w:rsid w:val="00344247"/>
    <w:rsid w:val="003443A9"/>
    <w:rsid w:val="003449D2"/>
    <w:rsid w:val="00345E59"/>
    <w:rsid w:val="00346917"/>
    <w:rsid w:val="00346F15"/>
    <w:rsid w:val="00347133"/>
    <w:rsid w:val="00350431"/>
    <w:rsid w:val="003506DE"/>
    <w:rsid w:val="00350CC3"/>
    <w:rsid w:val="003513E5"/>
    <w:rsid w:val="00351538"/>
    <w:rsid w:val="00353D5F"/>
    <w:rsid w:val="00355AAA"/>
    <w:rsid w:val="00356066"/>
    <w:rsid w:val="003579C1"/>
    <w:rsid w:val="0036025C"/>
    <w:rsid w:val="00361364"/>
    <w:rsid w:val="00361DBC"/>
    <w:rsid w:val="00363002"/>
    <w:rsid w:val="00363A21"/>
    <w:rsid w:val="00364273"/>
    <w:rsid w:val="003644BD"/>
    <w:rsid w:val="00364737"/>
    <w:rsid w:val="00365526"/>
    <w:rsid w:val="003660CF"/>
    <w:rsid w:val="00366197"/>
    <w:rsid w:val="00366D10"/>
    <w:rsid w:val="003704E1"/>
    <w:rsid w:val="003709ED"/>
    <w:rsid w:val="00371922"/>
    <w:rsid w:val="00371F69"/>
    <w:rsid w:val="003720ED"/>
    <w:rsid w:val="00373266"/>
    <w:rsid w:val="003735B9"/>
    <w:rsid w:val="00373B20"/>
    <w:rsid w:val="003758C1"/>
    <w:rsid w:val="00376D71"/>
    <w:rsid w:val="00377453"/>
    <w:rsid w:val="003803C6"/>
    <w:rsid w:val="00380D24"/>
    <w:rsid w:val="003811AF"/>
    <w:rsid w:val="00381678"/>
    <w:rsid w:val="00381733"/>
    <w:rsid w:val="003827AF"/>
    <w:rsid w:val="00383EF1"/>
    <w:rsid w:val="003847AD"/>
    <w:rsid w:val="00384DA4"/>
    <w:rsid w:val="00386BC3"/>
    <w:rsid w:val="003903EE"/>
    <w:rsid w:val="00391220"/>
    <w:rsid w:val="0039187F"/>
    <w:rsid w:val="003926D7"/>
    <w:rsid w:val="00392AC8"/>
    <w:rsid w:val="003933AA"/>
    <w:rsid w:val="00393C39"/>
    <w:rsid w:val="00394B53"/>
    <w:rsid w:val="00394C77"/>
    <w:rsid w:val="00395D13"/>
    <w:rsid w:val="00396357"/>
    <w:rsid w:val="00396D18"/>
    <w:rsid w:val="00397085"/>
    <w:rsid w:val="003A16E0"/>
    <w:rsid w:val="003A2E8A"/>
    <w:rsid w:val="003A63F1"/>
    <w:rsid w:val="003A6E84"/>
    <w:rsid w:val="003B0AF7"/>
    <w:rsid w:val="003B4579"/>
    <w:rsid w:val="003B4ADE"/>
    <w:rsid w:val="003B4B1B"/>
    <w:rsid w:val="003B4B73"/>
    <w:rsid w:val="003B5111"/>
    <w:rsid w:val="003B58AB"/>
    <w:rsid w:val="003B5BF8"/>
    <w:rsid w:val="003B5D56"/>
    <w:rsid w:val="003B6782"/>
    <w:rsid w:val="003B688F"/>
    <w:rsid w:val="003C0232"/>
    <w:rsid w:val="003C0985"/>
    <w:rsid w:val="003C1C07"/>
    <w:rsid w:val="003C23A5"/>
    <w:rsid w:val="003C3E1D"/>
    <w:rsid w:val="003C4447"/>
    <w:rsid w:val="003C476B"/>
    <w:rsid w:val="003C4B62"/>
    <w:rsid w:val="003C69D6"/>
    <w:rsid w:val="003C787E"/>
    <w:rsid w:val="003C7A92"/>
    <w:rsid w:val="003D0371"/>
    <w:rsid w:val="003D1766"/>
    <w:rsid w:val="003D176C"/>
    <w:rsid w:val="003D4A1E"/>
    <w:rsid w:val="003D5880"/>
    <w:rsid w:val="003D68CD"/>
    <w:rsid w:val="003D6A69"/>
    <w:rsid w:val="003D7081"/>
    <w:rsid w:val="003D780B"/>
    <w:rsid w:val="003E0C41"/>
    <w:rsid w:val="003E17A3"/>
    <w:rsid w:val="003E1955"/>
    <w:rsid w:val="003E19D3"/>
    <w:rsid w:val="003E1B64"/>
    <w:rsid w:val="003E26A9"/>
    <w:rsid w:val="003E26C1"/>
    <w:rsid w:val="003E39C9"/>
    <w:rsid w:val="003E3B92"/>
    <w:rsid w:val="003E3C26"/>
    <w:rsid w:val="003E4B0A"/>
    <w:rsid w:val="003E53D1"/>
    <w:rsid w:val="003E57C7"/>
    <w:rsid w:val="003E6B09"/>
    <w:rsid w:val="003E6F62"/>
    <w:rsid w:val="003F0099"/>
    <w:rsid w:val="003F00C5"/>
    <w:rsid w:val="003F0DDA"/>
    <w:rsid w:val="003F1461"/>
    <w:rsid w:val="003F1AFA"/>
    <w:rsid w:val="003F1BA3"/>
    <w:rsid w:val="003F1C72"/>
    <w:rsid w:val="003F28F7"/>
    <w:rsid w:val="003F374C"/>
    <w:rsid w:val="003F3E08"/>
    <w:rsid w:val="003F4448"/>
    <w:rsid w:val="003F4933"/>
    <w:rsid w:val="003F518F"/>
    <w:rsid w:val="003F63AB"/>
    <w:rsid w:val="003F692E"/>
    <w:rsid w:val="003F6FF0"/>
    <w:rsid w:val="003F7005"/>
    <w:rsid w:val="003F749F"/>
    <w:rsid w:val="004004E3"/>
    <w:rsid w:val="00401D24"/>
    <w:rsid w:val="00403DBE"/>
    <w:rsid w:val="00404B8C"/>
    <w:rsid w:val="004058C4"/>
    <w:rsid w:val="00405AED"/>
    <w:rsid w:val="00407001"/>
    <w:rsid w:val="0041070E"/>
    <w:rsid w:val="00411272"/>
    <w:rsid w:val="0041151E"/>
    <w:rsid w:val="004115C1"/>
    <w:rsid w:val="00411DC8"/>
    <w:rsid w:val="00412B3B"/>
    <w:rsid w:val="00412BBC"/>
    <w:rsid w:val="004130A7"/>
    <w:rsid w:val="00414ABA"/>
    <w:rsid w:val="00415E6F"/>
    <w:rsid w:val="00415EC6"/>
    <w:rsid w:val="00416CC2"/>
    <w:rsid w:val="00417263"/>
    <w:rsid w:val="00417D67"/>
    <w:rsid w:val="004210A1"/>
    <w:rsid w:val="00421317"/>
    <w:rsid w:val="00422419"/>
    <w:rsid w:val="00422AA5"/>
    <w:rsid w:val="00422C36"/>
    <w:rsid w:val="00425772"/>
    <w:rsid w:val="00425924"/>
    <w:rsid w:val="00425ACD"/>
    <w:rsid w:val="00426DD3"/>
    <w:rsid w:val="0042764A"/>
    <w:rsid w:val="00427788"/>
    <w:rsid w:val="00427BF1"/>
    <w:rsid w:val="00430515"/>
    <w:rsid w:val="004308DE"/>
    <w:rsid w:val="00432EDE"/>
    <w:rsid w:val="0043359C"/>
    <w:rsid w:val="004335F6"/>
    <w:rsid w:val="0043494B"/>
    <w:rsid w:val="00435806"/>
    <w:rsid w:val="004365EA"/>
    <w:rsid w:val="004372F2"/>
    <w:rsid w:val="00437588"/>
    <w:rsid w:val="00437782"/>
    <w:rsid w:val="00441FCF"/>
    <w:rsid w:val="004431B8"/>
    <w:rsid w:val="00443D8C"/>
    <w:rsid w:val="00444940"/>
    <w:rsid w:val="00447046"/>
    <w:rsid w:val="004504AA"/>
    <w:rsid w:val="00450741"/>
    <w:rsid w:val="00451004"/>
    <w:rsid w:val="00451E61"/>
    <w:rsid w:val="00451F20"/>
    <w:rsid w:val="004528CC"/>
    <w:rsid w:val="00454002"/>
    <w:rsid w:val="0045417C"/>
    <w:rsid w:val="004545E3"/>
    <w:rsid w:val="004545F2"/>
    <w:rsid w:val="004546F2"/>
    <w:rsid w:val="0045529F"/>
    <w:rsid w:val="00455CAA"/>
    <w:rsid w:val="00455D2B"/>
    <w:rsid w:val="00457A39"/>
    <w:rsid w:val="00457E0B"/>
    <w:rsid w:val="00461216"/>
    <w:rsid w:val="00462C7D"/>
    <w:rsid w:val="00465214"/>
    <w:rsid w:val="00465876"/>
    <w:rsid w:val="004660BA"/>
    <w:rsid w:val="00466DFE"/>
    <w:rsid w:val="0046712B"/>
    <w:rsid w:val="004671B4"/>
    <w:rsid w:val="00471315"/>
    <w:rsid w:val="00471567"/>
    <w:rsid w:val="00471F89"/>
    <w:rsid w:val="004720BD"/>
    <w:rsid w:val="00472417"/>
    <w:rsid w:val="004725B3"/>
    <w:rsid w:val="004728C8"/>
    <w:rsid w:val="00472D8D"/>
    <w:rsid w:val="00473167"/>
    <w:rsid w:val="0047404A"/>
    <w:rsid w:val="00474E1B"/>
    <w:rsid w:val="004758B0"/>
    <w:rsid w:val="00475DFB"/>
    <w:rsid w:val="00475FEE"/>
    <w:rsid w:val="004763B4"/>
    <w:rsid w:val="00477207"/>
    <w:rsid w:val="004800A3"/>
    <w:rsid w:val="00481682"/>
    <w:rsid w:val="00482053"/>
    <w:rsid w:val="004821B1"/>
    <w:rsid w:val="004829A7"/>
    <w:rsid w:val="0048324E"/>
    <w:rsid w:val="00483B02"/>
    <w:rsid w:val="00483F1D"/>
    <w:rsid w:val="0048457D"/>
    <w:rsid w:val="00484AC6"/>
    <w:rsid w:val="00484AFA"/>
    <w:rsid w:val="00486437"/>
    <w:rsid w:val="004870E1"/>
    <w:rsid w:val="004871E6"/>
    <w:rsid w:val="004907CF"/>
    <w:rsid w:val="00490BDA"/>
    <w:rsid w:val="00491C4C"/>
    <w:rsid w:val="00493841"/>
    <w:rsid w:val="00494F21"/>
    <w:rsid w:val="004964ED"/>
    <w:rsid w:val="004967F8"/>
    <w:rsid w:val="00496FFF"/>
    <w:rsid w:val="004A0208"/>
    <w:rsid w:val="004A042A"/>
    <w:rsid w:val="004A0C77"/>
    <w:rsid w:val="004A1BBC"/>
    <w:rsid w:val="004A24B5"/>
    <w:rsid w:val="004A2C67"/>
    <w:rsid w:val="004A3393"/>
    <w:rsid w:val="004A576E"/>
    <w:rsid w:val="004A694A"/>
    <w:rsid w:val="004A6979"/>
    <w:rsid w:val="004A6AD6"/>
    <w:rsid w:val="004A6B16"/>
    <w:rsid w:val="004A6FDC"/>
    <w:rsid w:val="004A7300"/>
    <w:rsid w:val="004A7C60"/>
    <w:rsid w:val="004A7DDD"/>
    <w:rsid w:val="004B00CE"/>
    <w:rsid w:val="004B0D61"/>
    <w:rsid w:val="004B1621"/>
    <w:rsid w:val="004B20CA"/>
    <w:rsid w:val="004B2198"/>
    <w:rsid w:val="004B248A"/>
    <w:rsid w:val="004B3582"/>
    <w:rsid w:val="004B4D13"/>
    <w:rsid w:val="004B4DD7"/>
    <w:rsid w:val="004B5145"/>
    <w:rsid w:val="004B5853"/>
    <w:rsid w:val="004B5FE5"/>
    <w:rsid w:val="004B6D0C"/>
    <w:rsid w:val="004B75D5"/>
    <w:rsid w:val="004C016C"/>
    <w:rsid w:val="004C1B27"/>
    <w:rsid w:val="004C2483"/>
    <w:rsid w:val="004C27B1"/>
    <w:rsid w:val="004C288C"/>
    <w:rsid w:val="004C2A2B"/>
    <w:rsid w:val="004C2F6A"/>
    <w:rsid w:val="004C362A"/>
    <w:rsid w:val="004C4001"/>
    <w:rsid w:val="004C47E7"/>
    <w:rsid w:val="004C47ED"/>
    <w:rsid w:val="004C5618"/>
    <w:rsid w:val="004C5994"/>
    <w:rsid w:val="004C5C0D"/>
    <w:rsid w:val="004C70D4"/>
    <w:rsid w:val="004C7705"/>
    <w:rsid w:val="004C7879"/>
    <w:rsid w:val="004D0848"/>
    <w:rsid w:val="004D2FAE"/>
    <w:rsid w:val="004D32BC"/>
    <w:rsid w:val="004D34B9"/>
    <w:rsid w:val="004D4334"/>
    <w:rsid w:val="004D4665"/>
    <w:rsid w:val="004D4DF4"/>
    <w:rsid w:val="004D4E51"/>
    <w:rsid w:val="004D78DD"/>
    <w:rsid w:val="004E0A07"/>
    <w:rsid w:val="004E2D8B"/>
    <w:rsid w:val="004E3F97"/>
    <w:rsid w:val="004E4A63"/>
    <w:rsid w:val="004E646C"/>
    <w:rsid w:val="004E7327"/>
    <w:rsid w:val="004F2378"/>
    <w:rsid w:val="004F3A35"/>
    <w:rsid w:val="004F4A5D"/>
    <w:rsid w:val="004F53EB"/>
    <w:rsid w:val="004F57D8"/>
    <w:rsid w:val="004F5898"/>
    <w:rsid w:val="004F5F6B"/>
    <w:rsid w:val="004F7943"/>
    <w:rsid w:val="00500A2B"/>
    <w:rsid w:val="00501868"/>
    <w:rsid w:val="00503022"/>
    <w:rsid w:val="005034BC"/>
    <w:rsid w:val="005048E4"/>
    <w:rsid w:val="00504D2C"/>
    <w:rsid w:val="00505EB8"/>
    <w:rsid w:val="00506720"/>
    <w:rsid w:val="00507398"/>
    <w:rsid w:val="00507486"/>
    <w:rsid w:val="00507A0F"/>
    <w:rsid w:val="005101C5"/>
    <w:rsid w:val="005110BF"/>
    <w:rsid w:val="0051181D"/>
    <w:rsid w:val="0051186B"/>
    <w:rsid w:val="00514591"/>
    <w:rsid w:val="00514C3A"/>
    <w:rsid w:val="00514D7B"/>
    <w:rsid w:val="00514F9A"/>
    <w:rsid w:val="00516C26"/>
    <w:rsid w:val="00516D57"/>
    <w:rsid w:val="00517572"/>
    <w:rsid w:val="00517C48"/>
    <w:rsid w:val="005229D5"/>
    <w:rsid w:val="00522D35"/>
    <w:rsid w:val="00523039"/>
    <w:rsid w:val="00523415"/>
    <w:rsid w:val="00524816"/>
    <w:rsid w:val="0052628F"/>
    <w:rsid w:val="005271D3"/>
    <w:rsid w:val="00527207"/>
    <w:rsid w:val="00527AB4"/>
    <w:rsid w:val="005301F9"/>
    <w:rsid w:val="00531C06"/>
    <w:rsid w:val="00532744"/>
    <w:rsid w:val="005340E9"/>
    <w:rsid w:val="00535F67"/>
    <w:rsid w:val="00536231"/>
    <w:rsid w:val="0053670F"/>
    <w:rsid w:val="005374A1"/>
    <w:rsid w:val="00537513"/>
    <w:rsid w:val="00537C25"/>
    <w:rsid w:val="00537F02"/>
    <w:rsid w:val="00541AE5"/>
    <w:rsid w:val="00541FC0"/>
    <w:rsid w:val="005427C2"/>
    <w:rsid w:val="00542CB2"/>
    <w:rsid w:val="00543275"/>
    <w:rsid w:val="005435F4"/>
    <w:rsid w:val="00545CB5"/>
    <w:rsid w:val="005473B7"/>
    <w:rsid w:val="00547999"/>
    <w:rsid w:val="00550FC9"/>
    <w:rsid w:val="005524A8"/>
    <w:rsid w:val="00552A1C"/>
    <w:rsid w:val="00552AA5"/>
    <w:rsid w:val="00553963"/>
    <w:rsid w:val="00553C69"/>
    <w:rsid w:val="00553C8D"/>
    <w:rsid w:val="005549D3"/>
    <w:rsid w:val="0055519B"/>
    <w:rsid w:val="00555D8A"/>
    <w:rsid w:val="005606D2"/>
    <w:rsid w:val="0056080E"/>
    <w:rsid w:val="00560A9C"/>
    <w:rsid w:val="00560F12"/>
    <w:rsid w:val="005611A5"/>
    <w:rsid w:val="00561BB1"/>
    <w:rsid w:val="005627A8"/>
    <w:rsid w:val="00562C1D"/>
    <w:rsid w:val="005648DB"/>
    <w:rsid w:val="005658E1"/>
    <w:rsid w:val="00566006"/>
    <w:rsid w:val="005660A5"/>
    <w:rsid w:val="00567A7E"/>
    <w:rsid w:val="00570400"/>
    <w:rsid w:val="00571835"/>
    <w:rsid w:val="00571E07"/>
    <w:rsid w:val="0057415C"/>
    <w:rsid w:val="00575070"/>
    <w:rsid w:val="005766C8"/>
    <w:rsid w:val="005768DC"/>
    <w:rsid w:val="005772CE"/>
    <w:rsid w:val="00577AB5"/>
    <w:rsid w:val="0058030D"/>
    <w:rsid w:val="0058180D"/>
    <w:rsid w:val="0058186D"/>
    <w:rsid w:val="005831BF"/>
    <w:rsid w:val="00583554"/>
    <w:rsid w:val="00584D3D"/>
    <w:rsid w:val="00584F93"/>
    <w:rsid w:val="005863DC"/>
    <w:rsid w:val="005865A4"/>
    <w:rsid w:val="0058708B"/>
    <w:rsid w:val="00587790"/>
    <w:rsid w:val="00587BF1"/>
    <w:rsid w:val="00587E88"/>
    <w:rsid w:val="00590749"/>
    <w:rsid w:val="005917B9"/>
    <w:rsid w:val="00591A60"/>
    <w:rsid w:val="005934BC"/>
    <w:rsid w:val="00595882"/>
    <w:rsid w:val="00597895"/>
    <w:rsid w:val="005A003A"/>
    <w:rsid w:val="005A0A07"/>
    <w:rsid w:val="005A0F8B"/>
    <w:rsid w:val="005A1580"/>
    <w:rsid w:val="005A3089"/>
    <w:rsid w:val="005A314E"/>
    <w:rsid w:val="005A51E5"/>
    <w:rsid w:val="005A5F12"/>
    <w:rsid w:val="005A705F"/>
    <w:rsid w:val="005A754F"/>
    <w:rsid w:val="005A7B04"/>
    <w:rsid w:val="005B00F2"/>
    <w:rsid w:val="005B0CFB"/>
    <w:rsid w:val="005B142D"/>
    <w:rsid w:val="005B1A0A"/>
    <w:rsid w:val="005B2404"/>
    <w:rsid w:val="005B36F7"/>
    <w:rsid w:val="005B429A"/>
    <w:rsid w:val="005B472F"/>
    <w:rsid w:val="005B501B"/>
    <w:rsid w:val="005B6DFE"/>
    <w:rsid w:val="005C02AC"/>
    <w:rsid w:val="005C0BE4"/>
    <w:rsid w:val="005C11D8"/>
    <w:rsid w:val="005C1862"/>
    <w:rsid w:val="005C1F58"/>
    <w:rsid w:val="005C21B8"/>
    <w:rsid w:val="005C5A18"/>
    <w:rsid w:val="005C5C9E"/>
    <w:rsid w:val="005C5EF7"/>
    <w:rsid w:val="005C7F7E"/>
    <w:rsid w:val="005D0CA2"/>
    <w:rsid w:val="005D12C7"/>
    <w:rsid w:val="005D1DBA"/>
    <w:rsid w:val="005D1E78"/>
    <w:rsid w:val="005D2C3D"/>
    <w:rsid w:val="005D3147"/>
    <w:rsid w:val="005D4C2F"/>
    <w:rsid w:val="005D4EC2"/>
    <w:rsid w:val="005D5882"/>
    <w:rsid w:val="005D5D66"/>
    <w:rsid w:val="005D6421"/>
    <w:rsid w:val="005D6597"/>
    <w:rsid w:val="005D6DF1"/>
    <w:rsid w:val="005D6F25"/>
    <w:rsid w:val="005D72E7"/>
    <w:rsid w:val="005D74D6"/>
    <w:rsid w:val="005D7C93"/>
    <w:rsid w:val="005D7E0E"/>
    <w:rsid w:val="005E052B"/>
    <w:rsid w:val="005E059E"/>
    <w:rsid w:val="005E2A92"/>
    <w:rsid w:val="005E2D78"/>
    <w:rsid w:val="005E67B7"/>
    <w:rsid w:val="005E758F"/>
    <w:rsid w:val="005E782E"/>
    <w:rsid w:val="005E79BA"/>
    <w:rsid w:val="005E7A0C"/>
    <w:rsid w:val="005E7D30"/>
    <w:rsid w:val="005F0BD7"/>
    <w:rsid w:val="005F11C3"/>
    <w:rsid w:val="005F1889"/>
    <w:rsid w:val="005F29F7"/>
    <w:rsid w:val="005F4DA1"/>
    <w:rsid w:val="005F547F"/>
    <w:rsid w:val="005F5B72"/>
    <w:rsid w:val="00600047"/>
    <w:rsid w:val="00601415"/>
    <w:rsid w:val="006015A7"/>
    <w:rsid w:val="00601D51"/>
    <w:rsid w:val="00601E55"/>
    <w:rsid w:val="00602F40"/>
    <w:rsid w:val="00603653"/>
    <w:rsid w:val="00603AC6"/>
    <w:rsid w:val="006042C3"/>
    <w:rsid w:val="0060552C"/>
    <w:rsid w:val="00606819"/>
    <w:rsid w:val="0060760D"/>
    <w:rsid w:val="006078C4"/>
    <w:rsid w:val="00607ABE"/>
    <w:rsid w:val="006102D4"/>
    <w:rsid w:val="0061039F"/>
    <w:rsid w:val="0061110D"/>
    <w:rsid w:val="00611117"/>
    <w:rsid w:val="0061146F"/>
    <w:rsid w:val="006116AE"/>
    <w:rsid w:val="00611C20"/>
    <w:rsid w:val="006140FC"/>
    <w:rsid w:val="00614F4B"/>
    <w:rsid w:val="00615207"/>
    <w:rsid w:val="00617473"/>
    <w:rsid w:val="0062052C"/>
    <w:rsid w:val="00620D11"/>
    <w:rsid w:val="00620FA1"/>
    <w:rsid w:val="0062139B"/>
    <w:rsid w:val="00622099"/>
    <w:rsid w:val="0062324E"/>
    <w:rsid w:val="006237ED"/>
    <w:rsid w:val="00624B1C"/>
    <w:rsid w:val="00625342"/>
    <w:rsid w:val="0062554F"/>
    <w:rsid w:val="00625AC8"/>
    <w:rsid w:val="0062674B"/>
    <w:rsid w:val="00627EB4"/>
    <w:rsid w:val="006307A5"/>
    <w:rsid w:val="00631C31"/>
    <w:rsid w:val="00632353"/>
    <w:rsid w:val="00632411"/>
    <w:rsid w:val="0063253B"/>
    <w:rsid w:val="00633711"/>
    <w:rsid w:val="00633B9F"/>
    <w:rsid w:val="006351DC"/>
    <w:rsid w:val="00635349"/>
    <w:rsid w:val="006360EF"/>
    <w:rsid w:val="00637B30"/>
    <w:rsid w:val="00637DA0"/>
    <w:rsid w:val="00637F92"/>
    <w:rsid w:val="00640F25"/>
    <w:rsid w:val="006419BE"/>
    <w:rsid w:val="0064294F"/>
    <w:rsid w:val="00642A78"/>
    <w:rsid w:val="00642CB7"/>
    <w:rsid w:val="00643A00"/>
    <w:rsid w:val="00643B00"/>
    <w:rsid w:val="00644511"/>
    <w:rsid w:val="00644FC7"/>
    <w:rsid w:val="006459A1"/>
    <w:rsid w:val="00645A24"/>
    <w:rsid w:val="00645F6F"/>
    <w:rsid w:val="00646261"/>
    <w:rsid w:val="006470AF"/>
    <w:rsid w:val="00647E6C"/>
    <w:rsid w:val="006501BA"/>
    <w:rsid w:val="0065037F"/>
    <w:rsid w:val="00651018"/>
    <w:rsid w:val="00651066"/>
    <w:rsid w:val="006519AB"/>
    <w:rsid w:val="00651A58"/>
    <w:rsid w:val="00652581"/>
    <w:rsid w:val="006531FA"/>
    <w:rsid w:val="00653C03"/>
    <w:rsid w:val="00662551"/>
    <w:rsid w:val="006631D2"/>
    <w:rsid w:val="0066418E"/>
    <w:rsid w:val="00664B9C"/>
    <w:rsid w:val="0066566D"/>
    <w:rsid w:val="00665BAF"/>
    <w:rsid w:val="00667D1A"/>
    <w:rsid w:val="00667E7E"/>
    <w:rsid w:val="00670491"/>
    <w:rsid w:val="00671158"/>
    <w:rsid w:val="00671CD6"/>
    <w:rsid w:val="00671EEB"/>
    <w:rsid w:val="00672A34"/>
    <w:rsid w:val="006733E6"/>
    <w:rsid w:val="006752AE"/>
    <w:rsid w:val="006753A8"/>
    <w:rsid w:val="006771BA"/>
    <w:rsid w:val="006771EA"/>
    <w:rsid w:val="00680FB4"/>
    <w:rsid w:val="006814E9"/>
    <w:rsid w:val="0068207F"/>
    <w:rsid w:val="006821EB"/>
    <w:rsid w:val="006829EA"/>
    <w:rsid w:val="0068304C"/>
    <w:rsid w:val="00684008"/>
    <w:rsid w:val="0068416C"/>
    <w:rsid w:val="006841B3"/>
    <w:rsid w:val="00685DA6"/>
    <w:rsid w:val="00686B7F"/>
    <w:rsid w:val="00686FA4"/>
    <w:rsid w:val="006875C8"/>
    <w:rsid w:val="0068785E"/>
    <w:rsid w:val="00690312"/>
    <w:rsid w:val="0069105A"/>
    <w:rsid w:val="0069272A"/>
    <w:rsid w:val="006928E3"/>
    <w:rsid w:val="00692D44"/>
    <w:rsid w:val="00693415"/>
    <w:rsid w:val="006948A9"/>
    <w:rsid w:val="00695D0B"/>
    <w:rsid w:val="0069611D"/>
    <w:rsid w:val="006969D7"/>
    <w:rsid w:val="00696AD4"/>
    <w:rsid w:val="00697950"/>
    <w:rsid w:val="006A0C65"/>
    <w:rsid w:val="006A0E79"/>
    <w:rsid w:val="006A1381"/>
    <w:rsid w:val="006A1C67"/>
    <w:rsid w:val="006A23E8"/>
    <w:rsid w:val="006A2F87"/>
    <w:rsid w:val="006A3F27"/>
    <w:rsid w:val="006A4257"/>
    <w:rsid w:val="006A43E3"/>
    <w:rsid w:val="006A5787"/>
    <w:rsid w:val="006A5CD5"/>
    <w:rsid w:val="006A5E00"/>
    <w:rsid w:val="006A64D5"/>
    <w:rsid w:val="006B0617"/>
    <w:rsid w:val="006B1F11"/>
    <w:rsid w:val="006B222D"/>
    <w:rsid w:val="006B2497"/>
    <w:rsid w:val="006B4036"/>
    <w:rsid w:val="006B434D"/>
    <w:rsid w:val="006B49F6"/>
    <w:rsid w:val="006B566C"/>
    <w:rsid w:val="006B60ED"/>
    <w:rsid w:val="006B64AE"/>
    <w:rsid w:val="006B6807"/>
    <w:rsid w:val="006B6BA2"/>
    <w:rsid w:val="006C08C4"/>
    <w:rsid w:val="006C1926"/>
    <w:rsid w:val="006C1D02"/>
    <w:rsid w:val="006C21A2"/>
    <w:rsid w:val="006C4931"/>
    <w:rsid w:val="006C4D70"/>
    <w:rsid w:val="006C5B8C"/>
    <w:rsid w:val="006C5E85"/>
    <w:rsid w:val="006C7474"/>
    <w:rsid w:val="006C79A2"/>
    <w:rsid w:val="006C7C15"/>
    <w:rsid w:val="006C7C58"/>
    <w:rsid w:val="006C7CE6"/>
    <w:rsid w:val="006D1872"/>
    <w:rsid w:val="006D1F7A"/>
    <w:rsid w:val="006D1F9B"/>
    <w:rsid w:val="006D225E"/>
    <w:rsid w:val="006D2ABB"/>
    <w:rsid w:val="006D4BC6"/>
    <w:rsid w:val="006D4C61"/>
    <w:rsid w:val="006D5CC4"/>
    <w:rsid w:val="006D6E9D"/>
    <w:rsid w:val="006E09B2"/>
    <w:rsid w:val="006E166F"/>
    <w:rsid w:val="006E1AC4"/>
    <w:rsid w:val="006E2F63"/>
    <w:rsid w:val="006E32C7"/>
    <w:rsid w:val="006E3F4E"/>
    <w:rsid w:val="006E47BB"/>
    <w:rsid w:val="006E47E2"/>
    <w:rsid w:val="006E499E"/>
    <w:rsid w:val="006E5821"/>
    <w:rsid w:val="006E5E8E"/>
    <w:rsid w:val="006E615F"/>
    <w:rsid w:val="006E62D7"/>
    <w:rsid w:val="006E6374"/>
    <w:rsid w:val="006E6D5F"/>
    <w:rsid w:val="006E6F16"/>
    <w:rsid w:val="006F03AF"/>
    <w:rsid w:val="006F0655"/>
    <w:rsid w:val="006F08D9"/>
    <w:rsid w:val="006F130F"/>
    <w:rsid w:val="006F1514"/>
    <w:rsid w:val="006F2B46"/>
    <w:rsid w:val="006F3189"/>
    <w:rsid w:val="006F32AB"/>
    <w:rsid w:val="006F366A"/>
    <w:rsid w:val="006F389C"/>
    <w:rsid w:val="006F39B2"/>
    <w:rsid w:val="006F3C97"/>
    <w:rsid w:val="006F3CDB"/>
    <w:rsid w:val="006F4D05"/>
    <w:rsid w:val="006F52D8"/>
    <w:rsid w:val="006F6E6A"/>
    <w:rsid w:val="007010F0"/>
    <w:rsid w:val="0070118F"/>
    <w:rsid w:val="00701A80"/>
    <w:rsid w:val="00701AF1"/>
    <w:rsid w:val="00702650"/>
    <w:rsid w:val="00702F64"/>
    <w:rsid w:val="007038F9"/>
    <w:rsid w:val="007046A9"/>
    <w:rsid w:val="00704736"/>
    <w:rsid w:val="00704E47"/>
    <w:rsid w:val="00705220"/>
    <w:rsid w:val="00705B97"/>
    <w:rsid w:val="007078C0"/>
    <w:rsid w:val="00707D69"/>
    <w:rsid w:val="0071083E"/>
    <w:rsid w:val="00710993"/>
    <w:rsid w:val="00712490"/>
    <w:rsid w:val="00712F16"/>
    <w:rsid w:val="00713097"/>
    <w:rsid w:val="00713814"/>
    <w:rsid w:val="00714BDE"/>
    <w:rsid w:val="00716050"/>
    <w:rsid w:val="00716A38"/>
    <w:rsid w:val="00716C67"/>
    <w:rsid w:val="00717B20"/>
    <w:rsid w:val="00720E71"/>
    <w:rsid w:val="007213CC"/>
    <w:rsid w:val="007214CF"/>
    <w:rsid w:val="00723C82"/>
    <w:rsid w:val="00723E56"/>
    <w:rsid w:val="00725D34"/>
    <w:rsid w:val="007265EE"/>
    <w:rsid w:val="00727216"/>
    <w:rsid w:val="00727A33"/>
    <w:rsid w:val="00727BB6"/>
    <w:rsid w:val="00727F3C"/>
    <w:rsid w:val="00727F6F"/>
    <w:rsid w:val="00730605"/>
    <w:rsid w:val="00731D38"/>
    <w:rsid w:val="0073233C"/>
    <w:rsid w:val="007331C6"/>
    <w:rsid w:val="00733343"/>
    <w:rsid w:val="00733C6B"/>
    <w:rsid w:val="0073656E"/>
    <w:rsid w:val="00736E78"/>
    <w:rsid w:val="00737506"/>
    <w:rsid w:val="00737A23"/>
    <w:rsid w:val="0074289C"/>
    <w:rsid w:val="00742C2B"/>
    <w:rsid w:val="00744503"/>
    <w:rsid w:val="00744AC5"/>
    <w:rsid w:val="007478FF"/>
    <w:rsid w:val="007507F2"/>
    <w:rsid w:val="007508DA"/>
    <w:rsid w:val="00750A2B"/>
    <w:rsid w:val="00750F57"/>
    <w:rsid w:val="00751C1C"/>
    <w:rsid w:val="0075338E"/>
    <w:rsid w:val="0075407B"/>
    <w:rsid w:val="00754E71"/>
    <w:rsid w:val="00755092"/>
    <w:rsid w:val="007551AD"/>
    <w:rsid w:val="007555EB"/>
    <w:rsid w:val="00755959"/>
    <w:rsid w:val="00756148"/>
    <w:rsid w:val="007561BC"/>
    <w:rsid w:val="007571C2"/>
    <w:rsid w:val="00757712"/>
    <w:rsid w:val="00757F10"/>
    <w:rsid w:val="00760476"/>
    <w:rsid w:val="00760D71"/>
    <w:rsid w:val="00761219"/>
    <w:rsid w:val="0076211D"/>
    <w:rsid w:val="00762C75"/>
    <w:rsid w:val="007633F1"/>
    <w:rsid w:val="007641B9"/>
    <w:rsid w:val="007641D8"/>
    <w:rsid w:val="0076461A"/>
    <w:rsid w:val="007646D2"/>
    <w:rsid w:val="00764E2B"/>
    <w:rsid w:val="00765357"/>
    <w:rsid w:val="0076599A"/>
    <w:rsid w:val="00765B39"/>
    <w:rsid w:val="00765C33"/>
    <w:rsid w:val="00766BB7"/>
    <w:rsid w:val="00766E88"/>
    <w:rsid w:val="007707D8"/>
    <w:rsid w:val="00771518"/>
    <w:rsid w:val="00771A29"/>
    <w:rsid w:val="00772097"/>
    <w:rsid w:val="007726CB"/>
    <w:rsid w:val="00772C75"/>
    <w:rsid w:val="00774036"/>
    <w:rsid w:val="00774041"/>
    <w:rsid w:val="00774B92"/>
    <w:rsid w:val="007753F4"/>
    <w:rsid w:val="007759C6"/>
    <w:rsid w:val="007764C8"/>
    <w:rsid w:val="00776B8C"/>
    <w:rsid w:val="00776BCF"/>
    <w:rsid w:val="00777445"/>
    <w:rsid w:val="007777D6"/>
    <w:rsid w:val="007778F9"/>
    <w:rsid w:val="00777B0E"/>
    <w:rsid w:val="00777F7D"/>
    <w:rsid w:val="007800A2"/>
    <w:rsid w:val="00780D6F"/>
    <w:rsid w:val="007811CD"/>
    <w:rsid w:val="00781E82"/>
    <w:rsid w:val="00782141"/>
    <w:rsid w:val="007825FB"/>
    <w:rsid w:val="00782F07"/>
    <w:rsid w:val="007830B3"/>
    <w:rsid w:val="00785E69"/>
    <w:rsid w:val="00786201"/>
    <w:rsid w:val="007866AF"/>
    <w:rsid w:val="00787C9C"/>
    <w:rsid w:val="00791ED7"/>
    <w:rsid w:val="00792CCB"/>
    <w:rsid w:val="00792E4B"/>
    <w:rsid w:val="00794B0A"/>
    <w:rsid w:val="00794D40"/>
    <w:rsid w:val="00794E8F"/>
    <w:rsid w:val="00794F22"/>
    <w:rsid w:val="00796AAB"/>
    <w:rsid w:val="00797618"/>
    <w:rsid w:val="007A0364"/>
    <w:rsid w:val="007A143E"/>
    <w:rsid w:val="007A1A9C"/>
    <w:rsid w:val="007A1BE8"/>
    <w:rsid w:val="007A2C21"/>
    <w:rsid w:val="007A4583"/>
    <w:rsid w:val="007A537E"/>
    <w:rsid w:val="007A5663"/>
    <w:rsid w:val="007A5EFC"/>
    <w:rsid w:val="007B0F92"/>
    <w:rsid w:val="007B2EF8"/>
    <w:rsid w:val="007B34FE"/>
    <w:rsid w:val="007B5958"/>
    <w:rsid w:val="007B5DFC"/>
    <w:rsid w:val="007B5F24"/>
    <w:rsid w:val="007B6281"/>
    <w:rsid w:val="007B66F1"/>
    <w:rsid w:val="007B6F2E"/>
    <w:rsid w:val="007B783A"/>
    <w:rsid w:val="007C0409"/>
    <w:rsid w:val="007C04BA"/>
    <w:rsid w:val="007C0813"/>
    <w:rsid w:val="007C0B00"/>
    <w:rsid w:val="007C155A"/>
    <w:rsid w:val="007C1A37"/>
    <w:rsid w:val="007C1AE4"/>
    <w:rsid w:val="007C410D"/>
    <w:rsid w:val="007C4534"/>
    <w:rsid w:val="007C4556"/>
    <w:rsid w:val="007C5079"/>
    <w:rsid w:val="007C5892"/>
    <w:rsid w:val="007C662C"/>
    <w:rsid w:val="007C6CCC"/>
    <w:rsid w:val="007C7344"/>
    <w:rsid w:val="007C78FB"/>
    <w:rsid w:val="007D0018"/>
    <w:rsid w:val="007D097B"/>
    <w:rsid w:val="007D3313"/>
    <w:rsid w:val="007D3319"/>
    <w:rsid w:val="007D3387"/>
    <w:rsid w:val="007D3661"/>
    <w:rsid w:val="007D3893"/>
    <w:rsid w:val="007D6197"/>
    <w:rsid w:val="007D63CA"/>
    <w:rsid w:val="007D6DEE"/>
    <w:rsid w:val="007E023F"/>
    <w:rsid w:val="007E151D"/>
    <w:rsid w:val="007E193C"/>
    <w:rsid w:val="007E4857"/>
    <w:rsid w:val="007E512A"/>
    <w:rsid w:val="007E5AB4"/>
    <w:rsid w:val="007E6A5D"/>
    <w:rsid w:val="007E7902"/>
    <w:rsid w:val="007E7DAA"/>
    <w:rsid w:val="007E7DEA"/>
    <w:rsid w:val="007F04A6"/>
    <w:rsid w:val="007F0B79"/>
    <w:rsid w:val="007F11DD"/>
    <w:rsid w:val="007F2F20"/>
    <w:rsid w:val="007F37EA"/>
    <w:rsid w:val="007F3BEA"/>
    <w:rsid w:val="007F422C"/>
    <w:rsid w:val="007F602C"/>
    <w:rsid w:val="007F605E"/>
    <w:rsid w:val="008001D8"/>
    <w:rsid w:val="00801725"/>
    <w:rsid w:val="008022E5"/>
    <w:rsid w:val="00802494"/>
    <w:rsid w:val="0080301B"/>
    <w:rsid w:val="00803BF1"/>
    <w:rsid w:val="008045D5"/>
    <w:rsid w:val="00804E84"/>
    <w:rsid w:val="00805D5F"/>
    <w:rsid w:val="00806067"/>
    <w:rsid w:val="008068FF"/>
    <w:rsid w:val="0080700E"/>
    <w:rsid w:val="00807384"/>
    <w:rsid w:val="008075EE"/>
    <w:rsid w:val="00810AEA"/>
    <w:rsid w:val="00810AFB"/>
    <w:rsid w:val="00811C2F"/>
    <w:rsid w:val="00811CEB"/>
    <w:rsid w:val="00812D0D"/>
    <w:rsid w:val="008149C0"/>
    <w:rsid w:val="00814FF3"/>
    <w:rsid w:val="008152D9"/>
    <w:rsid w:val="008155A6"/>
    <w:rsid w:val="00816679"/>
    <w:rsid w:val="008177F5"/>
    <w:rsid w:val="008177FB"/>
    <w:rsid w:val="00817BE4"/>
    <w:rsid w:val="00820936"/>
    <w:rsid w:val="008214B1"/>
    <w:rsid w:val="00821B86"/>
    <w:rsid w:val="00822D5E"/>
    <w:rsid w:val="00822DA7"/>
    <w:rsid w:val="00822EBB"/>
    <w:rsid w:val="0082402F"/>
    <w:rsid w:val="008245DD"/>
    <w:rsid w:val="00826CA4"/>
    <w:rsid w:val="00826F8D"/>
    <w:rsid w:val="008277A7"/>
    <w:rsid w:val="00830BC3"/>
    <w:rsid w:val="00831F31"/>
    <w:rsid w:val="00833863"/>
    <w:rsid w:val="00834101"/>
    <w:rsid w:val="00835631"/>
    <w:rsid w:val="008369DB"/>
    <w:rsid w:val="0083747E"/>
    <w:rsid w:val="00840528"/>
    <w:rsid w:val="008408A3"/>
    <w:rsid w:val="008414D0"/>
    <w:rsid w:val="008437BE"/>
    <w:rsid w:val="00843952"/>
    <w:rsid w:val="00844F04"/>
    <w:rsid w:val="0084644E"/>
    <w:rsid w:val="00846D52"/>
    <w:rsid w:val="008475BC"/>
    <w:rsid w:val="00847CF3"/>
    <w:rsid w:val="008503EA"/>
    <w:rsid w:val="008505B3"/>
    <w:rsid w:val="008512F2"/>
    <w:rsid w:val="008514BB"/>
    <w:rsid w:val="00851549"/>
    <w:rsid w:val="00851E03"/>
    <w:rsid w:val="00852335"/>
    <w:rsid w:val="00853F16"/>
    <w:rsid w:val="008545FD"/>
    <w:rsid w:val="00855425"/>
    <w:rsid w:val="008556D8"/>
    <w:rsid w:val="00857261"/>
    <w:rsid w:val="00857550"/>
    <w:rsid w:val="00857785"/>
    <w:rsid w:val="00860A9A"/>
    <w:rsid w:val="00860BE4"/>
    <w:rsid w:val="0086150B"/>
    <w:rsid w:val="00861D11"/>
    <w:rsid w:val="00862DF8"/>
    <w:rsid w:val="008634CF"/>
    <w:rsid w:val="00863830"/>
    <w:rsid w:val="008640F2"/>
    <w:rsid w:val="00866778"/>
    <w:rsid w:val="00866A88"/>
    <w:rsid w:val="00866D44"/>
    <w:rsid w:val="00866DE9"/>
    <w:rsid w:val="00866E0D"/>
    <w:rsid w:val="00867D5F"/>
    <w:rsid w:val="0087081E"/>
    <w:rsid w:val="00871623"/>
    <w:rsid w:val="0087164F"/>
    <w:rsid w:val="008716E0"/>
    <w:rsid w:val="00871B1D"/>
    <w:rsid w:val="00871DAA"/>
    <w:rsid w:val="008720B7"/>
    <w:rsid w:val="00872186"/>
    <w:rsid w:val="00872B06"/>
    <w:rsid w:val="00872D9B"/>
    <w:rsid w:val="00873451"/>
    <w:rsid w:val="008737EB"/>
    <w:rsid w:val="00874457"/>
    <w:rsid w:val="008746DA"/>
    <w:rsid w:val="00874A2F"/>
    <w:rsid w:val="00874E05"/>
    <w:rsid w:val="00876816"/>
    <w:rsid w:val="00876BD9"/>
    <w:rsid w:val="008801AD"/>
    <w:rsid w:val="00880215"/>
    <w:rsid w:val="00880D79"/>
    <w:rsid w:val="00881354"/>
    <w:rsid w:val="00882F19"/>
    <w:rsid w:val="00883126"/>
    <w:rsid w:val="00883BA6"/>
    <w:rsid w:val="00884549"/>
    <w:rsid w:val="0088469B"/>
    <w:rsid w:val="00884E3C"/>
    <w:rsid w:val="00885A85"/>
    <w:rsid w:val="00885C61"/>
    <w:rsid w:val="00885FA0"/>
    <w:rsid w:val="00885FD1"/>
    <w:rsid w:val="0088639C"/>
    <w:rsid w:val="00887285"/>
    <w:rsid w:val="00887553"/>
    <w:rsid w:val="00887A4E"/>
    <w:rsid w:val="008902AE"/>
    <w:rsid w:val="0089102A"/>
    <w:rsid w:val="00892AD4"/>
    <w:rsid w:val="008934DE"/>
    <w:rsid w:val="00893542"/>
    <w:rsid w:val="008935D5"/>
    <w:rsid w:val="008941AD"/>
    <w:rsid w:val="00894C5D"/>
    <w:rsid w:val="008965A6"/>
    <w:rsid w:val="008969B9"/>
    <w:rsid w:val="00896A32"/>
    <w:rsid w:val="0089761A"/>
    <w:rsid w:val="00897668"/>
    <w:rsid w:val="00897E55"/>
    <w:rsid w:val="008A0392"/>
    <w:rsid w:val="008A12C2"/>
    <w:rsid w:val="008A2233"/>
    <w:rsid w:val="008A265E"/>
    <w:rsid w:val="008A4E94"/>
    <w:rsid w:val="008A5007"/>
    <w:rsid w:val="008A5714"/>
    <w:rsid w:val="008A5AA3"/>
    <w:rsid w:val="008A5BDA"/>
    <w:rsid w:val="008A6157"/>
    <w:rsid w:val="008A6B33"/>
    <w:rsid w:val="008A77C9"/>
    <w:rsid w:val="008B1500"/>
    <w:rsid w:val="008B1678"/>
    <w:rsid w:val="008B26A4"/>
    <w:rsid w:val="008B2B8A"/>
    <w:rsid w:val="008B2BAF"/>
    <w:rsid w:val="008B32F3"/>
    <w:rsid w:val="008B333C"/>
    <w:rsid w:val="008B409D"/>
    <w:rsid w:val="008B449E"/>
    <w:rsid w:val="008B4C08"/>
    <w:rsid w:val="008B5ABE"/>
    <w:rsid w:val="008B6BF6"/>
    <w:rsid w:val="008B6D39"/>
    <w:rsid w:val="008B7703"/>
    <w:rsid w:val="008B7BBB"/>
    <w:rsid w:val="008B7E86"/>
    <w:rsid w:val="008C013A"/>
    <w:rsid w:val="008C02F2"/>
    <w:rsid w:val="008C11CE"/>
    <w:rsid w:val="008C159D"/>
    <w:rsid w:val="008C17EA"/>
    <w:rsid w:val="008C28AF"/>
    <w:rsid w:val="008C307F"/>
    <w:rsid w:val="008C5E22"/>
    <w:rsid w:val="008C6242"/>
    <w:rsid w:val="008C6BC7"/>
    <w:rsid w:val="008D04FF"/>
    <w:rsid w:val="008D232B"/>
    <w:rsid w:val="008D2937"/>
    <w:rsid w:val="008D2DEA"/>
    <w:rsid w:val="008D3809"/>
    <w:rsid w:val="008D3BB3"/>
    <w:rsid w:val="008D41F4"/>
    <w:rsid w:val="008D4B87"/>
    <w:rsid w:val="008D5B99"/>
    <w:rsid w:val="008D62D0"/>
    <w:rsid w:val="008D6836"/>
    <w:rsid w:val="008D6E25"/>
    <w:rsid w:val="008E018D"/>
    <w:rsid w:val="008E0BD8"/>
    <w:rsid w:val="008E0F22"/>
    <w:rsid w:val="008E1715"/>
    <w:rsid w:val="008E28E5"/>
    <w:rsid w:val="008E2CFB"/>
    <w:rsid w:val="008E35E6"/>
    <w:rsid w:val="008E625B"/>
    <w:rsid w:val="008E66D9"/>
    <w:rsid w:val="008E676F"/>
    <w:rsid w:val="008F0142"/>
    <w:rsid w:val="008F15FC"/>
    <w:rsid w:val="008F49EE"/>
    <w:rsid w:val="008F4A9A"/>
    <w:rsid w:val="008F4AFA"/>
    <w:rsid w:val="008F4E60"/>
    <w:rsid w:val="008F5DFE"/>
    <w:rsid w:val="008F6043"/>
    <w:rsid w:val="008F6275"/>
    <w:rsid w:val="008F676D"/>
    <w:rsid w:val="008F6E71"/>
    <w:rsid w:val="00900AF8"/>
    <w:rsid w:val="00901FE0"/>
    <w:rsid w:val="009023B5"/>
    <w:rsid w:val="00902BA7"/>
    <w:rsid w:val="00903768"/>
    <w:rsid w:val="00903B4F"/>
    <w:rsid w:val="00903C06"/>
    <w:rsid w:val="00904FFB"/>
    <w:rsid w:val="009057BE"/>
    <w:rsid w:val="00905906"/>
    <w:rsid w:val="00905976"/>
    <w:rsid w:val="0090620E"/>
    <w:rsid w:val="00906452"/>
    <w:rsid w:val="00906E92"/>
    <w:rsid w:val="00907234"/>
    <w:rsid w:val="00907815"/>
    <w:rsid w:val="00907923"/>
    <w:rsid w:val="009079B0"/>
    <w:rsid w:val="009102CA"/>
    <w:rsid w:val="009105EF"/>
    <w:rsid w:val="0091079A"/>
    <w:rsid w:val="0091083A"/>
    <w:rsid w:val="0091164E"/>
    <w:rsid w:val="00911904"/>
    <w:rsid w:val="00911D13"/>
    <w:rsid w:val="00912B17"/>
    <w:rsid w:val="00914553"/>
    <w:rsid w:val="00914D58"/>
    <w:rsid w:val="00915238"/>
    <w:rsid w:val="0091574C"/>
    <w:rsid w:val="009158CA"/>
    <w:rsid w:val="0091655B"/>
    <w:rsid w:val="00916E41"/>
    <w:rsid w:val="00917C09"/>
    <w:rsid w:val="00920A7B"/>
    <w:rsid w:val="00921876"/>
    <w:rsid w:val="009226DC"/>
    <w:rsid w:val="009229EE"/>
    <w:rsid w:val="009232D5"/>
    <w:rsid w:val="00923FB2"/>
    <w:rsid w:val="0092450C"/>
    <w:rsid w:val="009251C2"/>
    <w:rsid w:val="009251F4"/>
    <w:rsid w:val="00925563"/>
    <w:rsid w:val="00925AA3"/>
    <w:rsid w:val="009266CF"/>
    <w:rsid w:val="009272E6"/>
    <w:rsid w:val="00927392"/>
    <w:rsid w:val="00927412"/>
    <w:rsid w:val="00927F2C"/>
    <w:rsid w:val="00930F75"/>
    <w:rsid w:val="00931D23"/>
    <w:rsid w:val="0093402B"/>
    <w:rsid w:val="00934082"/>
    <w:rsid w:val="00934949"/>
    <w:rsid w:val="009353FB"/>
    <w:rsid w:val="00936DD6"/>
    <w:rsid w:val="00937B32"/>
    <w:rsid w:val="0094130B"/>
    <w:rsid w:val="0094191C"/>
    <w:rsid w:val="00941FBE"/>
    <w:rsid w:val="009421F6"/>
    <w:rsid w:val="00942923"/>
    <w:rsid w:val="00942E21"/>
    <w:rsid w:val="0094373D"/>
    <w:rsid w:val="00944214"/>
    <w:rsid w:val="00944D2E"/>
    <w:rsid w:val="00944E2B"/>
    <w:rsid w:val="00946495"/>
    <w:rsid w:val="00947CE6"/>
    <w:rsid w:val="00947DC1"/>
    <w:rsid w:val="009510F6"/>
    <w:rsid w:val="0095173B"/>
    <w:rsid w:val="00952B8E"/>
    <w:rsid w:val="00952D9B"/>
    <w:rsid w:val="00952E84"/>
    <w:rsid w:val="00952F38"/>
    <w:rsid w:val="00953595"/>
    <w:rsid w:val="00953817"/>
    <w:rsid w:val="00955E2A"/>
    <w:rsid w:val="00956E6D"/>
    <w:rsid w:val="00962356"/>
    <w:rsid w:val="00962499"/>
    <w:rsid w:val="00963263"/>
    <w:rsid w:val="0096329C"/>
    <w:rsid w:val="0096416B"/>
    <w:rsid w:val="0096479D"/>
    <w:rsid w:val="00965CA3"/>
    <w:rsid w:val="009668B3"/>
    <w:rsid w:val="009668DB"/>
    <w:rsid w:val="009669C5"/>
    <w:rsid w:val="00966ADD"/>
    <w:rsid w:val="00966DD2"/>
    <w:rsid w:val="00970285"/>
    <w:rsid w:val="00970D93"/>
    <w:rsid w:val="00971812"/>
    <w:rsid w:val="0097365F"/>
    <w:rsid w:val="00974454"/>
    <w:rsid w:val="00976105"/>
    <w:rsid w:val="00976A63"/>
    <w:rsid w:val="009807E8"/>
    <w:rsid w:val="00980B0A"/>
    <w:rsid w:val="00981A41"/>
    <w:rsid w:val="0098339F"/>
    <w:rsid w:val="009834B3"/>
    <w:rsid w:val="00983A12"/>
    <w:rsid w:val="0098418A"/>
    <w:rsid w:val="00984EA4"/>
    <w:rsid w:val="009853A9"/>
    <w:rsid w:val="009854A8"/>
    <w:rsid w:val="00985BFB"/>
    <w:rsid w:val="009869E4"/>
    <w:rsid w:val="00986FE4"/>
    <w:rsid w:val="00987133"/>
    <w:rsid w:val="009877EE"/>
    <w:rsid w:val="00991E5A"/>
    <w:rsid w:val="0099240C"/>
    <w:rsid w:val="00992D8D"/>
    <w:rsid w:val="00993148"/>
    <w:rsid w:val="009940BC"/>
    <w:rsid w:val="009943B5"/>
    <w:rsid w:val="00994655"/>
    <w:rsid w:val="00995128"/>
    <w:rsid w:val="0099694C"/>
    <w:rsid w:val="00996A15"/>
    <w:rsid w:val="0099784C"/>
    <w:rsid w:val="00997DDD"/>
    <w:rsid w:val="00997E6B"/>
    <w:rsid w:val="009A0469"/>
    <w:rsid w:val="009A0EDB"/>
    <w:rsid w:val="009A140B"/>
    <w:rsid w:val="009A1510"/>
    <w:rsid w:val="009A1B86"/>
    <w:rsid w:val="009A2287"/>
    <w:rsid w:val="009A2E1C"/>
    <w:rsid w:val="009A30EC"/>
    <w:rsid w:val="009A4473"/>
    <w:rsid w:val="009A5139"/>
    <w:rsid w:val="009A5FB1"/>
    <w:rsid w:val="009A6180"/>
    <w:rsid w:val="009A6247"/>
    <w:rsid w:val="009A6A3B"/>
    <w:rsid w:val="009A73B7"/>
    <w:rsid w:val="009A76D3"/>
    <w:rsid w:val="009A78DD"/>
    <w:rsid w:val="009A7C36"/>
    <w:rsid w:val="009B01B4"/>
    <w:rsid w:val="009B17D9"/>
    <w:rsid w:val="009B311B"/>
    <w:rsid w:val="009B39ED"/>
    <w:rsid w:val="009B3E47"/>
    <w:rsid w:val="009B3F38"/>
    <w:rsid w:val="009B4112"/>
    <w:rsid w:val="009B4617"/>
    <w:rsid w:val="009B4CDD"/>
    <w:rsid w:val="009B4FF6"/>
    <w:rsid w:val="009B6177"/>
    <w:rsid w:val="009B656F"/>
    <w:rsid w:val="009B6E5B"/>
    <w:rsid w:val="009C036E"/>
    <w:rsid w:val="009C2632"/>
    <w:rsid w:val="009C2AE7"/>
    <w:rsid w:val="009C4134"/>
    <w:rsid w:val="009C4536"/>
    <w:rsid w:val="009C4748"/>
    <w:rsid w:val="009C5337"/>
    <w:rsid w:val="009C5999"/>
    <w:rsid w:val="009C6933"/>
    <w:rsid w:val="009C7B36"/>
    <w:rsid w:val="009D086A"/>
    <w:rsid w:val="009D0BE5"/>
    <w:rsid w:val="009D10F7"/>
    <w:rsid w:val="009D2F50"/>
    <w:rsid w:val="009D329A"/>
    <w:rsid w:val="009D3936"/>
    <w:rsid w:val="009D39E8"/>
    <w:rsid w:val="009D4449"/>
    <w:rsid w:val="009D4C6F"/>
    <w:rsid w:val="009D5B47"/>
    <w:rsid w:val="009D5FD3"/>
    <w:rsid w:val="009D75E4"/>
    <w:rsid w:val="009E04B0"/>
    <w:rsid w:val="009E0546"/>
    <w:rsid w:val="009E1042"/>
    <w:rsid w:val="009E1B3F"/>
    <w:rsid w:val="009E25EB"/>
    <w:rsid w:val="009E3265"/>
    <w:rsid w:val="009E5135"/>
    <w:rsid w:val="009E5310"/>
    <w:rsid w:val="009E5712"/>
    <w:rsid w:val="009E5D6B"/>
    <w:rsid w:val="009E64B2"/>
    <w:rsid w:val="009E6A27"/>
    <w:rsid w:val="009E7C78"/>
    <w:rsid w:val="009F038C"/>
    <w:rsid w:val="009F13A2"/>
    <w:rsid w:val="009F14E6"/>
    <w:rsid w:val="009F14EC"/>
    <w:rsid w:val="009F2330"/>
    <w:rsid w:val="009F3448"/>
    <w:rsid w:val="009F45A0"/>
    <w:rsid w:val="009F4B82"/>
    <w:rsid w:val="00A006FC"/>
    <w:rsid w:val="00A009E2"/>
    <w:rsid w:val="00A00E6A"/>
    <w:rsid w:val="00A01ACE"/>
    <w:rsid w:val="00A02D84"/>
    <w:rsid w:val="00A02E0B"/>
    <w:rsid w:val="00A03553"/>
    <w:rsid w:val="00A05BBF"/>
    <w:rsid w:val="00A07123"/>
    <w:rsid w:val="00A0776B"/>
    <w:rsid w:val="00A10467"/>
    <w:rsid w:val="00A112B4"/>
    <w:rsid w:val="00A1191A"/>
    <w:rsid w:val="00A11956"/>
    <w:rsid w:val="00A11B2A"/>
    <w:rsid w:val="00A12648"/>
    <w:rsid w:val="00A1318E"/>
    <w:rsid w:val="00A131B4"/>
    <w:rsid w:val="00A13429"/>
    <w:rsid w:val="00A13783"/>
    <w:rsid w:val="00A139DE"/>
    <w:rsid w:val="00A13D14"/>
    <w:rsid w:val="00A141DE"/>
    <w:rsid w:val="00A1456F"/>
    <w:rsid w:val="00A14B5D"/>
    <w:rsid w:val="00A15789"/>
    <w:rsid w:val="00A1578B"/>
    <w:rsid w:val="00A166E9"/>
    <w:rsid w:val="00A167E7"/>
    <w:rsid w:val="00A16A20"/>
    <w:rsid w:val="00A16DFD"/>
    <w:rsid w:val="00A207E8"/>
    <w:rsid w:val="00A209E8"/>
    <w:rsid w:val="00A21961"/>
    <w:rsid w:val="00A23679"/>
    <w:rsid w:val="00A241AA"/>
    <w:rsid w:val="00A25C51"/>
    <w:rsid w:val="00A2650C"/>
    <w:rsid w:val="00A27017"/>
    <w:rsid w:val="00A27626"/>
    <w:rsid w:val="00A27831"/>
    <w:rsid w:val="00A27DDC"/>
    <w:rsid w:val="00A32181"/>
    <w:rsid w:val="00A322B5"/>
    <w:rsid w:val="00A32A95"/>
    <w:rsid w:val="00A32DDF"/>
    <w:rsid w:val="00A33F2D"/>
    <w:rsid w:val="00A3445C"/>
    <w:rsid w:val="00A353EE"/>
    <w:rsid w:val="00A362A2"/>
    <w:rsid w:val="00A36E78"/>
    <w:rsid w:val="00A40327"/>
    <w:rsid w:val="00A407E6"/>
    <w:rsid w:val="00A4213E"/>
    <w:rsid w:val="00A42B26"/>
    <w:rsid w:val="00A4311C"/>
    <w:rsid w:val="00A43136"/>
    <w:rsid w:val="00A4398C"/>
    <w:rsid w:val="00A452DB"/>
    <w:rsid w:val="00A46757"/>
    <w:rsid w:val="00A47F5E"/>
    <w:rsid w:val="00A50679"/>
    <w:rsid w:val="00A506D0"/>
    <w:rsid w:val="00A5304C"/>
    <w:rsid w:val="00A5437B"/>
    <w:rsid w:val="00A5596F"/>
    <w:rsid w:val="00A55998"/>
    <w:rsid w:val="00A55F16"/>
    <w:rsid w:val="00A56774"/>
    <w:rsid w:val="00A567AE"/>
    <w:rsid w:val="00A6041A"/>
    <w:rsid w:val="00A61DB5"/>
    <w:rsid w:val="00A61E5E"/>
    <w:rsid w:val="00A61F00"/>
    <w:rsid w:val="00A631DF"/>
    <w:rsid w:val="00A63D50"/>
    <w:rsid w:val="00A64FDC"/>
    <w:rsid w:val="00A674A4"/>
    <w:rsid w:val="00A679BA"/>
    <w:rsid w:val="00A67F6D"/>
    <w:rsid w:val="00A702B6"/>
    <w:rsid w:val="00A71381"/>
    <w:rsid w:val="00A715BE"/>
    <w:rsid w:val="00A7237E"/>
    <w:rsid w:val="00A7339A"/>
    <w:rsid w:val="00A74327"/>
    <w:rsid w:val="00A7613B"/>
    <w:rsid w:val="00A76649"/>
    <w:rsid w:val="00A767DD"/>
    <w:rsid w:val="00A76BEC"/>
    <w:rsid w:val="00A77AA6"/>
    <w:rsid w:val="00A77E02"/>
    <w:rsid w:val="00A81B11"/>
    <w:rsid w:val="00A81B27"/>
    <w:rsid w:val="00A81BA9"/>
    <w:rsid w:val="00A81DE2"/>
    <w:rsid w:val="00A82B9D"/>
    <w:rsid w:val="00A82CE0"/>
    <w:rsid w:val="00A835B7"/>
    <w:rsid w:val="00A83A71"/>
    <w:rsid w:val="00A8416C"/>
    <w:rsid w:val="00A84AB4"/>
    <w:rsid w:val="00A85840"/>
    <w:rsid w:val="00A866EE"/>
    <w:rsid w:val="00A86D41"/>
    <w:rsid w:val="00A86D62"/>
    <w:rsid w:val="00A879DE"/>
    <w:rsid w:val="00A87DFD"/>
    <w:rsid w:val="00A87EFE"/>
    <w:rsid w:val="00A90B15"/>
    <w:rsid w:val="00A91ADC"/>
    <w:rsid w:val="00A92666"/>
    <w:rsid w:val="00A93278"/>
    <w:rsid w:val="00A934B9"/>
    <w:rsid w:val="00A9383F"/>
    <w:rsid w:val="00A93FEB"/>
    <w:rsid w:val="00A95386"/>
    <w:rsid w:val="00A960CC"/>
    <w:rsid w:val="00A960F4"/>
    <w:rsid w:val="00A970BD"/>
    <w:rsid w:val="00A9773F"/>
    <w:rsid w:val="00A977AA"/>
    <w:rsid w:val="00A97D03"/>
    <w:rsid w:val="00AA0919"/>
    <w:rsid w:val="00AA0C06"/>
    <w:rsid w:val="00AA11BE"/>
    <w:rsid w:val="00AA12BE"/>
    <w:rsid w:val="00AA1A75"/>
    <w:rsid w:val="00AA1E41"/>
    <w:rsid w:val="00AA21B9"/>
    <w:rsid w:val="00AA380C"/>
    <w:rsid w:val="00AA4384"/>
    <w:rsid w:val="00AA4968"/>
    <w:rsid w:val="00AA4CB1"/>
    <w:rsid w:val="00AA4E10"/>
    <w:rsid w:val="00AA5814"/>
    <w:rsid w:val="00AA58A4"/>
    <w:rsid w:val="00AA66D7"/>
    <w:rsid w:val="00AA7A54"/>
    <w:rsid w:val="00AB055F"/>
    <w:rsid w:val="00AB064B"/>
    <w:rsid w:val="00AB24AE"/>
    <w:rsid w:val="00AB255A"/>
    <w:rsid w:val="00AB2756"/>
    <w:rsid w:val="00AB2766"/>
    <w:rsid w:val="00AB2921"/>
    <w:rsid w:val="00AB3044"/>
    <w:rsid w:val="00AB3536"/>
    <w:rsid w:val="00AB48FB"/>
    <w:rsid w:val="00AB4A65"/>
    <w:rsid w:val="00AB789D"/>
    <w:rsid w:val="00AB7D08"/>
    <w:rsid w:val="00AC022D"/>
    <w:rsid w:val="00AC030A"/>
    <w:rsid w:val="00AC058B"/>
    <w:rsid w:val="00AC0D70"/>
    <w:rsid w:val="00AC20B9"/>
    <w:rsid w:val="00AC2AF0"/>
    <w:rsid w:val="00AC49DF"/>
    <w:rsid w:val="00AC4C26"/>
    <w:rsid w:val="00AC4C91"/>
    <w:rsid w:val="00AC53AB"/>
    <w:rsid w:val="00AC5A61"/>
    <w:rsid w:val="00AC5B2D"/>
    <w:rsid w:val="00AC649B"/>
    <w:rsid w:val="00AC6CA1"/>
    <w:rsid w:val="00AD03E9"/>
    <w:rsid w:val="00AD1897"/>
    <w:rsid w:val="00AD247E"/>
    <w:rsid w:val="00AD27A1"/>
    <w:rsid w:val="00AD28E8"/>
    <w:rsid w:val="00AD36CF"/>
    <w:rsid w:val="00AD5226"/>
    <w:rsid w:val="00AD6E8A"/>
    <w:rsid w:val="00AE09FF"/>
    <w:rsid w:val="00AE10FC"/>
    <w:rsid w:val="00AE17BF"/>
    <w:rsid w:val="00AE40D5"/>
    <w:rsid w:val="00AE426E"/>
    <w:rsid w:val="00AE6751"/>
    <w:rsid w:val="00AE6F05"/>
    <w:rsid w:val="00AE7F3C"/>
    <w:rsid w:val="00AE7FDE"/>
    <w:rsid w:val="00AF0738"/>
    <w:rsid w:val="00AF0956"/>
    <w:rsid w:val="00AF1865"/>
    <w:rsid w:val="00AF29DD"/>
    <w:rsid w:val="00AF2B19"/>
    <w:rsid w:val="00AF2C06"/>
    <w:rsid w:val="00AF30D8"/>
    <w:rsid w:val="00AF310A"/>
    <w:rsid w:val="00AF49FA"/>
    <w:rsid w:val="00AF55E4"/>
    <w:rsid w:val="00AF5812"/>
    <w:rsid w:val="00AF606D"/>
    <w:rsid w:val="00AF6508"/>
    <w:rsid w:val="00AF68C1"/>
    <w:rsid w:val="00AF7EBA"/>
    <w:rsid w:val="00B00C52"/>
    <w:rsid w:val="00B00DE9"/>
    <w:rsid w:val="00B0141F"/>
    <w:rsid w:val="00B01601"/>
    <w:rsid w:val="00B01770"/>
    <w:rsid w:val="00B0372C"/>
    <w:rsid w:val="00B0441C"/>
    <w:rsid w:val="00B04799"/>
    <w:rsid w:val="00B05239"/>
    <w:rsid w:val="00B0539F"/>
    <w:rsid w:val="00B0579F"/>
    <w:rsid w:val="00B05D25"/>
    <w:rsid w:val="00B07B61"/>
    <w:rsid w:val="00B07B9C"/>
    <w:rsid w:val="00B10E66"/>
    <w:rsid w:val="00B13669"/>
    <w:rsid w:val="00B13880"/>
    <w:rsid w:val="00B14B43"/>
    <w:rsid w:val="00B155A3"/>
    <w:rsid w:val="00B17E53"/>
    <w:rsid w:val="00B203B1"/>
    <w:rsid w:val="00B20D36"/>
    <w:rsid w:val="00B20F6D"/>
    <w:rsid w:val="00B20FD8"/>
    <w:rsid w:val="00B214FA"/>
    <w:rsid w:val="00B21D4C"/>
    <w:rsid w:val="00B23303"/>
    <w:rsid w:val="00B236E2"/>
    <w:rsid w:val="00B23A9A"/>
    <w:rsid w:val="00B23CEA"/>
    <w:rsid w:val="00B24F4B"/>
    <w:rsid w:val="00B25324"/>
    <w:rsid w:val="00B26929"/>
    <w:rsid w:val="00B270AA"/>
    <w:rsid w:val="00B277EF"/>
    <w:rsid w:val="00B312D1"/>
    <w:rsid w:val="00B31976"/>
    <w:rsid w:val="00B31B72"/>
    <w:rsid w:val="00B326FF"/>
    <w:rsid w:val="00B3328E"/>
    <w:rsid w:val="00B34C8D"/>
    <w:rsid w:val="00B354A2"/>
    <w:rsid w:val="00B35638"/>
    <w:rsid w:val="00B35672"/>
    <w:rsid w:val="00B356EE"/>
    <w:rsid w:val="00B412D2"/>
    <w:rsid w:val="00B41FB0"/>
    <w:rsid w:val="00B4284B"/>
    <w:rsid w:val="00B436B4"/>
    <w:rsid w:val="00B44277"/>
    <w:rsid w:val="00B45904"/>
    <w:rsid w:val="00B45F4C"/>
    <w:rsid w:val="00B46096"/>
    <w:rsid w:val="00B46305"/>
    <w:rsid w:val="00B47915"/>
    <w:rsid w:val="00B47E09"/>
    <w:rsid w:val="00B47F9A"/>
    <w:rsid w:val="00B50AC9"/>
    <w:rsid w:val="00B51717"/>
    <w:rsid w:val="00B51F37"/>
    <w:rsid w:val="00B53440"/>
    <w:rsid w:val="00B53CBC"/>
    <w:rsid w:val="00B53EA9"/>
    <w:rsid w:val="00B540FE"/>
    <w:rsid w:val="00B54B75"/>
    <w:rsid w:val="00B55297"/>
    <w:rsid w:val="00B56629"/>
    <w:rsid w:val="00B5693E"/>
    <w:rsid w:val="00B56A1E"/>
    <w:rsid w:val="00B5714A"/>
    <w:rsid w:val="00B573D7"/>
    <w:rsid w:val="00B57AE0"/>
    <w:rsid w:val="00B60177"/>
    <w:rsid w:val="00B609EF"/>
    <w:rsid w:val="00B60FEA"/>
    <w:rsid w:val="00B617F9"/>
    <w:rsid w:val="00B61D32"/>
    <w:rsid w:val="00B622B4"/>
    <w:rsid w:val="00B63632"/>
    <w:rsid w:val="00B63C7F"/>
    <w:rsid w:val="00B64A9F"/>
    <w:rsid w:val="00B64BC0"/>
    <w:rsid w:val="00B64FA8"/>
    <w:rsid w:val="00B659DE"/>
    <w:rsid w:val="00B659E6"/>
    <w:rsid w:val="00B66A4A"/>
    <w:rsid w:val="00B67D44"/>
    <w:rsid w:val="00B67EA7"/>
    <w:rsid w:val="00B70217"/>
    <w:rsid w:val="00B70ED6"/>
    <w:rsid w:val="00B70FA6"/>
    <w:rsid w:val="00B71439"/>
    <w:rsid w:val="00B71CA8"/>
    <w:rsid w:val="00B7382A"/>
    <w:rsid w:val="00B73FD7"/>
    <w:rsid w:val="00B7499E"/>
    <w:rsid w:val="00B74AC0"/>
    <w:rsid w:val="00B74E4D"/>
    <w:rsid w:val="00B76804"/>
    <w:rsid w:val="00B76BA4"/>
    <w:rsid w:val="00B821AA"/>
    <w:rsid w:val="00B83FE5"/>
    <w:rsid w:val="00B84692"/>
    <w:rsid w:val="00B860EE"/>
    <w:rsid w:val="00B86601"/>
    <w:rsid w:val="00B86760"/>
    <w:rsid w:val="00B87373"/>
    <w:rsid w:val="00B87685"/>
    <w:rsid w:val="00B87C10"/>
    <w:rsid w:val="00B90482"/>
    <w:rsid w:val="00B91DCB"/>
    <w:rsid w:val="00B92342"/>
    <w:rsid w:val="00B9266E"/>
    <w:rsid w:val="00B93344"/>
    <w:rsid w:val="00B93FE6"/>
    <w:rsid w:val="00B95190"/>
    <w:rsid w:val="00B955DA"/>
    <w:rsid w:val="00B959C9"/>
    <w:rsid w:val="00B95BC1"/>
    <w:rsid w:val="00B95C6C"/>
    <w:rsid w:val="00B974CF"/>
    <w:rsid w:val="00BA06ED"/>
    <w:rsid w:val="00BA0A87"/>
    <w:rsid w:val="00BA13CE"/>
    <w:rsid w:val="00BA1642"/>
    <w:rsid w:val="00BA22F8"/>
    <w:rsid w:val="00BA2379"/>
    <w:rsid w:val="00BA278B"/>
    <w:rsid w:val="00BA3057"/>
    <w:rsid w:val="00BA3FE3"/>
    <w:rsid w:val="00BA4397"/>
    <w:rsid w:val="00BA648E"/>
    <w:rsid w:val="00BB049F"/>
    <w:rsid w:val="00BB15CB"/>
    <w:rsid w:val="00BB15E0"/>
    <w:rsid w:val="00BB2AE9"/>
    <w:rsid w:val="00BB2F41"/>
    <w:rsid w:val="00BB3205"/>
    <w:rsid w:val="00BB5139"/>
    <w:rsid w:val="00BB58F0"/>
    <w:rsid w:val="00BB67E9"/>
    <w:rsid w:val="00BC0719"/>
    <w:rsid w:val="00BC09EC"/>
    <w:rsid w:val="00BC193B"/>
    <w:rsid w:val="00BC333E"/>
    <w:rsid w:val="00BC62A9"/>
    <w:rsid w:val="00BC760B"/>
    <w:rsid w:val="00BC7FB4"/>
    <w:rsid w:val="00BD0705"/>
    <w:rsid w:val="00BD0711"/>
    <w:rsid w:val="00BD081E"/>
    <w:rsid w:val="00BD0F24"/>
    <w:rsid w:val="00BD1745"/>
    <w:rsid w:val="00BD2AD2"/>
    <w:rsid w:val="00BD411D"/>
    <w:rsid w:val="00BD4EB7"/>
    <w:rsid w:val="00BD5598"/>
    <w:rsid w:val="00BD576F"/>
    <w:rsid w:val="00BD61F1"/>
    <w:rsid w:val="00BD6EC7"/>
    <w:rsid w:val="00BD718F"/>
    <w:rsid w:val="00BD7F04"/>
    <w:rsid w:val="00BE06E3"/>
    <w:rsid w:val="00BE0B52"/>
    <w:rsid w:val="00BE17C2"/>
    <w:rsid w:val="00BE3D96"/>
    <w:rsid w:val="00BE4F27"/>
    <w:rsid w:val="00BE576D"/>
    <w:rsid w:val="00BE6031"/>
    <w:rsid w:val="00BE665A"/>
    <w:rsid w:val="00BE70D2"/>
    <w:rsid w:val="00BE711B"/>
    <w:rsid w:val="00BE737F"/>
    <w:rsid w:val="00BE7B25"/>
    <w:rsid w:val="00BE7D0B"/>
    <w:rsid w:val="00BF052A"/>
    <w:rsid w:val="00BF2AAE"/>
    <w:rsid w:val="00BF305D"/>
    <w:rsid w:val="00BF31CF"/>
    <w:rsid w:val="00BF3581"/>
    <w:rsid w:val="00BF45B5"/>
    <w:rsid w:val="00BF47B2"/>
    <w:rsid w:val="00BF5D5B"/>
    <w:rsid w:val="00BF618C"/>
    <w:rsid w:val="00BF63DB"/>
    <w:rsid w:val="00C01444"/>
    <w:rsid w:val="00C022C7"/>
    <w:rsid w:val="00C024B4"/>
    <w:rsid w:val="00C03C5A"/>
    <w:rsid w:val="00C047A3"/>
    <w:rsid w:val="00C04CC7"/>
    <w:rsid w:val="00C0564A"/>
    <w:rsid w:val="00C076B2"/>
    <w:rsid w:val="00C07999"/>
    <w:rsid w:val="00C07AD5"/>
    <w:rsid w:val="00C07BEA"/>
    <w:rsid w:val="00C07E7E"/>
    <w:rsid w:val="00C10321"/>
    <w:rsid w:val="00C10685"/>
    <w:rsid w:val="00C10AE5"/>
    <w:rsid w:val="00C11444"/>
    <w:rsid w:val="00C11861"/>
    <w:rsid w:val="00C11C72"/>
    <w:rsid w:val="00C13635"/>
    <w:rsid w:val="00C13CD8"/>
    <w:rsid w:val="00C1547A"/>
    <w:rsid w:val="00C15C97"/>
    <w:rsid w:val="00C1656B"/>
    <w:rsid w:val="00C1659D"/>
    <w:rsid w:val="00C16867"/>
    <w:rsid w:val="00C175D4"/>
    <w:rsid w:val="00C207A7"/>
    <w:rsid w:val="00C20881"/>
    <w:rsid w:val="00C20AA3"/>
    <w:rsid w:val="00C20B65"/>
    <w:rsid w:val="00C20EFD"/>
    <w:rsid w:val="00C218FD"/>
    <w:rsid w:val="00C222BA"/>
    <w:rsid w:val="00C245AB"/>
    <w:rsid w:val="00C247D4"/>
    <w:rsid w:val="00C25156"/>
    <w:rsid w:val="00C25819"/>
    <w:rsid w:val="00C25DE6"/>
    <w:rsid w:val="00C260BC"/>
    <w:rsid w:val="00C26F57"/>
    <w:rsid w:val="00C279CB"/>
    <w:rsid w:val="00C27F09"/>
    <w:rsid w:val="00C30BE3"/>
    <w:rsid w:val="00C31566"/>
    <w:rsid w:val="00C3251C"/>
    <w:rsid w:val="00C32B8F"/>
    <w:rsid w:val="00C33E1A"/>
    <w:rsid w:val="00C340B4"/>
    <w:rsid w:val="00C3459D"/>
    <w:rsid w:val="00C400CC"/>
    <w:rsid w:val="00C403FD"/>
    <w:rsid w:val="00C41051"/>
    <w:rsid w:val="00C4458E"/>
    <w:rsid w:val="00C4462D"/>
    <w:rsid w:val="00C44CA9"/>
    <w:rsid w:val="00C4569A"/>
    <w:rsid w:val="00C46E76"/>
    <w:rsid w:val="00C47543"/>
    <w:rsid w:val="00C50140"/>
    <w:rsid w:val="00C503FE"/>
    <w:rsid w:val="00C51603"/>
    <w:rsid w:val="00C51609"/>
    <w:rsid w:val="00C521D6"/>
    <w:rsid w:val="00C521E0"/>
    <w:rsid w:val="00C529E3"/>
    <w:rsid w:val="00C53227"/>
    <w:rsid w:val="00C53A3F"/>
    <w:rsid w:val="00C549EF"/>
    <w:rsid w:val="00C54AFD"/>
    <w:rsid w:val="00C54D0E"/>
    <w:rsid w:val="00C56452"/>
    <w:rsid w:val="00C57A91"/>
    <w:rsid w:val="00C600EF"/>
    <w:rsid w:val="00C602B4"/>
    <w:rsid w:val="00C63153"/>
    <w:rsid w:val="00C63D8A"/>
    <w:rsid w:val="00C64EE0"/>
    <w:rsid w:val="00C668BB"/>
    <w:rsid w:val="00C66A16"/>
    <w:rsid w:val="00C66C15"/>
    <w:rsid w:val="00C66F40"/>
    <w:rsid w:val="00C67C09"/>
    <w:rsid w:val="00C7136A"/>
    <w:rsid w:val="00C71C24"/>
    <w:rsid w:val="00C71DAD"/>
    <w:rsid w:val="00C7381D"/>
    <w:rsid w:val="00C73964"/>
    <w:rsid w:val="00C73BC8"/>
    <w:rsid w:val="00C73E31"/>
    <w:rsid w:val="00C74E96"/>
    <w:rsid w:val="00C766B6"/>
    <w:rsid w:val="00C76DE3"/>
    <w:rsid w:val="00C81D19"/>
    <w:rsid w:val="00C81E01"/>
    <w:rsid w:val="00C829A4"/>
    <w:rsid w:val="00C82A67"/>
    <w:rsid w:val="00C83BAF"/>
    <w:rsid w:val="00C83CD9"/>
    <w:rsid w:val="00C8410D"/>
    <w:rsid w:val="00C84130"/>
    <w:rsid w:val="00C846A4"/>
    <w:rsid w:val="00C85308"/>
    <w:rsid w:val="00C872B7"/>
    <w:rsid w:val="00C87CA1"/>
    <w:rsid w:val="00C918B4"/>
    <w:rsid w:val="00C91DB7"/>
    <w:rsid w:val="00C91EFE"/>
    <w:rsid w:val="00C92428"/>
    <w:rsid w:val="00C92BDB"/>
    <w:rsid w:val="00C92C21"/>
    <w:rsid w:val="00C946B2"/>
    <w:rsid w:val="00C948EB"/>
    <w:rsid w:val="00C94F4E"/>
    <w:rsid w:val="00C95924"/>
    <w:rsid w:val="00C95D68"/>
    <w:rsid w:val="00C95DB3"/>
    <w:rsid w:val="00C96658"/>
    <w:rsid w:val="00C974B6"/>
    <w:rsid w:val="00C97E90"/>
    <w:rsid w:val="00CA00B1"/>
    <w:rsid w:val="00CA2383"/>
    <w:rsid w:val="00CA2D52"/>
    <w:rsid w:val="00CA38F0"/>
    <w:rsid w:val="00CA3BB4"/>
    <w:rsid w:val="00CA5426"/>
    <w:rsid w:val="00CA5D19"/>
    <w:rsid w:val="00CA5E1A"/>
    <w:rsid w:val="00CA5EAC"/>
    <w:rsid w:val="00CA60F9"/>
    <w:rsid w:val="00CA6304"/>
    <w:rsid w:val="00CA695E"/>
    <w:rsid w:val="00CA76A9"/>
    <w:rsid w:val="00CA795C"/>
    <w:rsid w:val="00CB0DA9"/>
    <w:rsid w:val="00CB1340"/>
    <w:rsid w:val="00CB3AEF"/>
    <w:rsid w:val="00CB4B28"/>
    <w:rsid w:val="00CB4BCA"/>
    <w:rsid w:val="00CB4E55"/>
    <w:rsid w:val="00CB4F6D"/>
    <w:rsid w:val="00CB5514"/>
    <w:rsid w:val="00CB5CAB"/>
    <w:rsid w:val="00CB65F8"/>
    <w:rsid w:val="00CB6C6A"/>
    <w:rsid w:val="00CB6CE7"/>
    <w:rsid w:val="00CC11C5"/>
    <w:rsid w:val="00CC1360"/>
    <w:rsid w:val="00CC14E8"/>
    <w:rsid w:val="00CC21C5"/>
    <w:rsid w:val="00CC2B22"/>
    <w:rsid w:val="00CC2BD7"/>
    <w:rsid w:val="00CC2F8D"/>
    <w:rsid w:val="00CC2FC8"/>
    <w:rsid w:val="00CC3068"/>
    <w:rsid w:val="00CC52C9"/>
    <w:rsid w:val="00CC55B0"/>
    <w:rsid w:val="00CC566D"/>
    <w:rsid w:val="00CC56C0"/>
    <w:rsid w:val="00CC5959"/>
    <w:rsid w:val="00CC5C2E"/>
    <w:rsid w:val="00CD0D2A"/>
    <w:rsid w:val="00CD0D53"/>
    <w:rsid w:val="00CD109D"/>
    <w:rsid w:val="00CD26AA"/>
    <w:rsid w:val="00CD2C9E"/>
    <w:rsid w:val="00CD32D9"/>
    <w:rsid w:val="00CD39B7"/>
    <w:rsid w:val="00CD3A68"/>
    <w:rsid w:val="00CD4734"/>
    <w:rsid w:val="00CD4EDE"/>
    <w:rsid w:val="00CD52CA"/>
    <w:rsid w:val="00CD57CA"/>
    <w:rsid w:val="00CD57D1"/>
    <w:rsid w:val="00CD7210"/>
    <w:rsid w:val="00CD78FB"/>
    <w:rsid w:val="00CE05EF"/>
    <w:rsid w:val="00CE178B"/>
    <w:rsid w:val="00CE2974"/>
    <w:rsid w:val="00CE3143"/>
    <w:rsid w:val="00CE3A33"/>
    <w:rsid w:val="00CE4508"/>
    <w:rsid w:val="00CE5648"/>
    <w:rsid w:val="00CE671B"/>
    <w:rsid w:val="00CE7FAF"/>
    <w:rsid w:val="00CF21C5"/>
    <w:rsid w:val="00CF220F"/>
    <w:rsid w:val="00CF2759"/>
    <w:rsid w:val="00CF373A"/>
    <w:rsid w:val="00CF459C"/>
    <w:rsid w:val="00CF4E13"/>
    <w:rsid w:val="00CF5874"/>
    <w:rsid w:val="00CF6BC9"/>
    <w:rsid w:val="00D00374"/>
    <w:rsid w:val="00D00522"/>
    <w:rsid w:val="00D02248"/>
    <w:rsid w:val="00D0235D"/>
    <w:rsid w:val="00D0254B"/>
    <w:rsid w:val="00D028D8"/>
    <w:rsid w:val="00D0345A"/>
    <w:rsid w:val="00D03F9E"/>
    <w:rsid w:val="00D04DE2"/>
    <w:rsid w:val="00D061FB"/>
    <w:rsid w:val="00D073E7"/>
    <w:rsid w:val="00D079A9"/>
    <w:rsid w:val="00D11B8E"/>
    <w:rsid w:val="00D127FA"/>
    <w:rsid w:val="00D12BC2"/>
    <w:rsid w:val="00D155DD"/>
    <w:rsid w:val="00D15951"/>
    <w:rsid w:val="00D15D55"/>
    <w:rsid w:val="00D16074"/>
    <w:rsid w:val="00D16A0C"/>
    <w:rsid w:val="00D1716E"/>
    <w:rsid w:val="00D174D4"/>
    <w:rsid w:val="00D175EE"/>
    <w:rsid w:val="00D17A04"/>
    <w:rsid w:val="00D17C0B"/>
    <w:rsid w:val="00D208CA"/>
    <w:rsid w:val="00D20917"/>
    <w:rsid w:val="00D22063"/>
    <w:rsid w:val="00D22490"/>
    <w:rsid w:val="00D23E51"/>
    <w:rsid w:val="00D24867"/>
    <w:rsid w:val="00D24B05"/>
    <w:rsid w:val="00D25E42"/>
    <w:rsid w:val="00D26BE6"/>
    <w:rsid w:val="00D26F0E"/>
    <w:rsid w:val="00D27485"/>
    <w:rsid w:val="00D30861"/>
    <w:rsid w:val="00D32469"/>
    <w:rsid w:val="00D32D47"/>
    <w:rsid w:val="00D340DE"/>
    <w:rsid w:val="00D345D9"/>
    <w:rsid w:val="00D34757"/>
    <w:rsid w:val="00D361C5"/>
    <w:rsid w:val="00D3699E"/>
    <w:rsid w:val="00D36F58"/>
    <w:rsid w:val="00D37A1C"/>
    <w:rsid w:val="00D37EEF"/>
    <w:rsid w:val="00D4001A"/>
    <w:rsid w:val="00D408EE"/>
    <w:rsid w:val="00D437F9"/>
    <w:rsid w:val="00D439F9"/>
    <w:rsid w:val="00D44AEC"/>
    <w:rsid w:val="00D4503E"/>
    <w:rsid w:val="00D451BF"/>
    <w:rsid w:val="00D4540F"/>
    <w:rsid w:val="00D45B7F"/>
    <w:rsid w:val="00D4643B"/>
    <w:rsid w:val="00D46668"/>
    <w:rsid w:val="00D505F7"/>
    <w:rsid w:val="00D508B6"/>
    <w:rsid w:val="00D5099B"/>
    <w:rsid w:val="00D50C9E"/>
    <w:rsid w:val="00D50D9F"/>
    <w:rsid w:val="00D51D18"/>
    <w:rsid w:val="00D52D15"/>
    <w:rsid w:val="00D53A7B"/>
    <w:rsid w:val="00D564E7"/>
    <w:rsid w:val="00D60EB4"/>
    <w:rsid w:val="00D615B6"/>
    <w:rsid w:val="00D61854"/>
    <w:rsid w:val="00D61F40"/>
    <w:rsid w:val="00D621E9"/>
    <w:rsid w:val="00D64D89"/>
    <w:rsid w:val="00D65B68"/>
    <w:rsid w:val="00D65DD8"/>
    <w:rsid w:val="00D66EAC"/>
    <w:rsid w:val="00D675D3"/>
    <w:rsid w:val="00D67C39"/>
    <w:rsid w:val="00D7005A"/>
    <w:rsid w:val="00D709A9"/>
    <w:rsid w:val="00D71096"/>
    <w:rsid w:val="00D71E22"/>
    <w:rsid w:val="00D7221D"/>
    <w:rsid w:val="00D73540"/>
    <w:rsid w:val="00D73A05"/>
    <w:rsid w:val="00D73DAD"/>
    <w:rsid w:val="00D73FB9"/>
    <w:rsid w:val="00D7446C"/>
    <w:rsid w:val="00D74AE2"/>
    <w:rsid w:val="00D74BBD"/>
    <w:rsid w:val="00D74F32"/>
    <w:rsid w:val="00D7502A"/>
    <w:rsid w:val="00D7565C"/>
    <w:rsid w:val="00D758D4"/>
    <w:rsid w:val="00D76538"/>
    <w:rsid w:val="00D776AE"/>
    <w:rsid w:val="00D77A17"/>
    <w:rsid w:val="00D808A4"/>
    <w:rsid w:val="00D8153F"/>
    <w:rsid w:val="00D816C9"/>
    <w:rsid w:val="00D82332"/>
    <w:rsid w:val="00D82A5E"/>
    <w:rsid w:val="00D834AC"/>
    <w:rsid w:val="00D83D1F"/>
    <w:rsid w:val="00D8494A"/>
    <w:rsid w:val="00D8561F"/>
    <w:rsid w:val="00D86725"/>
    <w:rsid w:val="00D87459"/>
    <w:rsid w:val="00D87BA6"/>
    <w:rsid w:val="00D903EB"/>
    <w:rsid w:val="00D90457"/>
    <w:rsid w:val="00D9047D"/>
    <w:rsid w:val="00D90720"/>
    <w:rsid w:val="00D907AD"/>
    <w:rsid w:val="00D9082A"/>
    <w:rsid w:val="00D91E48"/>
    <w:rsid w:val="00D92712"/>
    <w:rsid w:val="00D92D16"/>
    <w:rsid w:val="00D93894"/>
    <w:rsid w:val="00D93905"/>
    <w:rsid w:val="00D95265"/>
    <w:rsid w:val="00D957CA"/>
    <w:rsid w:val="00DA0B5A"/>
    <w:rsid w:val="00DA0FC8"/>
    <w:rsid w:val="00DA156C"/>
    <w:rsid w:val="00DA1FB5"/>
    <w:rsid w:val="00DA1FD9"/>
    <w:rsid w:val="00DA28AA"/>
    <w:rsid w:val="00DA2C46"/>
    <w:rsid w:val="00DA2D72"/>
    <w:rsid w:val="00DA3B02"/>
    <w:rsid w:val="00DA55A7"/>
    <w:rsid w:val="00DA5967"/>
    <w:rsid w:val="00DA5BCA"/>
    <w:rsid w:val="00DA65A7"/>
    <w:rsid w:val="00DA7649"/>
    <w:rsid w:val="00DA7BCB"/>
    <w:rsid w:val="00DB11B7"/>
    <w:rsid w:val="00DB13E9"/>
    <w:rsid w:val="00DB2892"/>
    <w:rsid w:val="00DB34AD"/>
    <w:rsid w:val="00DB3CB8"/>
    <w:rsid w:val="00DB4634"/>
    <w:rsid w:val="00DB51DE"/>
    <w:rsid w:val="00DB525D"/>
    <w:rsid w:val="00DB549E"/>
    <w:rsid w:val="00DB5A37"/>
    <w:rsid w:val="00DB5DF6"/>
    <w:rsid w:val="00DB6B4A"/>
    <w:rsid w:val="00DC0B30"/>
    <w:rsid w:val="00DC1105"/>
    <w:rsid w:val="00DC1F50"/>
    <w:rsid w:val="00DC25BF"/>
    <w:rsid w:val="00DC3236"/>
    <w:rsid w:val="00DC3DB0"/>
    <w:rsid w:val="00DC4E7F"/>
    <w:rsid w:val="00DC5494"/>
    <w:rsid w:val="00DC5ACF"/>
    <w:rsid w:val="00DC5E4F"/>
    <w:rsid w:val="00DC6BE0"/>
    <w:rsid w:val="00DC6E22"/>
    <w:rsid w:val="00DC6FBC"/>
    <w:rsid w:val="00DC7C3C"/>
    <w:rsid w:val="00DD056B"/>
    <w:rsid w:val="00DD09C3"/>
    <w:rsid w:val="00DD0FD1"/>
    <w:rsid w:val="00DD1127"/>
    <w:rsid w:val="00DD168C"/>
    <w:rsid w:val="00DD2186"/>
    <w:rsid w:val="00DD2207"/>
    <w:rsid w:val="00DD30F0"/>
    <w:rsid w:val="00DD48BA"/>
    <w:rsid w:val="00DD5E05"/>
    <w:rsid w:val="00DD7A4D"/>
    <w:rsid w:val="00DE1F4D"/>
    <w:rsid w:val="00DE2BAE"/>
    <w:rsid w:val="00DE2CE1"/>
    <w:rsid w:val="00DE39DD"/>
    <w:rsid w:val="00DE3D77"/>
    <w:rsid w:val="00DE5F55"/>
    <w:rsid w:val="00DE63E6"/>
    <w:rsid w:val="00DE7352"/>
    <w:rsid w:val="00DE7782"/>
    <w:rsid w:val="00DE797D"/>
    <w:rsid w:val="00DE7A6E"/>
    <w:rsid w:val="00DE7C7B"/>
    <w:rsid w:val="00DF00A9"/>
    <w:rsid w:val="00DF09A9"/>
    <w:rsid w:val="00DF175C"/>
    <w:rsid w:val="00DF24F5"/>
    <w:rsid w:val="00DF329E"/>
    <w:rsid w:val="00DF4C7F"/>
    <w:rsid w:val="00DF58B4"/>
    <w:rsid w:val="00DF6DBD"/>
    <w:rsid w:val="00DF7ADD"/>
    <w:rsid w:val="00E010FD"/>
    <w:rsid w:val="00E01EE4"/>
    <w:rsid w:val="00E04C6D"/>
    <w:rsid w:val="00E05EF6"/>
    <w:rsid w:val="00E06C2E"/>
    <w:rsid w:val="00E07983"/>
    <w:rsid w:val="00E110EF"/>
    <w:rsid w:val="00E12689"/>
    <w:rsid w:val="00E13019"/>
    <w:rsid w:val="00E13D28"/>
    <w:rsid w:val="00E14AA0"/>
    <w:rsid w:val="00E15587"/>
    <w:rsid w:val="00E15E66"/>
    <w:rsid w:val="00E164CA"/>
    <w:rsid w:val="00E168F4"/>
    <w:rsid w:val="00E1706F"/>
    <w:rsid w:val="00E20657"/>
    <w:rsid w:val="00E223D8"/>
    <w:rsid w:val="00E225DA"/>
    <w:rsid w:val="00E229D9"/>
    <w:rsid w:val="00E25AEA"/>
    <w:rsid w:val="00E2696F"/>
    <w:rsid w:val="00E27B71"/>
    <w:rsid w:val="00E27CAF"/>
    <w:rsid w:val="00E27DC5"/>
    <w:rsid w:val="00E346F1"/>
    <w:rsid w:val="00E364F8"/>
    <w:rsid w:val="00E369F4"/>
    <w:rsid w:val="00E37DB2"/>
    <w:rsid w:val="00E4054B"/>
    <w:rsid w:val="00E427B6"/>
    <w:rsid w:val="00E43419"/>
    <w:rsid w:val="00E43F88"/>
    <w:rsid w:val="00E440EE"/>
    <w:rsid w:val="00E446E2"/>
    <w:rsid w:val="00E449BB"/>
    <w:rsid w:val="00E44AE0"/>
    <w:rsid w:val="00E44CAE"/>
    <w:rsid w:val="00E45131"/>
    <w:rsid w:val="00E45B27"/>
    <w:rsid w:val="00E45D4F"/>
    <w:rsid w:val="00E46820"/>
    <w:rsid w:val="00E46DE2"/>
    <w:rsid w:val="00E476B8"/>
    <w:rsid w:val="00E4772C"/>
    <w:rsid w:val="00E47792"/>
    <w:rsid w:val="00E50013"/>
    <w:rsid w:val="00E5002A"/>
    <w:rsid w:val="00E508B0"/>
    <w:rsid w:val="00E50BA2"/>
    <w:rsid w:val="00E5137E"/>
    <w:rsid w:val="00E51878"/>
    <w:rsid w:val="00E52513"/>
    <w:rsid w:val="00E52724"/>
    <w:rsid w:val="00E52E8B"/>
    <w:rsid w:val="00E53BDE"/>
    <w:rsid w:val="00E55033"/>
    <w:rsid w:val="00E55D46"/>
    <w:rsid w:val="00E56780"/>
    <w:rsid w:val="00E60228"/>
    <w:rsid w:val="00E60A1F"/>
    <w:rsid w:val="00E623B5"/>
    <w:rsid w:val="00E627D8"/>
    <w:rsid w:val="00E629A6"/>
    <w:rsid w:val="00E63F95"/>
    <w:rsid w:val="00E646D2"/>
    <w:rsid w:val="00E64A1D"/>
    <w:rsid w:val="00E64D8C"/>
    <w:rsid w:val="00E65B77"/>
    <w:rsid w:val="00E66012"/>
    <w:rsid w:val="00E66D59"/>
    <w:rsid w:val="00E66DD0"/>
    <w:rsid w:val="00E6734B"/>
    <w:rsid w:val="00E6752B"/>
    <w:rsid w:val="00E70DC2"/>
    <w:rsid w:val="00E73EAF"/>
    <w:rsid w:val="00E750C6"/>
    <w:rsid w:val="00E75928"/>
    <w:rsid w:val="00E75B65"/>
    <w:rsid w:val="00E75D9B"/>
    <w:rsid w:val="00E76482"/>
    <w:rsid w:val="00E76A98"/>
    <w:rsid w:val="00E805C3"/>
    <w:rsid w:val="00E81733"/>
    <w:rsid w:val="00E81AED"/>
    <w:rsid w:val="00E81B0F"/>
    <w:rsid w:val="00E81F9B"/>
    <w:rsid w:val="00E83712"/>
    <w:rsid w:val="00E837D0"/>
    <w:rsid w:val="00E853ED"/>
    <w:rsid w:val="00E857A0"/>
    <w:rsid w:val="00E85C64"/>
    <w:rsid w:val="00E86563"/>
    <w:rsid w:val="00E8726E"/>
    <w:rsid w:val="00E879A6"/>
    <w:rsid w:val="00E919F7"/>
    <w:rsid w:val="00E91BB9"/>
    <w:rsid w:val="00E91BD0"/>
    <w:rsid w:val="00E9292D"/>
    <w:rsid w:val="00E92ACF"/>
    <w:rsid w:val="00E92CF6"/>
    <w:rsid w:val="00E92D2C"/>
    <w:rsid w:val="00E9376D"/>
    <w:rsid w:val="00E9458E"/>
    <w:rsid w:val="00E94D87"/>
    <w:rsid w:val="00E961D9"/>
    <w:rsid w:val="00EA19A8"/>
    <w:rsid w:val="00EA36EE"/>
    <w:rsid w:val="00EA4801"/>
    <w:rsid w:val="00EA4A33"/>
    <w:rsid w:val="00EA50C3"/>
    <w:rsid w:val="00EA682C"/>
    <w:rsid w:val="00EA79D0"/>
    <w:rsid w:val="00EB0998"/>
    <w:rsid w:val="00EB140B"/>
    <w:rsid w:val="00EB24F6"/>
    <w:rsid w:val="00EB48CB"/>
    <w:rsid w:val="00EB5CB2"/>
    <w:rsid w:val="00EB5FF5"/>
    <w:rsid w:val="00EB64C2"/>
    <w:rsid w:val="00EB7B89"/>
    <w:rsid w:val="00EC07E2"/>
    <w:rsid w:val="00EC1526"/>
    <w:rsid w:val="00EC33FC"/>
    <w:rsid w:val="00EC347B"/>
    <w:rsid w:val="00EC3C95"/>
    <w:rsid w:val="00EC3CD3"/>
    <w:rsid w:val="00EC4B6A"/>
    <w:rsid w:val="00EC5B19"/>
    <w:rsid w:val="00EC73E0"/>
    <w:rsid w:val="00EC7630"/>
    <w:rsid w:val="00EC76B4"/>
    <w:rsid w:val="00EC7D7C"/>
    <w:rsid w:val="00EC7F45"/>
    <w:rsid w:val="00ED0E22"/>
    <w:rsid w:val="00ED15E2"/>
    <w:rsid w:val="00ED1AAA"/>
    <w:rsid w:val="00ED1F44"/>
    <w:rsid w:val="00ED21E4"/>
    <w:rsid w:val="00ED2387"/>
    <w:rsid w:val="00ED3F03"/>
    <w:rsid w:val="00ED435C"/>
    <w:rsid w:val="00ED5468"/>
    <w:rsid w:val="00ED549A"/>
    <w:rsid w:val="00ED79E4"/>
    <w:rsid w:val="00EE058C"/>
    <w:rsid w:val="00EE0ED6"/>
    <w:rsid w:val="00EE2105"/>
    <w:rsid w:val="00EE2398"/>
    <w:rsid w:val="00EE2809"/>
    <w:rsid w:val="00EE314C"/>
    <w:rsid w:val="00EE504A"/>
    <w:rsid w:val="00EE5483"/>
    <w:rsid w:val="00EF0A59"/>
    <w:rsid w:val="00EF1A99"/>
    <w:rsid w:val="00EF410C"/>
    <w:rsid w:val="00EF46D8"/>
    <w:rsid w:val="00EF5DCB"/>
    <w:rsid w:val="00EF661A"/>
    <w:rsid w:val="00EF75DB"/>
    <w:rsid w:val="00F0021A"/>
    <w:rsid w:val="00F0069D"/>
    <w:rsid w:val="00F01B72"/>
    <w:rsid w:val="00F0321D"/>
    <w:rsid w:val="00F0395C"/>
    <w:rsid w:val="00F04C5F"/>
    <w:rsid w:val="00F061C1"/>
    <w:rsid w:val="00F063F9"/>
    <w:rsid w:val="00F10D0F"/>
    <w:rsid w:val="00F115B1"/>
    <w:rsid w:val="00F12240"/>
    <w:rsid w:val="00F12A40"/>
    <w:rsid w:val="00F1404E"/>
    <w:rsid w:val="00F160FA"/>
    <w:rsid w:val="00F17252"/>
    <w:rsid w:val="00F17593"/>
    <w:rsid w:val="00F222FA"/>
    <w:rsid w:val="00F2233F"/>
    <w:rsid w:val="00F224B9"/>
    <w:rsid w:val="00F23866"/>
    <w:rsid w:val="00F256C3"/>
    <w:rsid w:val="00F258EC"/>
    <w:rsid w:val="00F25E5F"/>
    <w:rsid w:val="00F25F84"/>
    <w:rsid w:val="00F262D1"/>
    <w:rsid w:val="00F265D6"/>
    <w:rsid w:val="00F27D5B"/>
    <w:rsid w:val="00F30464"/>
    <w:rsid w:val="00F339B2"/>
    <w:rsid w:val="00F340C5"/>
    <w:rsid w:val="00F347BF"/>
    <w:rsid w:val="00F34EF9"/>
    <w:rsid w:val="00F351EE"/>
    <w:rsid w:val="00F35449"/>
    <w:rsid w:val="00F3658A"/>
    <w:rsid w:val="00F365B8"/>
    <w:rsid w:val="00F3691E"/>
    <w:rsid w:val="00F36F0D"/>
    <w:rsid w:val="00F3731F"/>
    <w:rsid w:val="00F37D30"/>
    <w:rsid w:val="00F40112"/>
    <w:rsid w:val="00F40BB7"/>
    <w:rsid w:val="00F41612"/>
    <w:rsid w:val="00F448FA"/>
    <w:rsid w:val="00F45A89"/>
    <w:rsid w:val="00F464FE"/>
    <w:rsid w:val="00F46561"/>
    <w:rsid w:val="00F473CC"/>
    <w:rsid w:val="00F47962"/>
    <w:rsid w:val="00F47A9D"/>
    <w:rsid w:val="00F47DDB"/>
    <w:rsid w:val="00F50952"/>
    <w:rsid w:val="00F51F91"/>
    <w:rsid w:val="00F52687"/>
    <w:rsid w:val="00F52AC6"/>
    <w:rsid w:val="00F52BFC"/>
    <w:rsid w:val="00F52F6C"/>
    <w:rsid w:val="00F530F2"/>
    <w:rsid w:val="00F55B3F"/>
    <w:rsid w:val="00F55F27"/>
    <w:rsid w:val="00F5674A"/>
    <w:rsid w:val="00F5727A"/>
    <w:rsid w:val="00F6072F"/>
    <w:rsid w:val="00F60D7C"/>
    <w:rsid w:val="00F6128B"/>
    <w:rsid w:val="00F6171F"/>
    <w:rsid w:val="00F629B0"/>
    <w:rsid w:val="00F62AA2"/>
    <w:rsid w:val="00F648AD"/>
    <w:rsid w:val="00F64AE6"/>
    <w:rsid w:val="00F650FB"/>
    <w:rsid w:val="00F6525B"/>
    <w:rsid w:val="00F65261"/>
    <w:rsid w:val="00F6583A"/>
    <w:rsid w:val="00F659F3"/>
    <w:rsid w:val="00F659F8"/>
    <w:rsid w:val="00F6678A"/>
    <w:rsid w:val="00F709DD"/>
    <w:rsid w:val="00F715DD"/>
    <w:rsid w:val="00F71618"/>
    <w:rsid w:val="00F71663"/>
    <w:rsid w:val="00F72141"/>
    <w:rsid w:val="00F72C1D"/>
    <w:rsid w:val="00F74C2B"/>
    <w:rsid w:val="00F75368"/>
    <w:rsid w:val="00F8030C"/>
    <w:rsid w:val="00F818CE"/>
    <w:rsid w:val="00F825C0"/>
    <w:rsid w:val="00F8459B"/>
    <w:rsid w:val="00F84FDB"/>
    <w:rsid w:val="00F8552C"/>
    <w:rsid w:val="00F85956"/>
    <w:rsid w:val="00F86112"/>
    <w:rsid w:val="00F863D2"/>
    <w:rsid w:val="00F875F8"/>
    <w:rsid w:val="00F87649"/>
    <w:rsid w:val="00F908B4"/>
    <w:rsid w:val="00F90BF2"/>
    <w:rsid w:val="00F90D4F"/>
    <w:rsid w:val="00F92201"/>
    <w:rsid w:val="00F94042"/>
    <w:rsid w:val="00F9424C"/>
    <w:rsid w:val="00F944B1"/>
    <w:rsid w:val="00F95BEF"/>
    <w:rsid w:val="00F95E51"/>
    <w:rsid w:val="00F96198"/>
    <w:rsid w:val="00F967D6"/>
    <w:rsid w:val="00F969F7"/>
    <w:rsid w:val="00FA0E24"/>
    <w:rsid w:val="00FA1000"/>
    <w:rsid w:val="00FA114D"/>
    <w:rsid w:val="00FA162E"/>
    <w:rsid w:val="00FA22F1"/>
    <w:rsid w:val="00FA249A"/>
    <w:rsid w:val="00FA28E4"/>
    <w:rsid w:val="00FA33A8"/>
    <w:rsid w:val="00FA350A"/>
    <w:rsid w:val="00FA4B61"/>
    <w:rsid w:val="00FA4D23"/>
    <w:rsid w:val="00FA576E"/>
    <w:rsid w:val="00FA5979"/>
    <w:rsid w:val="00FA5CA4"/>
    <w:rsid w:val="00FA678A"/>
    <w:rsid w:val="00FA6C4A"/>
    <w:rsid w:val="00FA78CE"/>
    <w:rsid w:val="00FB162F"/>
    <w:rsid w:val="00FB1636"/>
    <w:rsid w:val="00FB1BD8"/>
    <w:rsid w:val="00FB2583"/>
    <w:rsid w:val="00FB2F9C"/>
    <w:rsid w:val="00FB3E14"/>
    <w:rsid w:val="00FB4593"/>
    <w:rsid w:val="00FB7D49"/>
    <w:rsid w:val="00FC2A63"/>
    <w:rsid w:val="00FC2A84"/>
    <w:rsid w:val="00FC2B70"/>
    <w:rsid w:val="00FC4651"/>
    <w:rsid w:val="00FC4689"/>
    <w:rsid w:val="00FC50DB"/>
    <w:rsid w:val="00FC572F"/>
    <w:rsid w:val="00FC5E5F"/>
    <w:rsid w:val="00FC5E66"/>
    <w:rsid w:val="00FC6522"/>
    <w:rsid w:val="00FC7422"/>
    <w:rsid w:val="00FC7BEF"/>
    <w:rsid w:val="00FD1199"/>
    <w:rsid w:val="00FD1868"/>
    <w:rsid w:val="00FD1D32"/>
    <w:rsid w:val="00FD2550"/>
    <w:rsid w:val="00FD4D54"/>
    <w:rsid w:val="00FD5024"/>
    <w:rsid w:val="00FD6E47"/>
    <w:rsid w:val="00FD75C9"/>
    <w:rsid w:val="00FE00EB"/>
    <w:rsid w:val="00FE069E"/>
    <w:rsid w:val="00FE135F"/>
    <w:rsid w:val="00FE1768"/>
    <w:rsid w:val="00FE26D3"/>
    <w:rsid w:val="00FE2820"/>
    <w:rsid w:val="00FE32DF"/>
    <w:rsid w:val="00FE5261"/>
    <w:rsid w:val="00FE538F"/>
    <w:rsid w:val="00FE53BA"/>
    <w:rsid w:val="00FE6B3F"/>
    <w:rsid w:val="00FE6E0B"/>
    <w:rsid w:val="00FE6FB5"/>
    <w:rsid w:val="00FE71B9"/>
    <w:rsid w:val="00FE76D3"/>
    <w:rsid w:val="00FE7BC4"/>
    <w:rsid w:val="00FE7E35"/>
    <w:rsid w:val="00FF0C47"/>
    <w:rsid w:val="00FF0F76"/>
    <w:rsid w:val="00FF1A32"/>
    <w:rsid w:val="00FF1E34"/>
    <w:rsid w:val="00FF2CC6"/>
    <w:rsid w:val="00FF44C3"/>
    <w:rsid w:val="00FF4D43"/>
    <w:rsid w:val="00FF730E"/>
    <w:rsid w:val="00FF76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B7276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header" w:uiPriority="99"/>
    <w:lsdException w:name="caption" w:semiHidden="1" w:uiPriority="35" w:unhideWhenUsed="1"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11BE6"/>
    <w:rPr>
      <w:sz w:val="24"/>
      <w:szCs w:val="24"/>
    </w:rPr>
  </w:style>
  <w:style w:type="paragraph" w:styleId="Naslov1">
    <w:name w:val="heading 1"/>
    <w:basedOn w:val="Navaden"/>
    <w:next w:val="Navaden"/>
    <w:link w:val="Naslov1Znak"/>
    <w:qFormat/>
    <w:rsid w:val="00697950"/>
    <w:pPr>
      <w:keepNext/>
      <w:spacing w:before="240" w:after="60"/>
      <w:outlineLvl w:val="0"/>
    </w:pPr>
    <w:rPr>
      <w:rFonts w:ascii="Arial" w:hAnsi="Arial" w:cs="Arial"/>
      <w:b/>
      <w:bCs/>
      <w:kern w:val="32"/>
      <w:sz w:val="32"/>
      <w:szCs w:val="32"/>
    </w:rPr>
  </w:style>
  <w:style w:type="paragraph" w:styleId="Naslov2">
    <w:name w:val="heading 2"/>
    <w:basedOn w:val="Navaden"/>
    <w:next w:val="Telobesedila"/>
    <w:link w:val="Naslov2Znak"/>
    <w:qFormat/>
    <w:rsid w:val="00FB3E14"/>
    <w:pPr>
      <w:keepNext/>
      <w:numPr>
        <w:ilvl w:val="1"/>
        <w:numId w:val="1"/>
      </w:numPr>
      <w:tabs>
        <w:tab w:val="num" w:pos="0"/>
      </w:tabs>
      <w:suppressAutoHyphens/>
      <w:spacing w:before="240" w:after="240" w:line="240" w:lineRule="atLeast"/>
      <w:ind w:left="576"/>
      <w:outlineLvl w:val="1"/>
    </w:pPr>
    <w:rPr>
      <w:rFonts w:eastAsia="DejaVu Sans"/>
      <w:b/>
      <w:kern w:val="1"/>
      <w:sz w:val="26"/>
      <w:szCs w:val="28"/>
      <w:lang w:val="x-none" w:eastAsia="zh-CN"/>
    </w:rPr>
  </w:style>
  <w:style w:type="paragraph" w:styleId="Naslov3">
    <w:name w:val="heading 3"/>
    <w:basedOn w:val="Navaden"/>
    <w:next w:val="Navaden"/>
    <w:qFormat/>
    <w:rsid w:val="00697950"/>
    <w:pPr>
      <w:keepNext/>
      <w:spacing w:before="240" w:after="60"/>
      <w:outlineLvl w:val="2"/>
    </w:pPr>
    <w:rPr>
      <w:rFonts w:ascii="Arial" w:hAnsi="Arial" w:cs="Arial"/>
      <w:b/>
      <w:bCs/>
      <w:sz w:val="26"/>
      <w:szCs w:val="26"/>
    </w:rPr>
  </w:style>
  <w:style w:type="paragraph" w:styleId="Naslov4">
    <w:name w:val="heading 4"/>
    <w:basedOn w:val="Navaden"/>
    <w:next w:val="Navaden"/>
    <w:qFormat/>
    <w:rsid w:val="00CD39B7"/>
    <w:pPr>
      <w:keepNext/>
      <w:spacing w:before="240" w:after="60" w:line="260" w:lineRule="atLeast"/>
      <w:outlineLvl w:val="3"/>
    </w:pPr>
    <w:rPr>
      <w:b/>
      <w:bCs/>
      <w:sz w:val="28"/>
      <w:szCs w:val="28"/>
      <w:lang w:val="en-US" w:eastAsia="en-US"/>
    </w:rPr>
  </w:style>
  <w:style w:type="paragraph" w:styleId="Naslov5">
    <w:name w:val="heading 5"/>
    <w:basedOn w:val="Navaden"/>
    <w:next w:val="Navaden"/>
    <w:qFormat/>
    <w:rsid w:val="00CD39B7"/>
    <w:pPr>
      <w:spacing w:before="240" w:after="60" w:line="260" w:lineRule="atLeast"/>
      <w:outlineLvl w:val="4"/>
    </w:pPr>
    <w:rPr>
      <w:rFonts w:ascii="Arial" w:hAnsi="Arial"/>
      <w:b/>
      <w:bCs/>
      <w:i/>
      <w:iCs/>
      <w:sz w:val="26"/>
      <w:szCs w:val="26"/>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822D5E"/>
    <w:pPr>
      <w:spacing w:before="100" w:beforeAutospacing="1" w:after="100" w:afterAutospacing="1"/>
    </w:pPr>
  </w:style>
  <w:style w:type="character" w:customStyle="1" w:styleId="apple-tab-span">
    <w:name w:val="apple-tab-span"/>
    <w:basedOn w:val="Privzetapisavaodstavka"/>
    <w:rsid w:val="00822D5E"/>
  </w:style>
  <w:style w:type="paragraph" w:styleId="Glava">
    <w:name w:val="header"/>
    <w:aliases w:val="Header1,Glava - napis Znak Znak,Glava - napis"/>
    <w:basedOn w:val="Navaden"/>
    <w:link w:val="GlavaZnak"/>
    <w:uiPriority w:val="99"/>
    <w:rsid w:val="00F40BB7"/>
    <w:pPr>
      <w:tabs>
        <w:tab w:val="center" w:pos="4536"/>
        <w:tab w:val="right" w:pos="9072"/>
      </w:tabs>
    </w:pPr>
  </w:style>
  <w:style w:type="paragraph" w:styleId="Noga">
    <w:name w:val="footer"/>
    <w:basedOn w:val="Navaden"/>
    <w:rsid w:val="00F40BB7"/>
    <w:pPr>
      <w:tabs>
        <w:tab w:val="center" w:pos="4536"/>
        <w:tab w:val="right" w:pos="9072"/>
      </w:tabs>
    </w:pPr>
  </w:style>
  <w:style w:type="paragraph" w:styleId="Telobesedila">
    <w:name w:val="Body Text"/>
    <w:basedOn w:val="Navaden"/>
    <w:link w:val="TelobesedilaZnak"/>
    <w:rsid w:val="00FB3E14"/>
    <w:pPr>
      <w:suppressAutoHyphens/>
      <w:spacing w:after="120"/>
    </w:pPr>
    <w:rPr>
      <w:kern w:val="1"/>
      <w:szCs w:val="20"/>
      <w:lang w:eastAsia="zh-CN"/>
    </w:rPr>
  </w:style>
  <w:style w:type="character" w:customStyle="1" w:styleId="hps">
    <w:name w:val="hps"/>
    <w:basedOn w:val="Privzetapisavaodstavka"/>
    <w:rsid w:val="00FB3E14"/>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qFormat/>
    <w:rsid w:val="00FB3E14"/>
    <w:rPr>
      <w:vertAlign w:val="superscript"/>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FB3E14"/>
    <w:pPr>
      <w:suppressAutoHyphens/>
    </w:pPr>
    <w:rPr>
      <w:kern w:val="1"/>
      <w:szCs w:val="20"/>
      <w:lang w:eastAsia="zh-CN"/>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uiPriority w:val="99"/>
    <w:locked/>
    <w:rsid w:val="00FB3E14"/>
    <w:rPr>
      <w:kern w:val="1"/>
      <w:sz w:val="24"/>
      <w:lang w:val="sl-SI" w:eastAsia="zh-CN" w:bidi="ar-SA"/>
    </w:rPr>
  </w:style>
  <w:style w:type="character" w:customStyle="1" w:styleId="Naslov2Znak">
    <w:name w:val="Naslov 2 Znak"/>
    <w:link w:val="Naslov2"/>
    <w:rsid w:val="00FB3E14"/>
    <w:rPr>
      <w:rFonts w:eastAsia="DejaVu Sans"/>
      <w:b/>
      <w:kern w:val="1"/>
      <w:sz w:val="26"/>
      <w:szCs w:val="28"/>
      <w:lang w:val="x-none" w:eastAsia="zh-CN"/>
    </w:rPr>
  </w:style>
  <w:style w:type="paragraph" w:customStyle="1" w:styleId="SlogObojestransko1">
    <w:name w:val="Slog Obojestransko1"/>
    <w:basedOn w:val="Navaden"/>
    <w:rsid w:val="00FB3E14"/>
    <w:pPr>
      <w:jc w:val="both"/>
    </w:pPr>
    <w:rPr>
      <w:rFonts w:ascii="Arial" w:hAnsi="Arial"/>
      <w:sz w:val="20"/>
      <w:szCs w:val="20"/>
      <w:lang w:eastAsia="en-US"/>
    </w:rPr>
  </w:style>
  <w:style w:type="character" w:customStyle="1" w:styleId="shorttext">
    <w:name w:val="short_text"/>
    <w:basedOn w:val="Privzetapisavaodstavka"/>
    <w:rsid w:val="00FB3E14"/>
  </w:style>
  <w:style w:type="character" w:styleId="Hiperpovezava">
    <w:name w:val="Hyperlink"/>
    <w:uiPriority w:val="99"/>
    <w:rsid w:val="00FB3E14"/>
    <w:rPr>
      <w:color w:val="0000FF"/>
      <w:u w:val="single"/>
    </w:rPr>
  </w:style>
  <w:style w:type="paragraph" w:customStyle="1" w:styleId="Default">
    <w:name w:val="Default"/>
    <w:rsid w:val="00FB3E14"/>
    <w:pPr>
      <w:autoSpaceDE w:val="0"/>
      <w:autoSpaceDN w:val="0"/>
      <w:adjustRightInd w:val="0"/>
    </w:pPr>
    <w:rPr>
      <w:rFonts w:ascii="Calibri" w:eastAsia="Calibri" w:hAnsi="Calibri" w:cs="Calibri"/>
      <w:color w:val="000000"/>
      <w:sz w:val="24"/>
      <w:szCs w:val="24"/>
      <w:lang w:eastAsia="en-US"/>
    </w:rPr>
  </w:style>
  <w:style w:type="paragraph" w:customStyle="1" w:styleId="bodytext">
    <w:name w:val="bodytext"/>
    <w:basedOn w:val="Navaden"/>
    <w:rsid w:val="00FB3E14"/>
    <w:pPr>
      <w:spacing w:before="100" w:beforeAutospacing="1" w:after="100" w:afterAutospacing="1"/>
    </w:pPr>
  </w:style>
  <w:style w:type="character" w:styleId="Krepko">
    <w:name w:val="Strong"/>
    <w:qFormat/>
    <w:rsid w:val="00F60D7C"/>
    <w:rPr>
      <w:b/>
      <w:bCs/>
    </w:rPr>
  </w:style>
  <w:style w:type="character" w:customStyle="1" w:styleId="TelobesedilaZnak">
    <w:name w:val="Telo besedila Znak"/>
    <w:link w:val="Telobesedila"/>
    <w:rsid w:val="00F60D7C"/>
    <w:rPr>
      <w:kern w:val="1"/>
      <w:sz w:val="24"/>
      <w:lang w:eastAsia="zh-CN"/>
    </w:rPr>
  </w:style>
  <w:style w:type="paragraph" w:styleId="Odstavekseznama">
    <w:name w:val="List Paragraph"/>
    <w:aliases w:val="naslov 1,Bullet 1,Bullet Points,Bullet layer,Colorful List - Accent 11,Dot pt,F5 List Paragraph,Indicator Text,Issue Action POC,List Paragraph Char Char Char,List Paragraph2,MAIN CONTENT,No Spacing1,Normal numbered,3"/>
    <w:basedOn w:val="Navaden"/>
    <w:link w:val="OdstavekseznamaZnak"/>
    <w:uiPriority w:val="34"/>
    <w:qFormat/>
    <w:rsid w:val="00F60D7C"/>
    <w:pPr>
      <w:ind w:left="708"/>
    </w:pPr>
  </w:style>
  <w:style w:type="paragraph" w:customStyle="1" w:styleId="Graphic">
    <w:name w:val="Graphic"/>
    <w:basedOn w:val="Navaden"/>
    <w:next w:val="Telobesedila"/>
    <w:rsid w:val="00F061C1"/>
    <w:pPr>
      <w:spacing w:after="240"/>
      <w:jc w:val="center"/>
    </w:pPr>
    <w:rPr>
      <w:snapToGrid w:val="0"/>
      <w:sz w:val="21"/>
      <w:szCs w:val="21"/>
    </w:rPr>
  </w:style>
  <w:style w:type="paragraph" w:customStyle="1" w:styleId="msonormalcxspprvi">
    <w:name w:val="msonormalcxspprvi"/>
    <w:basedOn w:val="Navaden"/>
    <w:rsid w:val="00300A03"/>
    <w:pPr>
      <w:spacing w:before="100" w:beforeAutospacing="1" w:after="100" w:afterAutospacing="1"/>
    </w:pPr>
  </w:style>
  <w:style w:type="paragraph" w:customStyle="1" w:styleId="msonormalcxspsrednji">
    <w:name w:val="msonormalcxspsrednji"/>
    <w:basedOn w:val="Navaden"/>
    <w:rsid w:val="00300A03"/>
    <w:pPr>
      <w:spacing w:before="100" w:beforeAutospacing="1" w:after="100" w:afterAutospacing="1"/>
    </w:pPr>
  </w:style>
  <w:style w:type="paragraph" w:styleId="Besedilooblaka">
    <w:name w:val="Balloon Text"/>
    <w:basedOn w:val="Navaden"/>
    <w:semiHidden/>
    <w:rsid w:val="009E64B2"/>
    <w:rPr>
      <w:rFonts w:ascii="Tahoma" w:hAnsi="Tahoma" w:cs="Tahoma"/>
      <w:sz w:val="16"/>
      <w:szCs w:val="16"/>
    </w:rPr>
  </w:style>
  <w:style w:type="character" w:styleId="Poudarek">
    <w:name w:val="Emphasis"/>
    <w:uiPriority w:val="20"/>
    <w:qFormat/>
    <w:rsid w:val="009E64B2"/>
    <w:rPr>
      <w:i/>
      <w:iCs/>
    </w:rPr>
  </w:style>
  <w:style w:type="character" w:styleId="Pripombasklic">
    <w:name w:val="annotation reference"/>
    <w:rsid w:val="009E64B2"/>
    <w:rPr>
      <w:sz w:val="16"/>
      <w:szCs w:val="16"/>
    </w:rPr>
  </w:style>
  <w:style w:type="paragraph" w:styleId="Pripombabesedilo">
    <w:name w:val="annotation text"/>
    <w:basedOn w:val="Navaden"/>
    <w:link w:val="PripombabesediloZnak"/>
    <w:rsid w:val="009E64B2"/>
    <w:pPr>
      <w:spacing w:line="260" w:lineRule="exact"/>
    </w:pPr>
    <w:rPr>
      <w:rFonts w:ascii="Arial" w:hAnsi="Arial"/>
      <w:sz w:val="20"/>
      <w:szCs w:val="20"/>
      <w:lang w:val="en-US" w:eastAsia="en-US"/>
    </w:rPr>
  </w:style>
  <w:style w:type="character" w:styleId="tevilkastrani">
    <w:name w:val="page number"/>
    <w:basedOn w:val="Privzetapisavaodstavka"/>
    <w:rsid w:val="00EC3C95"/>
  </w:style>
  <w:style w:type="paragraph" w:customStyle="1" w:styleId="datumtevilka">
    <w:name w:val="datum številka"/>
    <w:basedOn w:val="Navaden"/>
    <w:qFormat/>
    <w:rsid w:val="00422419"/>
    <w:pPr>
      <w:tabs>
        <w:tab w:val="left" w:pos="1701"/>
      </w:tabs>
      <w:spacing w:line="260" w:lineRule="exact"/>
    </w:pPr>
    <w:rPr>
      <w:rFonts w:ascii="Arial" w:hAnsi="Arial"/>
      <w:sz w:val="20"/>
      <w:szCs w:val="20"/>
    </w:rPr>
  </w:style>
  <w:style w:type="paragraph" w:customStyle="1" w:styleId="ListParagraph1">
    <w:name w:val="List Paragraph1"/>
    <w:basedOn w:val="Navaden"/>
    <w:rsid w:val="00422419"/>
    <w:pPr>
      <w:spacing w:after="200" w:line="276" w:lineRule="auto"/>
      <w:ind w:left="720"/>
      <w:contextualSpacing/>
    </w:pPr>
    <w:rPr>
      <w:rFonts w:ascii="Calibri" w:hAnsi="Calibri"/>
      <w:sz w:val="22"/>
      <w:szCs w:val="22"/>
      <w:lang w:val="en-US" w:eastAsia="en-US"/>
    </w:rPr>
  </w:style>
  <w:style w:type="table" w:styleId="Tabelamrea">
    <w:name w:val="Table Grid"/>
    <w:basedOn w:val="Navadnatabela"/>
    <w:rsid w:val="00777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ocked/>
    <w:rsid w:val="00777445"/>
    <w:rPr>
      <w:rFonts w:eastAsia="Calibri"/>
      <w:lang w:val="sl-SI" w:eastAsia="sl-SI" w:bidi="ar-SA"/>
    </w:rPr>
  </w:style>
  <w:style w:type="paragraph" w:customStyle="1" w:styleId="Neotevilenodstavek">
    <w:name w:val="Neoštevilčen odstavek"/>
    <w:basedOn w:val="Navaden"/>
    <w:link w:val="NeotevilenodstavekZnak"/>
    <w:qFormat/>
    <w:rsid w:val="009D5FD3"/>
    <w:pPr>
      <w:overflowPunct w:val="0"/>
      <w:autoSpaceDE w:val="0"/>
      <w:autoSpaceDN w:val="0"/>
      <w:adjustRightInd w:val="0"/>
      <w:spacing w:before="60" w:after="60" w:line="200" w:lineRule="exact"/>
      <w:jc w:val="both"/>
      <w:textAlignment w:val="baseline"/>
    </w:pPr>
    <w:rPr>
      <w:rFonts w:ascii="Arial" w:hAnsi="Arial" w:cs="Arial"/>
      <w:sz w:val="22"/>
      <w:szCs w:val="22"/>
    </w:rPr>
  </w:style>
  <w:style w:type="character" w:customStyle="1" w:styleId="NeotevilenodstavekZnak">
    <w:name w:val="Neoštevilčen odstavek Znak"/>
    <w:link w:val="Neotevilenodstavek"/>
    <w:rsid w:val="009D5FD3"/>
    <w:rPr>
      <w:rFonts w:ascii="Arial" w:hAnsi="Arial" w:cs="Arial"/>
      <w:sz w:val="22"/>
      <w:szCs w:val="22"/>
      <w:lang w:val="sl-SI" w:eastAsia="sl-SI" w:bidi="ar-SA"/>
    </w:rPr>
  </w:style>
  <w:style w:type="paragraph" w:customStyle="1" w:styleId="ListParagraph3">
    <w:name w:val="List Paragraph3"/>
    <w:basedOn w:val="Navaden"/>
    <w:rsid w:val="009D5FD3"/>
    <w:pPr>
      <w:spacing w:line="260" w:lineRule="atLeast"/>
      <w:ind w:left="720"/>
      <w:contextualSpacing/>
    </w:pPr>
    <w:rPr>
      <w:rFonts w:ascii="Arial" w:hAnsi="Arial"/>
      <w:sz w:val="20"/>
      <w:lang w:val="en-US" w:eastAsia="en-US"/>
    </w:rPr>
  </w:style>
  <w:style w:type="character" w:customStyle="1" w:styleId="highlightselected">
    <w:name w:val="highlight selected"/>
    <w:basedOn w:val="Privzetapisavaodstavka"/>
    <w:rsid w:val="00D345D9"/>
  </w:style>
  <w:style w:type="paragraph" w:styleId="Zadevapripombe">
    <w:name w:val="annotation subject"/>
    <w:basedOn w:val="Pripombabesedilo"/>
    <w:next w:val="Pripombabesedilo"/>
    <w:semiHidden/>
    <w:rsid w:val="00855425"/>
    <w:pPr>
      <w:spacing w:line="240" w:lineRule="auto"/>
    </w:pPr>
    <w:rPr>
      <w:rFonts w:ascii="Times New Roman" w:hAnsi="Times New Roman"/>
      <w:b/>
      <w:bCs/>
      <w:lang w:val="sl-SI" w:eastAsia="sl-SI"/>
    </w:rPr>
  </w:style>
  <w:style w:type="character" w:customStyle="1" w:styleId="postbody1">
    <w:name w:val="postbody1"/>
    <w:rsid w:val="00B955DA"/>
    <w:rPr>
      <w:sz w:val="18"/>
      <w:szCs w:val="18"/>
    </w:rPr>
  </w:style>
  <w:style w:type="character" w:customStyle="1" w:styleId="GlavaZnak">
    <w:name w:val="Glava Znak"/>
    <w:aliases w:val="Header1 Znak,Glava - napis Znak Znak Znak,Glava - napis Znak"/>
    <w:link w:val="Glava"/>
    <w:uiPriority w:val="99"/>
    <w:qFormat/>
    <w:rsid w:val="003660CF"/>
    <w:rPr>
      <w:sz w:val="24"/>
      <w:szCs w:val="24"/>
      <w:lang w:val="sl-SI" w:eastAsia="sl-SI" w:bidi="ar-SA"/>
    </w:rPr>
  </w:style>
  <w:style w:type="character" w:customStyle="1" w:styleId="Znakisprotnihopomb">
    <w:name w:val="Znaki sprotnih opomb"/>
    <w:rsid w:val="000944CE"/>
    <w:rPr>
      <w:vertAlign w:val="superscript"/>
    </w:rPr>
  </w:style>
  <w:style w:type="character" w:customStyle="1" w:styleId="hpsatn">
    <w:name w:val="hps atn"/>
    <w:basedOn w:val="Privzetapisavaodstavka"/>
    <w:rsid w:val="006A5787"/>
  </w:style>
  <w:style w:type="character" w:customStyle="1" w:styleId="hpsalt-edited">
    <w:name w:val="hps alt-edited"/>
    <w:basedOn w:val="Privzetapisavaodstavka"/>
    <w:rsid w:val="006A5787"/>
  </w:style>
  <w:style w:type="character" w:customStyle="1" w:styleId="st">
    <w:name w:val="st"/>
    <w:basedOn w:val="Privzetapisavaodstavka"/>
    <w:rsid w:val="00191B33"/>
  </w:style>
  <w:style w:type="character" w:customStyle="1" w:styleId="FootnoteTextChar1">
    <w:name w:val="Footnote Text Char1"/>
    <w:aliases w:val="Sprotna opomba-besedilo Char,Char Char Char1,Char Char Char Char Char,Char Char Char Char1,Sprotna opomba - besedilo Znak1 Char,Sprotna opomba - besedilo Znak Znak2 Char,Sprotna opomba - besedilo Znak1 Znak Znak1 Char"/>
    <w:locked/>
    <w:rsid w:val="000A58BA"/>
    <w:rPr>
      <w:kern w:val="1"/>
      <w:sz w:val="24"/>
      <w:lang w:val="sl-SI" w:eastAsia="zh-CN"/>
    </w:rPr>
  </w:style>
  <w:style w:type="paragraph" w:customStyle="1" w:styleId="odstavek">
    <w:name w:val="odstavek"/>
    <w:basedOn w:val="Navaden"/>
    <w:rsid w:val="002F7C9E"/>
    <w:pPr>
      <w:spacing w:before="100" w:beforeAutospacing="1" w:after="100" w:afterAutospacing="1"/>
    </w:pPr>
  </w:style>
  <w:style w:type="paragraph" w:customStyle="1" w:styleId="alineazaodstavkom">
    <w:name w:val="alineazaodstavkom"/>
    <w:basedOn w:val="Navaden"/>
    <w:rsid w:val="002F7C9E"/>
    <w:pPr>
      <w:spacing w:before="100" w:beforeAutospacing="1" w:after="100" w:afterAutospacing="1"/>
    </w:pPr>
  </w:style>
  <w:style w:type="character" w:customStyle="1" w:styleId="PripombabesediloZnak">
    <w:name w:val="Pripomba – besedilo Znak"/>
    <w:link w:val="Pripombabesedilo"/>
    <w:locked/>
    <w:rsid w:val="00712F16"/>
    <w:rPr>
      <w:rFonts w:ascii="Arial" w:hAnsi="Arial"/>
      <w:lang w:val="en-US" w:eastAsia="en-US" w:bidi="ar-SA"/>
    </w:rPr>
  </w:style>
  <w:style w:type="paragraph" w:customStyle="1" w:styleId="ZADEVA">
    <w:name w:val="ZADEVA"/>
    <w:basedOn w:val="Navaden"/>
    <w:qFormat/>
    <w:rsid w:val="00FA1000"/>
    <w:pPr>
      <w:tabs>
        <w:tab w:val="left" w:pos="1701"/>
      </w:tabs>
      <w:spacing w:line="260" w:lineRule="atLeast"/>
      <w:ind w:left="1701" w:hanging="1701"/>
    </w:pPr>
    <w:rPr>
      <w:rFonts w:ascii="Arial" w:hAnsi="Arial"/>
      <w:b/>
      <w:sz w:val="20"/>
      <w:lang w:val="it-IT" w:eastAsia="en-US"/>
    </w:rPr>
  </w:style>
  <w:style w:type="paragraph" w:customStyle="1" w:styleId="ListBulletBox">
    <w:name w:val="List Bullet Box"/>
    <w:basedOn w:val="Navaden"/>
    <w:rsid w:val="00DA7BCB"/>
    <w:pPr>
      <w:numPr>
        <w:numId w:val="2"/>
      </w:numPr>
      <w:spacing w:after="120"/>
      <w:jc w:val="both"/>
    </w:pPr>
    <w:rPr>
      <w:snapToGrid w:val="0"/>
      <w:sz w:val="20"/>
      <w:szCs w:val="20"/>
      <w:lang w:val="en-US"/>
    </w:rPr>
  </w:style>
  <w:style w:type="paragraph" w:styleId="Kazalovsebine2">
    <w:name w:val="toc 2"/>
    <w:basedOn w:val="Navaden"/>
    <w:next w:val="Navaden"/>
    <w:autoRedefine/>
    <w:uiPriority w:val="39"/>
    <w:rsid w:val="00093B3A"/>
    <w:pPr>
      <w:tabs>
        <w:tab w:val="right" w:leader="dot" w:pos="9072"/>
      </w:tabs>
      <w:ind w:left="216"/>
    </w:pPr>
    <w:rPr>
      <w:rFonts w:asciiTheme="majorHAnsi" w:hAnsiTheme="majorHAnsi"/>
      <w:b/>
    </w:rPr>
  </w:style>
  <w:style w:type="paragraph" w:styleId="Kazalovsebine1">
    <w:name w:val="toc 1"/>
    <w:basedOn w:val="Navaden"/>
    <w:next w:val="Navaden"/>
    <w:autoRedefine/>
    <w:uiPriority w:val="39"/>
    <w:rsid w:val="00093B3A"/>
    <w:pPr>
      <w:tabs>
        <w:tab w:val="right" w:leader="dot" w:pos="9072"/>
      </w:tabs>
    </w:pPr>
    <w:rPr>
      <w:rFonts w:asciiTheme="majorHAnsi" w:hAnsiTheme="majorHAnsi"/>
      <w:b/>
    </w:rPr>
  </w:style>
  <w:style w:type="paragraph" w:styleId="Kazalovsebine3">
    <w:name w:val="toc 3"/>
    <w:basedOn w:val="Navaden"/>
    <w:next w:val="Navaden"/>
    <w:autoRedefine/>
    <w:uiPriority w:val="39"/>
    <w:rsid w:val="000E204F"/>
    <w:pPr>
      <w:ind w:left="480"/>
    </w:pPr>
    <w:rPr>
      <w:rFonts w:asciiTheme="minorHAnsi" w:hAnsiTheme="minorHAnsi"/>
    </w:rPr>
  </w:style>
  <w:style w:type="paragraph" w:styleId="Kazalovsebine4">
    <w:name w:val="toc 4"/>
    <w:basedOn w:val="Navaden"/>
    <w:next w:val="Navaden"/>
    <w:autoRedefine/>
    <w:semiHidden/>
    <w:rsid w:val="004A0C77"/>
    <w:pPr>
      <w:ind w:left="720"/>
    </w:pPr>
  </w:style>
  <w:style w:type="table" w:customStyle="1" w:styleId="Tabelamrea40">
    <w:name w:val="Tabela – mreža40"/>
    <w:basedOn w:val="Navadnatabela"/>
    <w:next w:val="Tabelamrea"/>
    <w:uiPriority w:val="39"/>
    <w:rsid w:val="00CD57CA"/>
    <w:pPr>
      <w:autoSpaceDN w:val="0"/>
      <w:textAlignment w:val="baseline"/>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01">
    <w:name w:val="Tabela – mreža401"/>
    <w:basedOn w:val="Navadnatabela"/>
    <w:next w:val="Tabelamrea"/>
    <w:uiPriority w:val="39"/>
    <w:rsid w:val="00CD57CA"/>
    <w:pPr>
      <w:autoSpaceDN w:val="0"/>
      <w:textAlignment w:val="baseline"/>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2 Znak"/>
    <w:link w:val="Odstavekseznama"/>
    <w:uiPriority w:val="34"/>
    <w:qFormat/>
    <w:locked/>
    <w:rsid w:val="009940BC"/>
    <w:rPr>
      <w:sz w:val="24"/>
      <w:szCs w:val="24"/>
    </w:rPr>
  </w:style>
  <w:style w:type="paragraph" w:styleId="Revizija">
    <w:name w:val="Revision"/>
    <w:hidden/>
    <w:uiPriority w:val="99"/>
    <w:semiHidden/>
    <w:rsid w:val="00F55B3F"/>
    <w:rPr>
      <w:sz w:val="24"/>
      <w:szCs w:val="24"/>
    </w:rPr>
  </w:style>
  <w:style w:type="paragraph" w:customStyle="1" w:styleId="Para">
    <w:name w:val="Para"/>
    <w:link w:val="ParaChar"/>
    <w:uiPriority w:val="4"/>
    <w:qFormat/>
    <w:rsid w:val="0066418E"/>
    <w:pPr>
      <w:spacing w:before="120" w:after="120" w:line="260" w:lineRule="atLeast"/>
      <w:jc w:val="both"/>
    </w:pPr>
    <w:rPr>
      <w:rFonts w:ascii="Arial" w:eastAsia="Arial" w:hAnsi="Arial"/>
      <w:color w:val="000000"/>
      <w:szCs w:val="22"/>
    </w:rPr>
  </w:style>
  <w:style w:type="character" w:customStyle="1" w:styleId="ParaChar">
    <w:name w:val="Para Char"/>
    <w:link w:val="Para"/>
    <w:uiPriority w:val="4"/>
    <w:rsid w:val="0066418E"/>
    <w:rPr>
      <w:rFonts w:ascii="Arial" w:eastAsia="Arial" w:hAnsi="Arial"/>
      <w:color w:val="000000"/>
      <w:szCs w:val="22"/>
    </w:rPr>
  </w:style>
  <w:style w:type="character" w:customStyle="1" w:styleId="spelle">
    <w:name w:val="spelle"/>
    <w:basedOn w:val="Privzetapisavaodstavka"/>
    <w:rsid w:val="00E53BDE"/>
  </w:style>
  <w:style w:type="character" w:customStyle="1" w:styleId="rynqvb">
    <w:name w:val="rynqvb"/>
    <w:basedOn w:val="Privzetapisavaodstavka"/>
    <w:rsid w:val="00B07B9C"/>
  </w:style>
  <w:style w:type="character" w:styleId="SledenaHiperpovezava">
    <w:name w:val="FollowedHyperlink"/>
    <w:rsid w:val="00096804"/>
    <w:rPr>
      <w:color w:val="954F72"/>
      <w:u w:val="single"/>
    </w:rPr>
  </w:style>
  <w:style w:type="character" w:customStyle="1" w:styleId="hwtze">
    <w:name w:val="hwtze"/>
    <w:basedOn w:val="Privzetapisavaodstavka"/>
    <w:rsid w:val="00925563"/>
  </w:style>
  <w:style w:type="character" w:customStyle="1" w:styleId="Nerazreenaomemba1">
    <w:name w:val="Nerazrešena omemba1"/>
    <w:uiPriority w:val="99"/>
    <w:semiHidden/>
    <w:unhideWhenUsed/>
    <w:rsid w:val="00235351"/>
    <w:rPr>
      <w:color w:val="605E5C"/>
      <w:shd w:val="clear" w:color="auto" w:fill="E1DFDD"/>
    </w:rPr>
  </w:style>
  <w:style w:type="paragraph" w:styleId="Konnaopomba-besedilo">
    <w:name w:val="endnote text"/>
    <w:basedOn w:val="Navaden"/>
    <w:link w:val="Konnaopomba-besediloZnak"/>
    <w:rsid w:val="001D500A"/>
    <w:rPr>
      <w:sz w:val="20"/>
      <w:szCs w:val="20"/>
    </w:rPr>
  </w:style>
  <w:style w:type="character" w:customStyle="1" w:styleId="Konnaopomba-besediloZnak">
    <w:name w:val="Končna opomba - besedilo Znak"/>
    <w:basedOn w:val="Privzetapisavaodstavka"/>
    <w:link w:val="Konnaopomba-besedilo"/>
    <w:rsid w:val="001D500A"/>
  </w:style>
  <w:style w:type="character" w:styleId="Konnaopomba-sklic">
    <w:name w:val="endnote reference"/>
    <w:rsid w:val="001D500A"/>
    <w:rPr>
      <w:vertAlign w:val="superscript"/>
    </w:rPr>
  </w:style>
  <w:style w:type="paragraph" w:styleId="Napis">
    <w:name w:val="caption"/>
    <w:basedOn w:val="Navaden"/>
    <w:next w:val="Navaden"/>
    <w:uiPriority w:val="35"/>
    <w:unhideWhenUsed/>
    <w:qFormat/>
    <w:rsid w:val="008075EE"/>
    <w:pPr>
      <w:spacing w:after="200"/>
    </w:pPr>
    <w:rPr>
      <w:rFonts w:ascii="Calibri" w:eastAsia="Calibri" w:hAnsi="Calibri"/>
      <w:i/>
      <w:iCs/>
      <w:color w:val="44546A"/>
      <w:sz w:val="18"/>
      <w:szCs w:val="18"/>
      <w:lang w:eastAsia="en-US"/>
    </w:rPr>
  </w:style>
  <w:style w:type="paragraph" w:styleId="NaslovTOC">
    <w:name w:val="TOC Heading"/>
    <w:basedOn w:val="Naslov1"/>
    <w:next w:val="Navaden"/>
    <w:uiPriority w:val="39"/>
    <w:unhideWhenUsed/>
    <w:qFormat/>
    <w:rsid w:val="007726CB"/>
    <w:pPr>
      <w:keepLines/>
      <w:spacing w:after="0" w:line="259" w:lineRule="auto"/>
      <w:outlineLvl w:val="9"/>
    </w:pPr>
    <w:rPr>
      <w:rFonts w:ascii="Calibri Light" w:hAnsi="Calibri Light" w:cs="Times New Roman"/>
      <w:b w:val="0"/>
      <w:bCs w:val="0"/>
      <w:color w:val="2F5496"/>
      <w:kern w:val="0"/>
    </w:rPr>
  </w:style>
  <w:style w:type="character" w:customStyle="1" w:styleId="--l">
    <w:name w:val="--l"/>
    <w:basedOn w:val="Privzetapisavaodstavka"/>
    <w:rsid w:val="00985BFB"/>
  </w:style>
  <w:style w:type="paragraph" w:customStyle="1" w:styleId="CM1">
    <w:name w:val="CM1"/>
    <w:basedOn w:val="Default"/>
    <w:next w:val="Default"/>
    <w:uiPriority w:val="99"/>
    <w:rsid w:val="00CD7210"/>
    <w:pPr>
      <w:spacing w:line="273" w:lineRule="atLeast"/>
    </w:pPr>
    <w:rPr>
      <w:rFonts w:ascii="Arial" w:eastAsia="Times New Roman" w:hAnsi="Arial" w:cs="Arial"/>
      <w:color w:val="auto"/>
      <w:lang w:val="en-US"/>
    </w:rPr>
  </w:style>
  <w:style w:type="paragraph" w:customStyle="1" w:styleId="xmsonormal">
    <w:name w:val="x_msonormal"/>
    <w:basedOn w:val="Navaden"/>
    <w:rsid w:val="006F1514"/>
    <w:rPr>
      <w:rFonts w:ascii="Calibri" w:eastAsia="Calibri" w:hAnsi="Calibri" w:cs="Calibri"/>
      <w:sz w:val="22"/>
      <w:szCs w:val="22"/>
    </w:rPr>
  </w:style>
  <w:style w:type="character" w:customStyle="1" w:styleId="cf01">
    <w:name w:val="cf01"/>
    <w:rsid w:val="00313C85"/>
    <w:rPr>
      <w:rFonts w:ascii="Segoe UI" w:hAnsi="Segoe UI" w:cs="Segoe UI" w:hint="default"/>
      <w:sz w:val="18"/>
      <w:szCs w:val="18"/>
    </w:rPr>
  </w:style>
  <w:style w:type="paragraph" w:customStyle="1" w:styleId="pf0">
    <w:name w:val="pf0"/>
    <w:basedOn w:val="Navaden"/>
    <w:rsid w:val="0068207F"/>
    <w:pPr>
      <w:spacing w:before="100" w:beforeAutospacing="1" w:after="100" w:afterAutospacing="1"/>
    </w:pPr>
  </w:style>
  <w:style w:type="paragraph" w:customStyle="1" w:styleId="Odstavek0">
    <w:name w:val="Odstavek"/>
    <w:basedOn w:val="Navaden"/>
    <w:link w:val="OdstavekZnak"/>
    <w:qFormat/>
    <w:rsid w:val="00222C60"/>
    <w:pPr>
      <w:overflowPunct w:val="0"/>
      <w:autoSpaceDE w:val="0"/>
      <w:autoSpaceDN w:val="0"/>
      <w:adjustRightInd w:val="0"/>
      <w:spacing w:before="240"/>
      <w:ind w:firstLine="1021"/>
      <w:jc w:val="both"/>
      <w:textAlignment w:val="baseline"/>
    </w:pPr>
    <w:rPr>
      <w:rFonts w:ascii="Arial" w:hAnsi="Arial"/>
      <w:sz w:val="22"/>
      <w:szCs w:val="22"/>
      <w:lang w:eastAsia="en-US"/>
    </w:rPr>
  </w:style>
  <w:style w:type="character" w:customStyle="1" w:styleId="OdstavekZnak">
    <w:name w:val="Odstavek Znak"/>
    <w:link w:val="Odstavek0"/>
    <w:rsid w:val="00222C60"/>
    <w:rPr>
      <w:rFonts w:ascii="Arial" w:hAnsi="Arial"/>
      <w:sz w:val="22"/>
      <w:szCs w:val="22"/>
      <w:lang w:eastAsia="en-US"/>
    </w:rPr>
  </w:style>
  <w:style w:type="paragraph" w:styleId="Naslov">
    <w:name w:val="Title"/>
    <w:basedOn w:val="Navaden"/>
    <w:next w:val="Navaden"/>
    <w:link w:val="NaslovZnak"/>
    <w:qFormat/>
    <w:rsid w:val="00F47DDB"/>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F47DDB"/>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rsid w:val="003709ED"/>
    <w:rPr>
      <w:rFonts w:ascii="Arial" w:hAnsi="Arial" w:cs="Arial"/>
      <w:b/>
      <w:bCs/>
      <w:kern w:val="32"/>
      <w:sz w:val="32"/>
      <w:szCs w:val="32"/>
    </w:rPr>
  </w:style>
  <w:style w:type="paragraph" w:customStyle="1" w:styleId="Slog1">
    <w:name w:val="Slog1"/>
    <w:basedOn w:val="Naslov1"/>
    <w:link w:val="Slog1Znak"/>
    <w:qFormat/>
    <w:rsid w:val="00EB7B89"/>
    <w:pPr>
      <w:numPr>
        <w:numId w:val="12"/>
      </w:numPr>
    </w:pPr>
    <w:rPr>
      <w:rFonts w:asciiTheme="majorHAnsi" w:hAnsiTheme="majorHAnsi"/>
      <w:sz w:val="26"/>
      <w:szCs w:val="26"/>
    </w:rPr>
  </w:style>
  <w:style w:type="character" w:customStyle="1" w:styleId="Slog1Znak">
    <w:name w:val="Slog1 Znak"/>
    <w:basedOn w:val="Naslov1Znak"/>
    <w:link w:val="Slog1"/>
    <w:rsid w:val="00EB7B89"/>
    <w:rPr>
      <w:rFonts w:asciiTheme="majorHAnsi" w:hAnsiTheme="majorHAnsi" w:cs="Arial"/>
      <w:b/>
      <w:bCs/>
      <w:kern w:val="32"/>
      <w:sz w:val="26"/>
      <w:szCs w:val="26"/>
    </w:rPr>
  </w:style>
  <w:style w:type="paragraph" w:customStyle="1" w:styleId="Slog2">
    <w:name w:val="Slog2"/>
    <w:basedOn w:val="Naslov2"/>
    <w:link w:val="Slog2Znak"/>
    <w:qFormat/>
    <w:rsid w:val="006F52D8"/>
    <w:pPr>
      <w:numPr>
        <w:ilvl w:val="0"/>
        <w:numId w:val="0"/>
      </w:numPr>
      <w:ind w:left="576"/>
    </w:pPr>
    <w:rPr>
      <w:rFonts w:asciiTheme="majorHAnsi" w:hAnsiTheme="majorHAnsi" w:cs="Arial"/>
      <w:noProof/>
      <w:sz w:val="24"/>
      <w:szCs w:val="24"/>
    </w:rPr>
  </w:style>
  <w:style w:type="character" w:customStyle="1" w:styleId="Slog2Znak">
    <w:name w:val="Slog2 Znak"/>
    <w:basedOn w:val="Naslov2Znak"/>
    <w:link w:val="Slog2"/>
    <w:rsid w:val="006F52D8"/>
    <w:rPr>
      <w:rFonts w:asciiTheme="majorHAnsi" w:eastAsia="DejaVu Sans" w:hAnsiTheme="majorHAnsi" w:cs="Arial"/>
      <w:b/>
      <w:noProof/>
      <w:kern w:val="1"/>
      <w:sz w:val="24"/>
      <w:szCs w:val="24"/>
      <w:lang w:val="x-none" w:eastAsia="zh-CN"/>
    </w:rPr>
  </w:style>
  <w:style w:type="paragraph" w:customStyle="1" w:styleId="Slog3">
    <w:name w:val="Slog3"/>
    <w:basedOn w:val="Naslov2"/>
    <w:link w:val="Slog3Znak"/>
    <w:qFormat/>
    <w:rsid w:val="006F52D8"/>
    <w:pPr>
      <w:numPr>
        <w:ilvl w:val="0"/>
        <w:numId w:val="0"/>
      </w:numPr>
      <w:ind w:left="576"/>
    </w:pPr>
    <w:rPr>
      <w:rFonts w:asciiTheme="majorHAnsi" w:hAnsiTheme="majorHAnsi" w:cs="Arial"/>
      <w:noProof/>
      <w:sz w:val="24"/>
      <w:szCs w:val="24"/>
    </w:rPr>
  </w:style>
  <w:style w:type="character" w:customStyle="1" w:styleId="Slog3Znak">
    <w:name w:val="Slog3 Znak"/>
    <w:basedOn w:val="Naslov2Znak"/>
    <w:link w:val="Slog3"/>
    <w:rsid w:val="006F52D8"/>
    <w:rPr>
      <w:rFonts w:asciiTheme="majorHAnsi" w:eastAsia="DejaVu Sans" w:hAnsiTheme="majorHAnsi" w:cs="Arial"/>
      <w:b/>
      <w:noProof/>
      <w:kern w:val="1"/>
      <w:sz w:val="24"/>
      <w:szCs w:val="24"/>
      <w:lang w:val="x-none" w:eastAsia="zh-CN"/>
    </w:rPr>
  </w:style>
  <w:style w:type="character" w:customStyle="1" w:styleId="nlmarticle-title">
    <w:name w:val="nlm_article-title"/>
    <w:basedOn w:val="Privzetapisavaodstavka"/>
    <w:rsid w:val="00D4503E"/>
  </w:style>
  <w:style w:type="character" w:customStyle="1" w:styleId="contribdegrees">
    <w:name w:val="contribdegrees"/>
    <w:basedOn w:val="Privzetapisavaodstavka"/>
    <w:rsid w:val="00D4503E"/>
  </w:style>
  <w:style w:type="character" w:customStyle="1" w:styleId="orcid-icon">
    <w:name w:val="orcid-icon"/>
    <w:basedOn w:val="Privzetapisavaodstavka"/>
    <w:rsid w:val="00D4503E"/>
  </w:style>
  <w:style w:type="character" w:customStyle="1" w:styleId="ref-lnk">
    <w:name w:val="ref-lnk"/>
    <w:basedOn w:val="Privzetapisavaodstavka"/>
    <w:rsid w:val="00D4503E"/>
  </w:style>
  <w:style w:type="character" w:customStyle="1" w:styleId="off-screen">
    <w:name w:val="off-screen"/>
    <w:basedOn w:val="Privzetapisavaodstavka"/>
    <w:rsid w:val="00D4503E"/>
  </w:style>
  <w:style w:type="character" w:customStyle="1" w:styleId="citationsource-journal">
    <w:name w:val="citation_source-journal"/>
    <w:basedOn w:val="Privzetapisavaodstavka"/>
    <w:rsid w:val="00D4503E"/>
  </w:style>
  <w:style w:type="character" w:customStyle="1" w:styleId="googlescholar-container">
    <w:name w:val="googlescholar-container"/>
    <w:basedOn w:val="Privzetapisavaodstavka"/>
    <w:rsid w:val="00D4503E"/>
  </w:style>
  <w:style w:type="paragraph" w:customStyle="1" w:styleId="tevilnatoka111">
    <w:name w:val="Številčna točka 1.1.1"/>
    <w:basedOn w:val="Navaden"/>
    <w:qFormat/>
    <w:rsid w:val="002E6282"/>
    <w:pPr>
      <w:widowControl w:val="0"/>
      <w:numPr>
        <w:ilvl w:val="2"/>
        <w:numId w:val="18"/>
      </w:numPr>
      <w:overflowPunct w:val="0"/>
      <w:autoSpaceDE w:val="0"/>
      <w:autoSpaceDN w:val="0"/>
      <w:adjustRightInd w:val="0"/>
      <w:jc w:val="both"/>
    </w:pPr>
    <w:rPr>
      <w:rFonts w:ascii="Arial" w:eastAsia="Calibri" w:hAnsi="Arial"/>
      <w:sz w:val="22"/>
      <w:szCs w:val="16"/>
    </w:rPr>
  </w:style>
  <w:style w:type="character" w:customStyle="1" w:styleId="tevilnatokaZnak">
    <w:name w:val="Številčna točka Znak"/>
    <w:link w:val="tevilnatoka"/>
    <w:qFormat/>
    <w:locked/>
    <w:rsid w:val="002E6282"/>
    <w:rPr>
      <w:rFonts w:ascii="Arial" w:hAnsi="Arial"/>
      <w:lang w:val="x-none" w:eastAsia="x-none"/>
    </w:rPr>
  </w:style>
  <w:style w:type="paragraph" w:customStyle="1" w:styleId="tevilnatoka">
    <w:name w:val="Številčna točka"/>
    <w:basedOn w:val="Navaden"/>
    <w:link w:val="tevilnatokaZnak"/>
    <w:qFormat/>
    <w:rsid w:val="002E6282"/>
    <w:pPr>
      <w:numPr>
        <w:numId w:val="18"/>
      </w:numPr>
      <w:jc w:val="both"/>
    </w:pPr>
    <w:rPr>
      <w:rFonts w:ascii="Arial" w:hAnsi="Arial"/>
      <w:sz w:val="20"/>
      <w:szCs w:val="20"/>
      <w:lang w:val="x-none" w:eastAsia="x-none"/>
    </w:rPr>
  </w:style>
  <w:style w:type="paragraph" w:customStyle="1" w:styleId="tevilnatoka11Nova">
    <w:name w:val="Številčna točka 1.1 Nova"/>
    <w:basedOn w:val="tevilnatoka"/>
    <w:qFormat/>
    <w:rsid w:val="002E6282"/>
    <w:pPr>
      <w:numPr>
        <w:ilvl w:val="1"/>
      </w:numPr>
      <w:tabs>
        <w:tab w:val="clear" w:pos="425"/>
        <w:tab w:val="num" w:pos="360"/>
        <w:tab w:val="num" w:pos="850"/>
        <w:tab w:val="num" w:pos="144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242">
      <w:bodyDiv w:val="1"/>
      <w:marLeft w:val="0"/>
      <w:marRight w:val="0"/>
      <w:marTop w:val="0"/>
      <w:marBottom w:val="0"/>
      <w:divBdr>
        <w:top w:val="none" w:sz="0" w:space="0" w:color="auto"/>
        <w:left w:val="none" w:sz="0" w:space="0" w:color="auto"/>
        <w:bottom w:val="none" w:sz="0" w:space="0" w:color="auto"/>
        <w:right w:val="none" w:sz="0" w:space="0" w:color="auto"/>
      </w:divBdr>
    </w:div>
    <w:div w:id="23992930">
      <w:bodyDiv w:val="1"/>
      <w:marLeft w:val="0"/>
      <w:marRight w:val="0"/>
      <w:marTop w:val="0"/>
      <w:marBottom w:val="0"/>
      <w:divBdr>
        <w:top w:val="none" w:sz="0" w:space="0" w:color="auto"/>
        <w:left w:val="none" w:sz="0" w:space="0" w:color="auto"/>
        <w:bottom w:val="none" w:sz="0" w:space="0" w:color="auto"/>
        <w:right w:val="none" w:sz="0" w:space="0" w:color="auto"/>
      </w:divBdr>
    </w:div>
    <w:div w:id="140344240">
      <w:bodyDiv w:val="1"/>
      <w:marLeft w:val="0"/>
      <w:marRight w:val="0"/>
      <w:marTop w:val="0"/>
      <w:marBottom w:val="0"/>
      <w:divBdr>
        <w:top w:val="none" w:sz="0" w:space="0" w:color="auto"/>
        <w:left w:val="none" w:sz="0" w:space="0" w:color="auto"/>
        <w:bottom w:val="none" w:sz="0" w:space="0" w:color="auto"/>
        <w:right w:val="none" w:sz="0" w:space="0" w:color="auto"/>
      </w:divBdr>
    </w:div>
    <w:div w:id="141628910">
      <w:bodyDiv w:val="1"/>
      <w:marLeft w:val="0"/>
      <w:marRight w:val="0"/>
      <w:marTop w:val="0"/>
      <w:marBottom w:val="0"/>
      <w:divBdr>
        <w:top w:val="none" w:sz="0" w:space="0" w:color="auto"/>
        <w:left w:val="none" w:sz="0" w:space="0" w:color="auto"/>
        <w:bottom w:val="none" w:sz="0" w:space="0" w:color="auto"/>
        <w:right w:val="none" w:sz="0" w:space="0" w:color="auto"/>
      </w:divBdr>
    </w:div>
    <w:div w:id="168254272">
      <w:bodyDiv w:val="1"/>
      <w:marLeft w:val="0"/>
      <w:marRight w:val="0"/>
      <w:marTop w:val="0"/>
      <w:marBottom w:val="0"/>
      <w:divBdr>
        <w:top w:val="none" w:sz="0" w:space="0" w:color="auto"/>
        <w:left w:val="none" w:sz="0" w:space="0" w:color="auto"/>
        <w:bottom w:val="none" w:sz="0" w:space="0" w:color="auto"/>
        <w:right w:val="none" w:sz="0" w:space="0" w:color="auto"/>
      </w:divBdr>
    </w:div>
    <w:div w:id="295840534">
      <w:bodyDiv w:val="1"/>
      <w:marLeft w:val="0"/>
      <w:marRight w:val="0"/>
      <w:marTop w:val="0"/>
      <w:marBottom w:val="0"/>
      <w:divBdr>
        <w:top w:val="none" w:sz="0" w:space="0" w:color="auto"/>
        <w:left w:val="none" w:sz="0" w:space="0" w:color="auto"/>
        <w:bottom w:val="none" w:sz="0" w:space="0" w:color="auto"/>
        <w:right w:val="none" w:sz="0" w:space="0" w:color="auto"/>
      </w:divBdr>
    </w:div>
    <w:div w:id="311913008">
      <w:bodyDiv w:val="1"/>
      <w:marLeft w:val="0"/>
      <w:marRight w:val="0"/>
      <w:marTop w:val="0"/>
      <w:marBottom w:val="0"/>
      <w:divBdr>
        <w:top w:val="none" w:sz="0" w:space="0" w:color="auto"/>
        <w:left w:val="none" w:sz="0" w:space="0" w:color="auto"/>
        <w:bottom w:val="none" w:sz="0" w:space="0" w:color="auto"/>
        <w:right w:val="none" w:sz="0" w:space="0" w:color="auto"/>
      </w:divBdr>
      <w:divsChild>
        <w:div w:id="1812599866">
          <w:marLeft w:val="0"/>
          <w:marRight w:val="0"/>
          <w:marTop w:val="0"/>
          <w:marBottom w:val="0"/>
          <w:divBdr>
            <w:top w:val="none" w:sz="0" w:space="0" w:color="auto"/>
            <w:left w:val="none" w:sz="0" w:space="0" w:color="auto"/>
            <w:bottom w:val="none" w:sz="0" w:space="0" w:color="auto"/>
            <w:right w:val="none" w:sz="0" w:space="0" w:color="auto"/>
          </w:divBdr>
          <w:divsChild>
            <w:div w:id="1037270248">
              <w:marLeft w:val="0"/>
              <w:marRight w:val="0"/>
              <w:marTop w:val="0"/>
              <w:marBottom w:val="0"/>
              <w:divBdr>
                <w:top w:val="none" w:sz="0" w:space="0" w:color="auto"/>
                <w:left w:val="none" w:sz="0" w:space="0" w:color="auto"/>
                <w:bottom w:val="none" w:sz="0" w:space="0" w:color="auto"/>
                <w:right w:val="none" w:sz="0" w:space="0" w:color="auto"/>
              </w:divBdr>
              <w:divsChild>
                <w:div w:id="658194658">
                  <w:marLeft w:val="0"/>
                  <w:marRight w:val="0"/>
                  <w:marTop w:val="0"/>
                  <w:marBottom w:val="0"/>
                  <w:divBdr>
                    <w:top w:val="none" w:sz="0" w:space="0" w:color="auto"/>
                    <w:left w:val="none" w:sz="0" w:space="0" w:color="auto"/>
                    <w:bottom w:val="none" w:sz="0" w:space="0" w:color="auto"/>
                    <w:right w:val="none" w:sz="0" w:space="0" w:color="auto"/>
                  </w:divBdr>
                  <w:divsChild>
                    <w:div w:id="1724980391">
                      <w:marLeft w:val="0"/>
                      <w:marRight w:val="0"/>
                      <w:marTop w:val="0"/>
                      <w:marBottom w:val="0"/>
                      <w:divBdr>
                        <w:top w:val="none" w:sz="0" w:space="0" w:color="auto"/>
                        <w:left w:val="none" w:sz="0" w:space="0" w:color="auto"/>
                        <w:bottom w:val="none" w:sz="0" w:space="0" w:color="auto"/>
                        <w:right w:val="none" w:sz="0" w:space="0" w:color="auto"/>
                      </w:divBdr>
                    </w:div>
                    <w:div w:id="1371493025">
                      <w:marLeft w:val="0"/>
                      <w:marRight w:val="0"/>
                      <w:marTop w:val="0"/>
                      <w:marBottom w:val="0"/>
                      <w:divBdr>
                        <w:top w:val="none" w:sz="0" w:space="0" w:color="auto"/>
                        <w:left w:val="none" w:sz="0" w:space="0" w:color="auto"/>
                        <w:bottom w:val="none" w:sz="0" w:space="0" w:color="auto"/>
                        <w:right w:val="none" w:sz="0" w:space="0" w:color="auto"/>
                      </w:divBdr>
                    </w:div>
                    <w:div w:id="281771562">
                      <w:marLeft w:val="0"/>
                      <w:marRight w:val="0"/>
                      <w:marTop w:val="0"/>
                      <w:marBottom w:val="0"/>
                      <w:divBdr>
                        <w:top w:val="none" w:sz="0" w:space="0" w:color="auto"/>
                        <w:left w:val="none" w:sz="0" w:space="0" w:color="auto"/>
                        <w:bottom w:val="none" w:sz="0" w:space="0" w:color="auto"/>
                        <w:right w:val="none" w:sz="0" w:space="0" w:color="auto"/>
                      </w:divBdr>
                    </w:div>
                    <w:div w:id="8232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692210">
      <w:bodyDiv w:val="1"/>
      <w:marLeft w:val="0"/>
      <w:marRight w:val="0"/>
      <w:marTop w:val="0"/>
      <w:marBottom w:val="0"/>
      <w:divBdr>
        <w:top w:val="none" w:sz="0" w:space="0" w:color="auto"/>
        <w:left w:val="none" w:sz="0" w:space="0" w:color="auto"/>
        <w:bottom w:val="none" w:sz="0" w:space="0" w:color="auto"/>
        <w:right w:val="none" w:sz="0" w:space="0" w:color="auto"/>
      </w:divBdr>
    </w:div>
    <w:div w:id="354887134">
      <w:bodyDiv w:val="1"/>
      <w:marLeft w:val="0"/>
      <w:marRight w:val="0"/>
      <w:marTop w:val="0"/>
      <w:marBottom w:val="0"/>
      <w:divBdr>
        <w:top w:val="none" w:sz="0" w:space="0" w:color="auto"/>
        <w:left w:val="none" w:sz="0" w:space="0" w:color="auto"/>
        <w:bottom w:val="none" w:sz="0" w:space="0" w:color="auto"/>
        <w:right w:val="none" w:sz="0" w:space="0" w:color="auto"/>
      </w:divBdr>
    </w:div>
    <w:div w:id="374353614">
      <w:bodyDiv w:val="1"/>
      <w:marLeft w:val="0"/>
      <w:marRight w:val="0"/>
      <w:marTop w:val="0"/>
      <w:marBottom w:val="0"/>
      <w:divBdr>
        <w:top w:val="none" w:sz="0" w:space="0" w:color="auto"/>
        <w:left w:val="none" w:sz="0" w:space="0" w:color="auto"/>
        <w:bottom w:val="none" w:sz="0" w:space="0" w:color="auto"/>
        <w:right w:val="none" w:sz="0" w:space="0" w:color="auto"/>
      </w:divBdr>
    </w:div>
    <w:div w:id="378940526">
      <w:bodyDiv w:val="1"/>
      <w:marLeft w:val="0"/>
      <w:marRight w:val="0"/>
      <w:marTop w:val="0"/>
      <w:marBottom w:val="0"/>
      <w:divBdr>
        <w:top w:val="none" w:sz="0" w:space="0" w:color="auto"/>
        <w:left w:val="none" w:sz="0" w:space="0" w:color="auto"/>
        <w:bottom w:val="none" w:sz="0" w:space="0" w:color="auto"/>
        <w:right w:val="none" w:sz="0" w:space="0" w:color="auto"/>
      </w:divBdr>
    </w:div>
    <w:div w:id="439493114">
      <w:bodyDiv w:val="1"/>
      <w:marLeft w:val="0"/>
      <w:marRight w:val="0"/>
      <w:marTop w:val="0"/>
      <w:marBottom w:val="0"/>
      <w:divBdr>
        <w:top w:val="none" w:sz="0" w:space="0" w:color="auto"/>
        <w:left w:val="none" w:sz="0" w:space="0" w:color="auto"/>
        <w:bottom w:val="none" w:sz="0" w:space="0" w:color="auto"/>
        <w:right w:val="none" w:sz="0" w:space="0" w:color="auto"/>
      </w:divBdr>
    </w:div>
    <w:div w:id="493182844">
      <w:bodyDiv w:val="1"/>
      <w:marLeft w:val="0"/>
      <w:marRight w:val="0"/>
      <w:marTop w:val="0"/>
      <w:marBottom w:val="0"/>
      <w:divBdr>
        <w:top w:val="none" w:sz="0" w:space="0" w:color="auto"/>
        <w:left w:val="none" w:sz="0" w:space="0" w:color="auto"/>
        <w:bottom w:val="none" w:sz="0" w:space="0" w:color="auto"/>
        <w:right w:val="none" w:sz="0" w:space="0" w:color="auto"/>
      </w:divBdr>
    </w:div>
    <w:div w:id="598023176">
      <w:bodyDiv w:val="1"/>
      <w:marLeft w:val="0"/>
      <w:marRight w:val="0"/>
      <w:marTop w:val="0"/>
      <w:marBottom w:val="0"/>
      <w:divBdr>
        <w:top w:val="none" w:sz="0" w:space="0" w:color="auto"/>
        <w:left w:val="none" w:sz="0" w:space="0" w:color="auto"/>
        <w:bottom w:val="none" w:sz="0" w:space="0" w:color="auto"/>
        <w:right w:val="none" w:sz="0" w:space="0" w:color="auto"/>
      </w:divBdr>
    </w:div>
    <w:div w:id="603225499">
      <w:bodyDiv w:val="1"/>
      <w:marLeft w:val="0"/>
      <w:marRight w:val="0"/>
      <w:marTop w:val="0"/>
      <w:marBottom w:val="0"/>
      <w:divBdr>
        <w:top w:val="none" w:sz="0" w:space="0" w:color="auto"/>
        <w:left w:val="none" w:sz="0" w:space="0" w:color="auto"/>
        <w:bottom w:val="none" w:sz="0" w:space="0" w:color="auto"/>
        <w:right w:val="none" w:sz="0" w:space="0" w:color="auto"/>
      </w:divBdr>
    </w:div>
    <w:div w:id="671034834">
      <w:bodyDiv w:val="1"/>
      <w:marLeft w:val="0"/>
      <w:marRight w:val="0"/>
      <w:marTop w:val="0"/>
      <w:marBottom w:val="0"/>
      <w:divBdr>
        <w:top w:val="none" w:sz="0" w:space="0" w:color="auto"/>
        <w:left w:val="none" w:sz="0" w:space="0" w:color="auto"/>
        <w:bottom w:val="none" w:sz="0" w:space="0" w:color="auto"/>
        <w:right w:val="none" w:sz="0" w:space="0" w:color="auto"/>
      </w:divBdr>
      <w:divsChild>
        <w:div w:id="128790005">
          <w:marLeft w:val="0"/>
          <w:marRight w:val="0"/>
          <w:marTop w:val="0"/>
          <w:marBottom w:val="0"/>
          <w:divBdr>
            <w:top w:val="none" w:sz="0" w:space="0" w:color="auto"/>
            <w:left w:val="none" w:sz="0" w:space="0" w:color="auto"/>
            <w:bottom w:val="none" w:sz="0" w:space="0" w:color="auto"/>
            <w:right w:val="none" w:sz="0" w:space="0" w:color="auto"/>
          </w:divBdr>
          <w:divsChild>
            <w:div w:id="1083717356">
              <w:marLeft w:val="0"/>
              <w:marRight w:val="0"/>
              <w:marTop w:val="0"/>
              <w:marBottom w:val="0"/>
              <w:divBdr>
                <w:top w:val="none" w:sz="0" w:space="0" w:color="auto"/>
                <w:left w:val="none" w:sz="0" w:space="0" w:color="auto"/>
                <w:bottom w:val="none" w:sz="0" w:space="0" w:color="auto"/>
                <w:right w:val="none" w:sz="0" w:space="0" w:color="auto"/>
              </w:divBdr>
            </w:div>
          </w:divsChild>
        </w:div>
        <w:div w:id="338850078">
          <w:marLeft w:val="0"/>
          <w:marRight w:val="0"/>
          <w:marTop w:val="0"/>
          <w:marBottom w:val="0"/>
          <w:divBdr>
            <w:top w:val="none" w:sz="0" w:space="0" w:color="auto"/>
            <w:left w:val="none" w:sz="0" w:space="0" w:color="auto"/>
            <w:bottom w:val="none" w:sz="0" w:space="0" w:color="auto"/>
            <w:right w:val="none" w:sz="0" w:space="0" w:color="auto"/>
          </w:divBdr>
        </w:div>
        <w:div w:id="595089943">
          <w:marLeft w:val="0"/>
          <w:marRight w:val="0"/>
          <w:marTop w:val="0"/>
          <w:marBottom w:val="0"/>
          <w:divBdr>
            <w:top w:val="none" w:sz="0" w:space="0" w:color="auto"/>
            <w:left w:val="none" w:sz="0" w:space="0" w:color="auto"/>
            <w:bottom w:val="none" w:sz="0" w:space="0" w:color="auto"/>
            <w:right w:val="none" w:sz="0" w:space="0" w:color="auto"/>
          </w:divBdr>
        </w:div>
      </w:divsChild>
    </w:div>
    <w:div w:id="679701495">
      <w:bodyDiv w:val="1"/>
      <w:marLeft w:val="0"/>
      <w:marRight w:val="0"/>
      <w:marTop w:val="0"/>
      <w:marBottom w:val="0"/>
      <w:divBdr>
        <w:top w:val="none" w:sz="0" w:space="0" w:color="auto"/>
        <w:left w:val="none" w:sz="0" w:space="0" w:color="auto"/>
        <w:bottom w:val="none" w:sz="0" w:space="0" w:color="auto"/>
        <w:right w:val="none" w:sz="0" w:space="0" w:color="auto"/>
      </w:divBdr>
    </w:div>
    <w:div w:id="755249049">
      <w:bodyDiv w:val="1"/>
      <w:marLeft w:val="0"/>
      <w:marRight w:val="0"/>
      <w:marTop w:val="0"/>
      <w:marBottom w:val="0"/>
      <w:divBdr>
        <w:top w:val="none" w:sz="0" w:space="0" w:color="auto"/>
        <w:left w:val="none" w:sz="0" w:space="0" w:color="auto"/>
        <w:bottom w:val="none" w:sz="0" w:space="0" w:color="auto"/>
        <w:right w:val="none" w:sz="0" w:space="0" w:color="auto"/>
      </w:divBdr>
    </w:div>
    <w:div w:id="794523690">
      <w:bodyDiv w:val="1"/>
      <w:marLeft w:val="0"/>
      <w:marRight w:val="0"/>
      <w:marTop w:val="0"/>
      <w:marBottom w:val="0"/>
      <w:divBdr>
        <w:top w:val="none" w:sz="0" w:space="0" w:color="auto"/>
        <w:left w:val="none" w:sz="0" w:space="0" w:color="auto"/>
        <w:bottom w:val="none" w:sz="0" w:space="0" w:color="auto"/>
        <w:right w:val="none" w:sz="0" w:space="0" w:color="auto"/>
      </w:divBdr>
    </w:div>
    <w:div w:id="813176574">
      <w:bodyDiv w:val="1"/>
      <w:marLeft w:val="0"/>
      <w:marRight w:val="0"/>
      <w:marTop w:val="0"/>
      <w:marBottom w:val="0"/>
      <w:divBdr>
        <w:top w:val="none" w:sz="0" w:space="0" w:color="auto"/>
        <w:left w:val="none" w:sz="0" w:space="0" w:color="auto"/>
        <w:bottom w:val="none" w:sz="0" w:space="0" w:color="auto"/>
        <w:right w:val="none" w:sz="0" w:space="0" w:color="auto"/>
      </w:divBdr>
    </w:div>
    <w:div w:id="838037483">
      <w:bodyDiv w:val="1"/>
      <w:marLeft w:val="0"/>
      <w:marRight w:val="0"/>
      <w:marTop w:val="0"/>
      <w:marBottom w:val="0"/>
      <w:divBdr>
        <w:top w:val="none" w:sz="0" w:space="0" w:color="auto"/>
        <w:left w:val="none" w:sz="0" w:space="0" w:color="auto"/>
        <w:bottom w:val="none" w:sz="0" w:space="0" w:color="auto"/>
        <w:right w:val="none" w:sz="0" w:space="0" w:color="auto"/>
      </w:divBdr>
      <w:divsChild>
        <w:div w:id="159809466">
          <w:marLeft w:val="446"/>
          <w:marRight w:val="0"/>
          <w:marTop w:val="77"/>
          <w:marBottom w:val="0"/>
          <w:divBdr>
            <w:top w:val="none" w:sz="0" w:space="0" w:color="auto"/>
            <w:left w:val="none" w:sz="0" w:space="0" w:color="auto"/>
            <w:bottom w:val="none" w:sz="0" w:space="0" w:color="auto"/>
            <w:right w:val="none" w:sz="0" w:space="0" w:color="auto"/>
          </w:divBdr>
        </w:div>
      </w:divsChild>
    </w:div>
    <w:div w:id="842402471">
      <w:bodyDiv w:val="1"/>
      <w:marLeft w:val="0"/>
      <w:marRight w:val="0"/>
      <w:marTop w:val="0"/>
      <w:marBottom w:val="0"/>
      <w:divBdr>
        <w:top w:val="none" w:sz="0" w:space="0" w:color="auto"/>
        <w:left w:val="none" w:sz="0" w:space="0" w:color="auto"/>
        <w:bottom w:val="none" w:sz="0" w:space="0" w:color="auto"/>
        <w:right w:val="none" w:sz="0" w:space="0" w:color="auto"/>
      </w:divBdr>
    </w:div>
    <w:div w:id="875779110">
      <w:bodyDiv w:val="1"/>
      <w:marLeft w:val="0"/>
      <w:marRight w:val="0"/>
      <w:marTop w:val="0"/>
      <w:marBottom w:val="0"/>
      <w:divBdr>
        <w:top w:val="none" w:sz="0" w:space="0" w:color="auto"/>
        <w:left w:val="none" w:sz="0" w:space="0" w:color="auto"/>
        <w:bottom w:val="none" w:sz="0" w:space="0" w:color="auto"/>
        <w:right w:val="none" w:sz="0" w:space="0" w:color="auto"/>
      </w:divBdr>
    </w:div>
    <w:div w:id="875973524">
      <w:bodyDiv w:val="1"/>
      <w:marLeft w:val="0"/>
      <w:marRight w:val="0"/>
      <w:marTop w:val="0"/>
      <w:marBottom w:val="0"/>
      <w:divBdr>
        <w:top w:val="none" w:sz="0" w:space="0" w:color="auto"/>
        <w:left w:val="none" w:sz="0" w:space="0" w:color="auto"/>
        <w:bottom w:val="none" w:sz="0" w:space="0" w:color="auto"/>
        <w:right w:val="none" w:sz="0" w:space="0" w:color="auto"/>
      </w:divBdr>
      <w:divsChild>
        <w:div w:id="854733325">
          <w:marLeft w:val="446"/>
          <w:marRight w:val="0"/>
          <w:marTop w:val="77"/>
          <w:marBottom w:val="0"/>
          <w:divBdr>
            <w:top w:val="none" w:sz="0" w:space="0" w:color="auto"/>
            <w:left w:val="none" w:sz="0" w:space="0" w:color="auto"/>
            <w:bottom w:val="none" w:sz="0" w:space="0" w:color="auto"/>
            <w:right w:val="none" w:sz="0" w:space="0" w:color="auto"/>
          </w:divBdr>
        </w:div>
      </w:divsChild>
    </w:div>
    <w:div w:id="913004336">
      <w:bodyDiv w:val="1"/>
      <w:marLeft w:val="0"/>
      <w:marRight w:val="0"/>
      <w:marTop w:val="0"/>
      <w:marBottom w:val="0"/>
      <w:divBdr>
        <w:top w:val="none" w:sz="0" w:space="0" w:color="auto"/>
        <w:left w:val="none" w:sz="0" w:space="0" w:color="auto"/>
        <w:bottom w:val="none" w:sz="0" w:space="0" w:color="auto"/>
        <w:right w:val="none" w:sz="0" w:space="0" w:color="auto"/>
      </w:divBdr>
    </w:div>
    <w:div w:id="950281011">
      <w:bodyDiv w:val="1"/>
      <w:marLeft w:val="0"/>
      <w:marRight w:val="0"/>
      <w:marTop w:val="0"/>
      <w:marBottom w:val="0"/>
      <w:divBdr>
        <w:top w:val="none" w:sz="0" w:space="0" w:color="auto"/>
        <w:left w:val="none" w:sz="0" w:space="0" w:color="auto"/>
        <w:bottom w:val="none" w:sz="0" w:space="0" w:color="auto"/>
        <w:right w:val="none" w:sz="0" w:space="0" w:color="auto"/>
      </w:divBdr>
    </w:div>
    <w:div w:id="986475454">
      <w:bodyDiv w:val="1"/>
      <w:marLeft w:val="0"/>
      <w:marRight w:val="0"/>
      <w:marTop w:val="0"/>
      <w:marBottom w:val="0"/>
      <w:divBdr>
        <w:top w:val="none" w:sz="0" w:space="0" w:color="auto"/>
        <w:left w:val="none" w:sz="0" w:space="0" w:color="auto"/>
        <w:bottom w:val="none" w:sz="0" w:space="0" w:color="auto"/>
        <w:right w:val="none" w:sz="0" w:space="0" w:color="auto"/>
      </w:divBdr>
      <w:divsChild>
        <w:div w:id="791705050">
          <w:marLeft w:val="0"/>
          <w:marRight w:val="0"/>
          <w:marTop w:val="0"/>
          <w:marBottom w:val="0"/>
          <w:divBdr>
            <w:top w:val="none" w:sz="0" w:space="0" w:color="auto"/>
            <w:left w:val="none" w:sz="0" w:space="0" w:color="auto"/>
            <w:bottom w:val="none" w:sz="0" w:space="0" w:color="auto"/>
            <w:right w:val="none" w:sz="0" w:space="0" w:color="auto"/>
          </w:divBdr>
        </w:div>
        <w:div w:id="1523592987">
          <w:marLeft w:val="0"/>
          <w:marRight w:val="0"/>
          <w:marTop w:val="0"/>
          <w:marBottom w:val="0"/>
          <w:divBdr>
            <w:top w:val="none" w:sz="0" w:space="0" w:color="auto"/>
            <w:left w:val="none" w:sz="0" w:space="0" w:color="auto"/>
            <w:bottom w:val="none" w:sz="0" w:space="0" w:color="auto"/>
            <w:right w:val="none" w:sz="0" w:space="0" w:color="auto"/>
          </w:divBdr>
        </w:div>
        <w:div w:id="1664432451">
          <w:marLeft w:val="0"/>
          <w:marRight w:val="0"/>
          <w:marTop w:val="0"/>
          <w:marBottom w:val="0"/>
          <w:divBdr>
            <w:top w:val="none" w:sz="0" w:space="0" w:color="auto"/>
            <w:left w:val="none" w:sz="0" w:space="0" w:color="auto"/>
            <w:bottom w:val="none" w:sz="0" w:space="0" w:color="auto"/>
            <w:right w:val="none" w:sz="0" w:space="0" w:color="auto"/>
          </w:divBdr>
        </w:div>
        <w:div w:id="1776906393">
          <w:marLeft w:val="0"/>
          <w:marRight w:val="0"/>
          <w:marTop w:val="0"/>
          <w:marBottom w:val="0"/>
          <w:divBdr>
            <w:top w:val="none" w:sz="0" w:space="0" w:color="auto"/>
            <w:left w:val="none" w:sz="0" w:space="0" w:color="auto"/>
            <w:bottom w:val="none" w:sz="0" w:space="0" w:color="auto"/>
            <w:right w:val="none" w:sz="0" w:space="0" w:color="auto"/>
          </w:divBdr>
        </w:div>
      </w:divsChild>
    </w:div>
    <w:div w:id="1053654107">
      <w:bodyDiv w:val="1"/>
      <w:marLeft w:val="0"/>
      <w:marRight w:val="0"/>
      <w:marTop w:val="0"/>
      <w:marBottom w:val="0"/>
      <w:divBdr>
        <w:top w:val="none" w:sz="0" w:space="0" w:color="auto"/>
        <w:left w:val="none" w:sz="0" w:space="0" w:color="auto"/>
        <w:bottom w:val="none" w:sz="0" w:space="0" w:color="auto"/>
        <w:right w:val="none" w:sz="0" w:space="0" w:color="auto"/>
      </w:divBdr>
    </w:div>
    <w:div w:id="1213076586">
      <w:bodyDiv w:val="1"/>
      <w:marLeft w:val="0"/>
      <w:marRight w:val="0"/>
      <w:marTop w:val="0"/>
      <w:marBottom w:val="0"/>
      <w:divBdr>
        <w:top w:val="none" w:sz="0" w:space="0" w:color="auto"/>
        <w:left w:val="none" w:sz="0" w:space="0" w:color="auto"/>
        <w:bottom w:val="none" w:sz="0" w:space="0" w:color="auto"/>
        <w:right w:val="none" w:sz="0" w:space="0" w:color="auto"/>
      </w:divBdr>
      <w:divsChild>
        <w:div w:id="2012488892">
          <w:marLeft w:val="0"/>
          <w:marRight w:val="0"/>
          <w:marTop w:val="0"/>
          <w:marBottom w:val="0"/>
          <w:divBdr>
            <w:top w:val="none" w:sz="0" w:space="0" w:color="auto"/>
            <w:left w:val="none" w:sz="0" w:space="0" w:color="auto"/>
            <w:bottom w:val="none" w:sz="0" w:space="0" w:color="auto"/>
            <w:right w:val="none" w:sz="0" w:space="0" w:color="auto"/>
          </w:divBdr>
        </w:div>
      </w:divsChild>
    </w:div>
    <w:div w:id="1296643327">
      <w:bodyDiv w:val="1"/>
      <w:marLeft w:val="0"/>
      <w:marRight w:val="0"/>
      <w:marTop w:val="0"/>
      <w:marBottom w:val="0"/>
      <w:divBdr>
        <w:top w:val="none" w:sz="0" w:space="0" w:color="auto"/>
        <w:left w:val="none" w:sz="0" w:space="0" w:color="auto"/>
        <w:bottom w:val="none" w:sz="0" w:space="0" w:color="auto"/>
        <w:right w:val="none" w:sz="0" w:space="0" w:color="auto"/>
      </w:divBdr>
    </w:div>
    <w:div w:id="1318191133">
      <w:bodyDiv w:val="1"/>
      <w:marLeft w:val="0"/>
      <w:marRight w:val="0"/>
      <w:marTop w:val="0"/>
      <w:marBottom w:val="0"/>
      <w:divBdr>
        <w:top w:val="none" w:sz="0" w:space="0" w:color="auto"/>
        <w:left w:val="none" w:sz="0" w:space="0" w:color="auto"/>
        <w:bottom w:val="none" w:sz="0" w:space="0" w:color="auto"/>
        <w:right w:val="none" w:sz="0" w:space="0" w:color="auto"/>
      </w:divBdr>
    </w:div>
    <w:div w:id="1378047051">
      <w:bodyDiv w:val="1"/>
      <w:marLeft w:val="0"/>
      <w:marRight w:val="0"/>
      <w:marTop w:val="0"/>
      <w:marBottom w:val="0"/>
      <w:divBdr>
        <w:top w:val="none" w:sz="0" w:space="0" w:color="auto"/>
        <w:left w:val="none" w:sz="0" w:space="0" w:color="auto"/>
        <w:bottom w:val="none" w:sz="0" w:space="0" w:color="auto"/>
        <w:right w:val="none" w:sz="0" w:space="0" w:color="auto"/>
      </w:divBdr>
    </w:div>
    <w:div w:id="1388802465">
      <w:bodyDiv w:val="1"/>
      <w:marLeft w:val="0"/>
      <w:marRight w:val="0"/>
      <w:marTop w:val="0"/>
      <w:marBottom w:val="0"/>
      <w:divBdr>
        <w:top w:val="none" w:sz="0" w:space="0" w:color="auto"/>
        <w:left w:val="none" w:sz="0" w:space="0" w:color="auto"/>
        <w:bottom w:val="none" w:sz="0" w:space="0" w:color="auto"/>
        <w:right w:val="none" w:sz="0" w:space="0" w:color="auto"/>
      </w:divBdr>
    </w:div>
    <w:div w:id="1450054388">
      <w:bodyDiv w:val="1"/>
      <w:marLeft w:val="0"/>
      <w:marRight w:val="0"/>
      <w:marTop w:val="0"/>
      <w:marBottom w:val="0"/>
      <w:divBdr>
        <w:top w:val="none" w:sz="0" w:space="0" w:color="auto"/>
        <w:left w:val="none" w:sz="0" w:space="0" w:color="auto"/>
        <w:bottom w:val="none" w:sz="0" w:space="0" w:color="auto"/>
        <w:right w:val="none" w:sz="0" w:space="0" w:color="auto"/>
      </w:divBdr>
    </w:div>
    <w:div w:id="1465391948">
      <w:bodyDiv w:val="1"/>
      <w:marLeft w:val="0"/>
      <w:marRight w:val="0"/>
      <w:marTop w:val="0"/>
      <w:marBottom w:val="0"/>
      <w:divBdr>
        <w:top w:val="none" w:sz="0" w:space="0" w:color="auto"/>
        <w:left w:val="none" w:sz="0" w:space="0" w:color="auto"/>
        <w:bottom w:val="none" w:sz="0" w:space="0" w:color="auto"/>
        <w:right w:val="none" w:sz="0" w:space="0" w:color="auto"/>
      </w:divBdr>
    </w:div>
    <w:div w:id="1500072702">
      <w:bodyDiv w:val="1"/>
      <w:marLeft w:val="0"/>
      <w:marRight w:val="0"/>
      <w:marTop w:val="0"/>
      <w:marBottom w:val="0"/>
      <w:divBdr>
        <w:top w:val="none" w:sz="0" w:space="0" w:color="auto"/>
        <w:left w:val="none" w:sz="0" w:space="0" w:color="auto"/>
        <w:bottom w:val="none" w:sz="0" w:space="0" w:color="auto"/>
        <w:right w:val="none" w:sz="0" w:space="0" w:color="auto"/>
      </w:divBdr>
    </w:div>
    <w:div w:id="1520046572">
      <w:bodyDiv w:val="1"/>
      <w:marLeft w:val="0"/>
      <w:marRight w:val="0"/>
      <w:marTop w:val="0"/>
      <w:marBottom w:val="0"/>
      <w:divBdr>
        <w:top w:val="none" w:sz="0" w:space="0" w:color="auto"/>
        <w:left w:val="none" w:sz="0" w:space="0" w:color="auto"/>
        <w:bottom w:val="none" w:sz="0" w:space="0" w:color="auto"/>
        <w:right w:val="none" w:sz="0" w:space="0" w:color="auto"/>
      </w:divBdr>
    </w:div>
    <w:div w:id="1548419563">
      <w:bodyDiv w:val="1"/>
      <w:marLeft w:val="0"/>
      <w:marRight w:val="0"/>
      <w:marTop w:val="0"/>
      <w:marBottom w:val="0"/>
      <w:divBdr>
        <w:top w:val="none" w:sz="0" w:space="0" w:color="auto"/>
        <w:left w:val="none" w:sz="0" w:space="0" w:color="auto"/>
        <w:bottom w:val="none" w:sz="0" w:space="0" w:color="auto"/>
        <w:right w:val="none" w:sz="0" w:space="0" w:color="auto"/>
      </w:divBdr>
      <w:divsChild>
        <w:div w:id="747507435">
          <w:marLeft w:val="0"/>
          <w:marRight w:val="0"/>
          <w:marTop w:val="0"/>
          <w:marBottom w:val="0"/>
          <w:divBdr>
            <w:top w:val="none" w:sz="0" w:space="0" w:color="auto"/>
            <w:left w:val="none" w:sz="0" w:space="0" w:color="auto"/>
            <w:bottom w:val="none" w:sz="0" w:space="0" w:color="auto"/>
            <w:right w:val="none" w:sz="0" w:space="0" w:color="auto"/>
          </w:divBdr>
        </w:div>
      </w:divsChild>
    </w:div>
    <w:div w:id="1556044705">
      <w:bodyDiv w:val="1"/>
      <w:marLeft w:val="0"/>
      <w:marRight w:val="0"/>
      <w:marTop w:val="0"/>
      <w:marBottom w:val="0"/>
      <w:divBdr>
        <w:top w:val="none" w:sz="0" w:space="0" w:color="auto"/>
        <w:left w:val="none" w:sz="0" w:space="0" w:color="auto"/>
        <w:bottom w:val="none" w:sz="0" w:space="0" w:color="auto"/>
        <w:right w:val="none" w:sz="0" w:space="0" w:color="auto"/>
      </w:divBdr>
    </w:div>
    <w:div w:id="1560510411">
      <w:bodyDiv w:val="1"/>
      <w:marLeft w:val="0"/>
      <w:marRight w:val="0"/>
      <w:marTop w:val="0"/>
      <w:marBottom w:val="0"/>
      <w:divBdr>
        <w:top w:val="none" w:sz="0" w:space="0" w:color="auto"/>
        <w:left w:val="none" w:sz="0" w:space="0" w:color="auto"/>
        <w:bottom w:val="none" w:sz="0" w:space="0" w:color="auto"/>
        <w:right w:val="none" w:sz="0" w:space="0" w:color="auto"/>
      </w:divBdr>
      <w:divsChild>
        <w:div w:id="707336149">
          <w:marLeft w:val="0"/>
          <w:marRight w:val="0"/>
          <w:marTop w:val="0"/>
          <w:marBottom w:val="0"/>
          <w:divBdr>
            <w:top w:val="none" w:sz="0" w:space="0" w:color="auto"/>
            <w:left w:val="none" w:sz="0" w:space="0" w:color="auto"/>
            <w:bottom w:val="none" w:sz="0" w:space="0" w:color="auto"/>
            <w:right w:val="none" w:sz="0" w:space="0" w:color="auto"/>
          </w:divBdr>
        </w:div>
      </w:divsChild>
    </w:div>
    <w:div w:id="1680346037">
      <w:bodyDiv w:val="1"/>
      <w:marLeft w:val="0"/>
      <w:marRight w:val="0"/>
      <w:marTop w:val="0"/>
      <w:marBottom w:val="0"/>
      <w:divBdr>
        <w:top w:val="none" w:sz="0" w:space="0" w:color="auto"/>
        <w:left w:val="none" w:sz="0" w:space="0" w:color="auto"/>
        <w:bottom w:val="none" w:sz="0" w:space="0" w:color="auto"/>
        <w:right w:val="none" w:sz="0" w:space="0" w:color="auto"/>
      </w:divBdr>
    </w:div>
    <w:div w:id="1754474505">
      <w:bodyDiv w:val="1"/>
      <w:marLeft w:val="0"/>
      <w:marRight w:val="0"/>
      <w:marTop w:val="0"/>
      <w:marBottom w:val="0"/>
      <w:divBdr>
        <w:top w:val="none" w:sz="0" w:space="0" w:color="auto"/>
        <w:left w:val="none" w:sz="0" w:space="0" w:color="auto"/>
        <w:bottom w:val="none" w:sz="0" w:space="0" w:color="auto"/>
        <w:right w:val="none" w:sz="0" w:space="0" w:color="auto"/>
      </w:divBdr>
    </w:div>
    <w:div w:id="1769159128">
      <w:bodyDiv w:val="1"/>
      <w:marLeft w:val="0"/>
      <w:marRight w:val="0"/>
      <w:marTop w:val="0"/>
      <w:marBottom w:val="0"/>
      <w:divBdr>
        <w:top w:val="none" w:sz="0" w:space="0" w:color="auto"/>
        <w:left w:val="none" w:sz="0" w:space="0" w:color="auto"/>
        <w:bottom w:val="none" w:sz="0" w:space="0" w:color="auto"/>
        <w:right w:val="none" w:sz="0" w:space="0" w:color="auto"/>
      </w:divBdr>
      <w:divsChild>
        <w:div w:id="533229402">
          <w:marLeft w:val="0"/>
          <w:marRight w:val="0"/>
          <w:marTop w:val="0"/>
          <w:marBottom w:val="0"/>
          <w:divBdr>
            <w:top w:val="none" w:sz="0" w:space="0" w:color="auto"/>
            <w:left w:val="none" w:sz="0" w:space="0" w:color="auto"/>
            <w:bottom w:val="none" w:sz="0" w:space="0" w:color="auto"/>
            <w:right w:val="none" w:sz="0" w:space="0" w:color="auto"/>
          </w:divBdr>
        </w:div>
        <w:div w:id="1274436008">
          <w:marLeft w:val="0"/>
          <w:marRight w:val="0"/>
          <w:marTop w:val="0"/>
          <w:marBottom w:val="0"/>
          <w:divBdr>
            <w:top w:val="none" w:sz="0" w:space="0" w:color="auto"/>
            <w:left w:val="none" w:sz="0" w:space="0" w:color="auto"/>
            <w:bottom w:val="none" w:sz="0" w:space="0" w:color="auto"/>
            <w:right w:val="none" w:sz="0" w:space="0" w:color="auto"/>
          </w:divBdr>
        </w:div>
      </w:divsChild>
    </w:div>
    <w:div w:id="1820540357">
      <w:bodyDiv w:val="1"/>
      <w:marLeft w:val="0"/>
      <w:marRight w:val="0"/>
      <w:marTop w:val="0"/>
      <w:marBottom w:val="0"/>
      <w:divBdr>
        <w:top w:val="none" w:sz="0" w:space="0" w:color="auto"/>
        <w:left w:val="none" w:sz="0" w:space="0" w:color="auto"/>
        <w:bottom w:val="none" w:sz="0" w:space="0" w:color="auto"/>
        <w:right w:val="none" w:sz="0" w:space="0" w:color="auto"/>
      </w:divBdr>
      <w:divsChild>
        <w:div w:id="810904436">
          <w:marLeft w:val="0"/>
          <w:marRight w:val="0"/>
          <w:marTop w:val="0"/>
          <w:marBottom w:val="0"/>
          <w:divBdr>
            <w:top w:val="none" w:sz="0" w:space="0" w:color="auto"/>
            <w:left w:val="none" w:sz="0" w:space="0" w:color="auto"/>
            <w:bottom w:val="none" w:sz="0" w:space="0" w:color="auto"/>
            <w:right w:val="none" w:sz="0" w:space="0" w:color="auto"/>
          </w:divBdr>
        </w:div>
      </w:divsChild>
    </w:div>
    <w:div w:id="1913199289">
      <w:bodyDiv w:val="1"/>
      <w:marLeft w:val="0"/>
      <w:marRight w:val="0"/>
      <w:marTop w:val="0"/>
      <w:marBottom w:val="0"/>
      <w:divBdr>
        <w:top w:val="none" w:sz="0" w:space="0" w:color="auto"/>
        <w:left w:val="none" w:sz="0" w:space="0" w:color="auto"/>
        <w:bottom w:val="none" w:sz="0" w:space="0" w:color="auto"/>
        <w:right w:val="none" w:sz="0" w:space="0" w:color="auto"/>
      </w:divBdr>
    </w:div>
    <w:div w:id="1964192193">
      <w:bodyDiv w:val="1"/>
      <w:marLeft w:val="0"/>
      <w:marRight w:val="0"/>
      <w:marTop w:val="0"/>
      <w:marBottom w:val="0"/>
      <w:divBdr>
        <w:top w:val="none" w:sz="0" w:space="0" w:color="auto"/>
        <w:left w:val="none" w:sz="0" w:space="0" w:color="auto"/>
        <w:bottom w:val="none" w:sz="0" w:space="0" w:color="auto"/>
        <w:right w:val="none" w:sz="0" w:space="0" w:color="auto"/>
      </w:divBdr>
    </w:div>
    <w:div w:id="1990018494">
      <w:bodyDiv w:val="1"/>
      <w:marLeft w:val="0"/>
      <w:marRight w:val="0"/>
      <w:marTop w:val="0"/>
      <w:marBottom w:val="0"/>
      <w:divBdr>
        <w:top w:val="none" w:sz="0" w:space="0" w:color="auto"/>
        <w:left w:val="none" w:sz="0" w:space="0" w:color="auto"/>
        <w:bottom w:val="none" w:sz="0" w:space="0" w:color="auto"/>
        <w:right w:val="none" w:sz="0" w:space="0" w:color="auto"/>
      </w:divBdr>
    </w:div>
    <w:div w:id="1990205062">
      <w:bodyDiv w:val="1"/>
      <w:marLeft w:val="0"/>
      <w:marRight w:val="0"/>
      <w:marTop w:val="0"/>
      <w:marBottom w:val="0"/>
      <w:divBdr>
        <w:top w:val="none" w:sz="0" w:space="0" w:color="auto"/>
        <w:left w:val="none" w:sz="0" w:space="0" w:color="auto"/>
        <w:bottom w:val="none" w:sz="0" w:space="0" w:color="auto"/>
        <w:right w:val="none" w:sz="0" w:space="0" w:color="auto"/>
      </w:divBdr>
    </w:div>
    <w:div w:id="2051412290">
      <w:bodyDiv w:val="1"/>
      <w:marLeft w:val="0"/>
      <w:marRight w:val="0"/>
      <w:marTop w:val="0"/>
      <w:marBottom w:val="0"/>
      <w:divBdr>
        <w:top w:val="none" w:sz="0" w:space="0" w:color="auto"/>
        <w:left w:val="none" w:sz="0" w:space="0" w:color="auto"/>
        <w:bottom w:val="none" w:sz="0" w:space="0" w:color="auto"/>
        <w:right w:val="none" w:sz="0" w:space="0" w:color="auto"/>
      </w:divBdr>
    </w:div>
    <w:div w:id="2092120220">
      <w:bodyDiv w:val="1"/>
      <w:marLeft w:val="0"/>
      <w:marRight w:val="0"/>
      <w:marTop w:val="0"/>
      <w:marBottom w:val="0"/>
      <w:divBdr>
        <w:top w:val="none" w:sz="0" w:space="0" w:color="auto"/>
        <w:left w:val="none" w:sz="0" w:space="0" w:color="auto"/>
        <w:bottom w:val="none" w:sz="0" w:space="0" w:color="auto"/>
        <w:right w:val="none" w:sz="0" w:space="0" w:color="auto"/>
      </w:divBdr>
    </w:div>
    <w:div w:id="2115634716">
      <w:bodyDiv w:val="1"/>
      <w:marLeft w:val="0"/>
      <w:marRight w:val="0"/>
      <w:marTop w:val="0"/>
      <w:marBottom w:val="0"/>
      <w:divBdr>
        <w:top w:val="none" w:sz="0" w:space="0" w:color="auto"/>
        <w:left w:val="none" w:sz="0" w:space="0" w:color="auto"/>
        <w:bottom w:val="none" w:sz="0" w:space="0" w:color="auto"/>
        <w:right w:val="none" w:sz="0" w:space="0" w:color="auto"/>
      </w:divBdr>
    </w:div>
    <w:div w:id="211609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onction-publique.gouv.fr/files/files/La%20DGAFP/Europe%20et%20international/attractivness-SDC-CGA-toolbox-EN.pdf" TargetMode="External"/><Relationship Id="rId18" Type="http://schemas.openxmlformats.org/officeDocument/2006/relationships/hyperlink" Target="https://commission.europa.eu/system/files/2022-04/c_2022_2229_2_en_act_part1_v12.pdf" TargetMode="External"/><Relationship Id="rId26" Type="http://schemas.openxmlformats.org/officeDocument/2006/relationships/hyperlink" Target="https://www.gov.si/novice/2023-03-23-vlada-sprejela-strategijo-digitalna-slovenija-2030/" TargetMode="External"/><Relationship Id="rId3" Type="http://schemas.openxmlformats.org/officeDocument/2006/relationships/styles" Target="styles.xml"/><Relationship Id="rId21" Type="http://schemas.openxmlformats.org/officeDocument/2006/relationships/hyperlink" Target="https://www.gov.si/assets/ministrstva/MJU/DJS/Letno-porocilo-o-delu-US_2023_koncno-ZA-OBJAVO.doc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epale.ec.europa.eu/sl/blog/izjemni-rezultati-za-slovenijo-velik-izziv-za-strokovnjake" TargetMode="External"/><Relationship Id="rId25" Type="http://schemas.openxmlformats.org/officeDocument/2006/relationships/hyperlink" Target="https://drjohnsullivan.com/uncategorized/the-8-elements-of-a-successful-employment-brand/"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social/main.jsp?catId=1223&amp;amp;amp;langId=sl" TargetMode="External"/><Relationship Id="rId20" Type="http://schemas.openxmlformats.org/officeDocument/2006/relationships/hyperlink" Target="https://www.gov.si/assets/ministrstva/MJU/DJS/Studija-OECD/Ravnanje-s-starejsimi-zaposlenimi-in-talenti-v-evropskih-javnih-upravah.pdf" TargetMode="External"/><Relationship Id="rId29" Type="http://schemas.openxmlformats.org/officeDocument/2006/relationships/hyperlink" Target="http://pisrs.si/Pis.web/pregledPredpisa?id=ZAKO31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v.si/assets/vladne-sluzbe/SVRK/Strategija-razvoja-Slovenije-2030/Strategija_razvoja_Slovenije_2030.pdf"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eurostat/databrowser/view/proj_23np/default/table?lang=en&amp;amp;amp;category=proj.proj_23n" TargetMode="External"/><Relationship Id="rId23" Type="http://schemas.openxmlformats.org/officeDocument/2006/relationships/hyperlink" Target="https://www.gov.si/zbirke/delovna-mesta/" TargetMode="External"/><Relationship Id="rId28" Type="http://schemas.openxmlformats.org/officeDocument/2006/relationships/hyperlink" Target="http://pisrs.si/Pis.web/pregledPredpisa?id=ZAKO3225" TargetMode="External"/><Relationship Id="rId36"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yperlink" Target="https://www.gov.si/assets/ministrstva/MJU/Kakovost-in-inovativnost-v-javni-upravi/Strategija/Strategija-razvoja-javne-uprave-2015-2020.pdf" TargetMode="External"/><Relationship Id="rId31" Type="http://schemas.openxmlformats.org/officeDocument/2006/relationships/hyperlink" Target="https://pisrs.si/pregledPredpisa?id=ZAKO8826"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eupan.eu/2023/05/publications-by-the-swedish-presidency/" TargetMode="External"/><Relationship Id="rId22" Type="http://schemas.openxmlformats.org/officeDocument/2006/relationships/hyperlink" Target="https://www.oecd-ilibrary.org/sites/1d754cfc-en/index.html?itemId=/content/component/1d754cfc-en" TargetMode="External"/><Relationship Id="rId27" Type="http://schemas.openxmlformats.org/officeDocument/2006/relationships/hyperlink" Target="https://www.tandfonline.com/doi/full/10.1080/10967494.2018.1541830" TargetMode="External"/><Relationship Id="rId30" Type="http://schemas.openxmlformats.org/officeDocument/2006/relationships/hyperlink" Target="https://pisrs.si/pregledPredpisa?id=ZAKO3328" TargetMode="External"/><Relationship Id="rId35"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system/files/2022-04/c_2022_2229_2_en_act_part1_v12.pdf" TargetMode="External"/><Relationship Id="rId2" Type="http://schemas.openxmlformats.org/officeDocument/2006/relationships/hyperlink" Target="https://www.eu-skladi.si/sl/dokumenti/kljucni-dokumenti/program-ekp-2021-27_si_sfc-razlicica-1-2.pdf" TargetMode="External"/><Relationship Id="rId1" Type="http://schemas.openxmlformats.org/officeDocument/2006/relationships/hyperlink" Target="https://eu-skladi.si/sl/dokumenti/rrf/01_si-rrp_23-7-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ad.sigov.si\USR\F-J\JuratovecT94\Desktop\Pripravni&#353;ki%20javni%20nate&#269;aji\Zbirna%20tabela%20za%20organ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osebno\DedicJ58\JDedic\SR&#268;VDU\proj_23np_page_spreadsheet-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Sheet1!$D$49</c:f>
              <c:strCache>
                <c:ptCount val="1"/>
                <c:pt idx="0">
                  <c:v>Number of published vacant internship positions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Sheet1!$E$48:$I$48</c:f>
              <c:numCache>
                <c:formatCode>General</c:formatCode>
                <c:ptCount val="5"/>
                <c:pt idx="0">
                  <c:v>2018</c:v>
                </c:pt>
                <c:pt idx="1">
                  <c:v>2019</c:v>
                </c:pt>
                <c:pt idx="2">
                  <c:v>2020</c:v>
                </c:pt>
                <c:pt idx="3">
                  <c:v>2021</c:v>
                </c:pt>
                <c:pt idx="4">
                  <c:v>2022</c:v>
                </c:pt>
              </c:numCache>
            </c:numRef>
          </c:cat>
          <c:val>
            <c:numRef>
              <c:f>Sheet1!$E$49:$I$49</c:f>
              <c:numCache>
                <c:formatCode>General</c:formatCode>
                <c:ptCount val="5"/>
                <c:pt idx="0">
                  <c:v>85</c:v>
                </c:pt>
                <c:pt idx="1">
                  <c:v>95</c:v>
                </c:pt>
                <c:pt idx="2">
                  <c:v>90</c:v>
                </c:pt>
                <c:pt idx="3">
                  <c:v>150</c:v>
                </c:pt>
                <c:pt idx="4">
                  <c:v>114</c:v>
                </c:pt>
              </c:numCache>
            </c:numRef>
          </c:val>
          <c:extLst>
            <c:ext xmlns:c16="http://schemas.microsoft.com/office/drawing/2014/chart" uri="{C3380CC4-5D6E-409C-BE32-E72D297353CC}">
              <c16:uniqueId val="{00000000-2955-4209-9E89-A5ECB3F60E18}"/>
            </c:ext>
          </c:extLst>
        </c:ser>
        <c:ser>
          <c:idx val="1"/>
          <c:order val="1"/>
          <c:tx>
            <c:strRef>
              <c:f>Sheet1!$D$50</c:f>
              <c:strCache>
                <c:ptCount val="1"/>
                <c:pt idx="0">
                  <c:v>Average number of applications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Sheet1!$E$48:$I$48</c:f>
              <c:numCache>
                <c:formatCode>General</c:formatCode>
                <c:ptCount val="5"/>
                <c:pt idx="0">
                  <c:v>2018</c:v>
                </c:pt>
                <c:pt idx="1">
                  <c:v>2019</c:v>
                </c:pt>
                <c:pt idx="2">
                  <c:v>2020</c:v>
                </c:pt>
                <c:pt idx="3">
                  <c:v>2021</c:v>
                </c:pt>
                <c:pt idx="4">
                  <c:v>2022</c:v>
                </c:pt>
              </c:numCache>
            </c:numRef>
          </c:cat>
          <c:val>
            <c:numRef>
              <c:f>Sheet1!$E$50:$I$50</c:f>
              <c:numCache>
                <c:formatCode>General</c:formatCode>
                <c:ptCount val="5"/>
                <c:pt idx="0">
                  <c:v>30.8</c:v>
                </c:pt>
                <c:pt idx="1">
                  <c:v>26.5</c:v>
                </c:pt>
                <c:pt idx="2">
                  <c:v>31.6</c:v>
                </c:pt>
                <c:pt idx="3">
                  <c:v>19.8</c:v>
                </c:pt>
                <c:pt idx="4">
                  <c:v>12.5</c:v>
                </c:pt>
              </c:numCache>
            </c:numRef>
          </c:val>
          <c:extLst>
            <c:ext xmlns:c16="http://schemas.microsoft.com/office/drawing/2014/chart" uri="{C3380CC4-5D6E-409C-BE32-E72D297353CC}">
              <c16:uniqueId val="{00000001-2955-4209-9E89-A5ECB3F60E18}"/>
            </c:ext>
          </c:extLst>
        </c:ser>
        <c:ser>
          <c:idx val="2"/>
          <c:order val="2"/>
          <c:tx>
            <c:strRef>
              <c:f>Sheet1!$D$51</c:f>
              <c:strCache>
                <c:ptCount val="1"/>
                <c:pt idx="0">
                  <c:v>% success rate</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Sheet1!$E$48:$I$48</c:f>
              <c:numCache>
                <c:formatCode>General</c:formatCode>
                <c:ptCount val="5"/>
                <c:pt idx="0">
                  <c:v>2018</c:v>
                </c:pt>
                <c:pt idx="1">
                  <c:v>2019</c:v>
                </c:pt>
                <c:pt idx="2">
                  <c:v>2020</c:v>
                </c:pt>
                <c:pt idx="3">
                  <c:v>2021</c:v>
                </c:pt>
                <c:pt idx="4">
                  <c:v>2022</c:v>
                </c:pt>
              </c:numCache>
            </c:numRef>
          </c:cat>
          <c:val>
            <c:numRef>
              <c:f>Sheet1!$E$51:$I$51</c:f>
              <c:numCache>
                <c:formatCode>General</c:formatCode>
                <c:ptCount val="5"/>
                <c:pt idx="0">
                  <c:v>87.1</c:v>
                </c:pt>
                <c:pt idx="1">
                  <c:v>89.5</c:v>
                </c:pt>
                <c:pt idx="2">
                  <c:v>87.8</c:v>
                </c:pt>
                <c:pt idx="3">
                  <c:v>77.3</c:v>
                </c:pt>
                <c:pt idx="4">
                  <c:v>78</c:v>
                </c:pt>
              </c:numCache>
            </c:numRef>
          </c:val>
          <c:extLst>
            <c:ext xmlns:c16="http://schemas.microsoft.com/office/drawing/2014/chart" uri="{C3380CC4-5D6E-409C-BE32-E72D297353CC}">
              <c16:uniqueId val="{00000002-2955-4209-9E89-A5ECB3F60E18}"/>
            </c:ext>
          </c:extLst>
        </c:ser>
        <c:dLbls>
          <c:dLblPos val="outEnd"/>
          <c:showLegendKey val="0"/>
          <c:showVal val="1"/>
          <c:showCatName val="0"/>
          <c:showSerName val="0"/>
          <c:showPercent val="0"/>
          <c:showBubbleSize val="0"/>
        </c:dLbls>
        <c:gapWidth val="444"/>
        <c:overlap val="-90"/>
        <c:axId val="433940200"/>
        <c:axId val="433940528"/>
      </c:barChart>
      <c:catAx>
        <c:axId val="433940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sl-SI"/>
          </a:p>
        </c:txPr>
        <c:crossAx val="433940528"/>
        <c:crosses val="autoZero"/>
        <c:auto val="1"/>
        <c:lblAlgn val="ctr"/>
        <c:lblOffset val="100"/>
        <c:noMultiLvlLbl val="0"/>
      </c:catAx>
      <c:valAx>
        <c:axId val="433940528"/>
        <c:scaling>
          <c:orientation val="minMax"/>
        </c:scaling>
        <c:delete val="1"/>
        <c:axPos val="l"/>
        <c:numFmt formatCode="General" sourceLinked="1"/>
        <c:majorTickMark val="none"/>
        <c:minorTickMark val="none"/>
        <c:tickLblPos val="nextTo"/>
        <c:crossAx val="433940200"/>
        <c:crosses val="autoZero"/>
        <c:crossBetween val="between"/>
      </c:valAx>
      <c:spPr>
        <a:noFill/>
        <a:ln>
          <a:noFill/>
        </a:ln>
        <a:effectLst/>
      </c:spPr>
    </c:plotArea>
    <c:legend>
      <c:legendPos val="t"/>
      <c:layout>
        <c:manualLayout>
          <c:xMode val="edge"/>
          <c:yMode val="edge"/>
          <c:x val="5.0824563857417493E-3"/>
          <c:y val="2.3592476516093367E-2"/>
          <c:w val="0.54573895347721035"/>
          <c:h val="0.102979304807293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sl-SI"/>
              <a:t>Projection</a:t>
            </a:r>
            <a:r>
              <a:rPr lang="sl-SI" baseline="0"/>
              <a:t> of demographic trends in Slovenia by age group, 2023 - 2060 </a:t>
            </a:r>
            <a:endParaRPr lang="sl-SI"/>
          </a:p>
        </c:rich>
      </c:tx>
      <c:layout>
        <c:manualLayout>
          <c:xMode val="edge"/>
          <c:yMode val="edge"/>
          <c:x val="0.13199999999999998"/>
          <c:y val="2.7777777777777776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areaChart>
        <c:grouping val="percentStacked"/>
        <c:varyColors val="0"/>
        <c:ser>
          <c:idx val="0"/>
          <c:order val="0"/>
          <c:tx>
            <c:v>0-19 years</c:v>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 1'!$B$23:$G$23</c:f>
              <c:numCache>
                <c:formatCode>General</c:formatCode>
                <c:ptCount val="6"/>
                <c:pt idx="0">
                  <c:v>2023</c:v>
                </c:pt>
                <c:pt idx="1">
                  <c:v>2025</c:v>
                </c:pt>
                <c:pt idx="2">
                  <c:v>2030</c:v>
                </c:pt>
                <c:pt idx="3">
                  <c:v>2040</c:v>
                </c:pt>
                <c:pt idx="4">
                  <c:v>2050</c:v>
                </c:pt>
                <c:pt idx="5">
                  <c:v>2060</c:v>
                </c:pt>
              </c:numCache>
              <c:extLst/>
            </c:numRef>
          </c:cat>
          <c:val>
            <c:numRef>
              <c:f>'Sheet 1'!$B$24:$G$24</c:f>
              <c:numCache>
                <c:formatCode>0%</c:formatCode>
                <c:ptCount val="6"/>
                <c:pt idx="0">
                  <c:v>0.2</c:v>
                </c:pt>
                <c:pt idx="1">
                  <c:v>0.2</c:v>
                </c:pt>
                <c:pt idx="2">
                  <c:v>0.19</c:v>
                </c:pt>
                <c:pt idx="3">
                  <c:v>0.17</c:v>
                </c:pt>
                <c:pt idx="4">
                  <c:v>0.18</c:v>
                </c:pt>
                <c:pt idx="5">
                  <c:v>0.18</c:v>
                </c:pt>
              </c:numCache>
              <c:extLst/>
            </c:numRef>
          </c:val>
          <c:extLst>
            <c:ext xmlns:c16="http://schemas.microsoft.com/office/drawing/2014/chart" uri="{C3380CC4-5D6E-409C-BE32-E72D297353CC}">
              <c16:uniqueId val="{00000000-D3AC-4041-91EE-162071270FF3}"/>
            </c:ext>
          </c:extLst>
        </c:ser>
        <c:ser>
          <c:idx val="1"/>
          <c:order val="1"/>
          <c:tx>
            <c:v>20-64 years</c:v>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 1'!$B$23:$G$23</c:f>
              <c:numCache>
                <c:formatCode>General</c:formatCode>
                <c:ptCount val="6"/>
                <c:pt idx="0">
                  <c:v>2023</c:v>
                </c:pt>
                <c:pt idx="1">
                  <c:v>2025</c:v>
                </c:pt>
                <c:pt idx="2">
                  <c:v>2030</c:v>
                </c:pt>
                <c:pt idx="3">
                  <c:v>2040</c:v>
                </c:pt>
                <c:pt idx="4">
                  <c:v>2050</c:v>
                </c:pt>
                <c:pt idx="5">
                  <c:v>2060</c:v>
                </c:pt>
              </c:numCache>
              <c:extLst/>
            </c:numRef>
          </c:cat>
          <c:val>
            <c:numRef>
              <c:f>'Sheet 1'!$B$25:$G$25</c:f>
              <c:numCache>
                <c:formatCode>0%</c:formatCode>
                <c:ptCount val="6"/>
                <c:pt idx="0">
                  <c:v>0.59</c:v>
                </c:pt>
                <c:pt idx="1">
                  <c:v>0.57999999999999996</c:v>
                </c:pt>
                <c:pt idx="2">
                  <c:v>0.56999999999999995</c:v>
                </c:pt>
                <c:pt idx="3">
                  <c:v>0.55000000000000004</c:v>
                </c:pt>
                <c:pt idx="4">
                  <c:v>0.52</c:v>
                </c:pt>
                <c:pt idx="5">
                  <c:v>0.51</c:v>
                </c:pt>
              </c:numCache>
              <c:extLst/>
            </c:numRef>
          </c:val>
          <c:extLst>
            <c:ext xmlns:c16="http://schemas.microsoft.com/office/drawing/2014/chart" uri="{C3380CC4-5D6E-409C-BE32-E72D297353CC}">
              <c16:uniqueId val="{00000001-D3AC-4041-91EE-162071270FF3}"/>
            </c:ext>
          </c:extLst>
        </c:ser>
        <c:ser>
          <c:idx val="2"/>
          <c:order val="2"/>
          <c:tx>
            <c:v>65+ years</c:v>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 1'!$B$23:$G$23</c:f>
              <c:numCache>
                <c:formatCode>General</c:formatCode>
                <c:ptCount val="6"/>
                <c:pt idx="0">
                  <c:v>2023</c:v>
                </c:pt>
                <c:pt idx="1">
                  <c:v>2025</c:v>
                </c:pt>
                <c:pt idx="2">
                  <c:v>2030</c:v>
                </c:pt>
                <c:pt idx="3">
                  <c:v>2040</c:v>
                </c:pt>
                <c:pt idx="4">
                  <c:v>2050</c:v>
                </c:pt>
                <c:pt idx="5">
                  <c:v>2060</c:v>
                </c:pt>
              </c:numCache>
              <c:extLst/>
            </c:numRef>
          </c:cat>
          <c:val>
            <c:numRef>
              <c:f>'Sheet 1'!$B$26:$G$26</c:f>
              <c:numCache>
                <c:formatCode>0%</c:formatCode>
                <c:ptCount val="6"/>
                <c:pt idx="0">
                  <c:v>0.21</c:v>
                </c:pt>
                <c:pt idx="1">
                  <c:v>0.22</c:v>
                </c:pt>
                <c:pt idx="2">
                  <c:v>0.24</c:v>
                </c:pt>
                <c:pt idx="3">
                  <c:v>0.27</c:v>
                </c:pt>
                <c:pt idx="4">
                  <c:v>0.3</c:v>
                </c:pt>
                <c:pt idx="5">
                  <c:v>0.31</c:v>
                </c:pt>
              </c:numCache>
              <c:extLst/>
            </c:numRef>
          </c:val>
          <c:extLst>
            <c:ext xmlns:c16="http://schemas.microsoft.com/office/drawing/2014/chart" uri="{C3380CC4-5D6E-409C-BE32-E72D297353CC}">
              <c16:uniqueId val="{00000002-D3AC-4041-91EE-162071270FF3}"/>
            </c:ext>
          </c:extLst>
        </c:ser>
        <c:dLbls>
          <c:showLegendKey val="0"/>
          <c:showVal val="1"/>
          <c:showCatName val="0"/>
          <c:showSerName val="0"/>
          <c:showPercent val="0"/>
          <c:showBubbleSize val="0"/>
        </c:dLbls>
        <c:axId val="624795304"/>
        <c:axId val="624793864"/>
      </c:areaChart>
      <c:catAx>
        <c:axId val="6247953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24793864"/>
        <c:crosses val="autoZero"/>
        <c:auto val="1"/>
        <c:lblAlgn val="ctr"/>
        <c:lblOffset val="100"/>
        <c:noMultiLvlLbl val="0"/>
      </c:catAx>
      <c:valAx>
        <c:axId val="624793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247953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State</a:t>
            </a:r>
            <a:r>
              <a:rPr lang="sl-SI" baseline="0"/>
              <a:t> administration employees</a:t>
            </a:r>
            <a:endParaRPr lang="sl-S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9.3585958005249339E-2"/>
          <c:y val="0.13636609882211589"/>
          <c:w val="0.64975339020122491"/>
          <c:h val="0.7634603831877963"/>
        </c:manualLayout>
      </c:layout>
      <c:barChart>
        <c:barDir val="col"/>
        <c:grouping val="clustered"/>
        <c:varyColors val="0"/>
        <c:ser>
          <c:idx val="0"/>
          <c:order val="0"/>
          <c:tx>
            <c:strRef>
              <c:f>List1!$B$1</c:f>
              <c:strCache>
                <c:ptCount val="1"/>
                <c:pt idx="0">
                  <c:v>31.12.2008</c:v>
                </c:pt>
              </c:strCache>
            </c:strRef>
          </c:tx>
          <c:spPr>
            <a:solidFill>
              <a:schemeClr val="accent1"/>
            </a:solidFill>
            <a:ln>
              <a:noFill/>
            </a:ln>
            <a:effectLst/>
          </c:spPr>
          <c:invertIfNegative val="0"/>
          <c:cat>
            <c:strRef>
              <c:f>List1!$A$2:$A$4</c:f>
              <c:strCache>
                <c:ptCount val="3"/>
                <c:pt idx="0">
                  <c:v>Under 30 years</c:v>
                </c:pt>
                <c:pt idx="1">
                  <c:v>30 to 49 years</c:v>
                </c:pt>
                <c:pt idx="2">
                  <c:v>50 years or more</c:v>
                </c:pt>
              </c:strCache>
            </c:strRef>
          </c:cat>
          <c:val>
            <c:numRef>
              <c:f>List1!$B$2:$B$4</c:f>
              <c:numCache>
                <c:formatCode>General</c:formatCode>
                <c:ptCount val="3"/>
                <c:pt idx="0">
                  <c:v>18.399999999999999</c:v>
                </c:pt>
                <c:pt idx="1">
                  <c:v>65</c:v>
                </c:pt>
                <c:pt idx="2">
                  <c:v>16.600000000000001</c:v>
                </c:pt>
              </c:numCache>
            </c:numRef>
          </c:val>
          <c:extLst>
            <c:ext xmlns:c16="http://schemas.microsoft.com/office/drawing/2014/chart" uri="{C3380CC4-5D6E-409C-BE32-E72D297353CC}">
              <c16:uniqueId val="{00000000-99F8-4A7D-A7C7-FEDFF8BDDE60}"/>
            </c:ext>
          </c:extLst>
        </c:ser>
        <c:ser>
          <c:idx val="1"/>
          <c:order val="1"/>
          <c:tx>
            <c:strRef>
              <c:f>List1!$C$1</c:f>
              <c:strCache>
                <c:ptCount val="1"/>
                <c:pt idx="0">
                  <c:v>31.12.2013</c:v>
                </c:pt>
              </c:strCache>
            </c:strRef>
          </c:tx>
          <c:spPr>
            <a:solidFill>
              <a:schemeClr val="accent2"/>
            </a:solidFill>
            <a:ln>
              <a:noFill/>
            </a:ln>
            <a:effectLst/>
          </c:spPr>
          <c:invertIfNegative val="0"/>
          <c:cat>
            <c:strRef>
              <c:f>List1!$A$2:$A$4</c:f>
              <c:strCache>
                <c:ptCount val="3"/>
                <c:pt idx="0">
                  <c:v>Under 30 years</c:v>
                </c:pt>
                <c:pt idx="1">
                  <c:v>30 to 49 years</c:v>
                </c:pt>
                <c:pt idx="2">
                  <c:v>50 years or more</c:v>
                </c:pt>
              </c:strCache>
            </c:strRef>
          </c:cat>
          <c:val>
            <c:numRef>
              <c:f>List1!$C$2:$C$4</c:f>
              <c:numCache>
                <c:formatCode>General</c:formatCode>
                <c:ptCount val="3"/>
                <c:pt idx="0">
                  <c:v>8.5</c:v>
                </c:pt>
                <c:pt idx="1">
                  <c:v>69.8</c:v>
                </c:pt>
                <c:pt idx="2">
                  <c:v>21.7</c:v>
                </c:pt>
              </c:numCache>
            </c:numRef>
          </c:val>
          <c:extLst>
            <c:ext xmlns:c16="http://schemas.microsoft.com/office/drawing/2014/chart" uri="{C3380CC4-5D6E-409C-BE32-E72D297353CC}">
              <c16:uniqueId val="{00000001-99F8-4A7D-A7C7-FEDFF8BDDE60}"/>
            </c:ext>
          </c:extLst>
        </c:ser>
        <c:ser>
          <c:idx val="2"/>
          <c:order val="2"/>
          <c:tx>
            <c:strRef>
              <c:f>List1!$D$1</c:f>
              <c:strCache>
                <c:ptCount val="1"/>
                <c:pt idx="0">
                  <c:v>31.12.2018</c:v>
                </c:pt>
              </c:strCache>
            </c:strRef>
          </c:tx>
          <c:spPr>
            <a:solidFill>
              <a:schemeClr val="accent3"/>
            </a:solidFill>
            <a:ln>
              <a:noFill/>
            </a:ln>
            <a:effectLst/>
          </c:spPr>
          <c:invertIfNegative val="0"/>
          <c:cat>
            <c:strRef>
              <c:f>List1!$A$2:$A$4</c:f>
              <c:strCache>
                <c:ptCount val="3"/>
                <c:pt idx="0">
                  <c:v>Under 30 years</c:v>
                </c:pt>
                <c:pt idx="1">
                  <c:v>30 to 49 years</c:v>
                </c:pt>
                <c:pt idx="2">
                  <c:v>50 years or more</c:v>
                </c:pt>
              </c:strCache>
            </c:strRef>
          </c:cat>
          <c:val>
            <c:numRef>
              <c:f>List1!$D$2:$D$4</c:f>
              <c:numCache>
                <c:formatCode>General</c:formatCode>
                <c:ptCount val="3"/>
                <c:pt idx="0">
                  <c:v>5.5</c:v>
                </c:pt>
                <c:pt idx="1">
                  <c:v>62.2</c:v>
                </c:pt>
                <c:pt idx="2">
                  <c:v>32.299999999999997</c:v>
                </c:pt>
              </c:numCache>
            </c:numRef>
          </c:val>
          <c:extLst>
            <c:ext xmlns:c16="http://schemas.microsoft.com/office/drawing/2014/chart" uri="{C3380CC4-5D6E-409C-BE32-E72D297353CC}">
              <c16:uniqueId val="{00000002-99F8-4A7D-A7C7-FEDFF8BDDE60}"/>
            </c:ext>
          </c:extLst>
        </c:ser>
        <c:ser>
          <c:idx val="3"/>
          <c:order val="3"/>
          <c:tx>
            <c:strRef>
              <c:f>List1!$E$1</c:f>
              <c:strCache>
                <c:ptCount val="1"/>
                <c:pt idx="0">
                  <c:v>31.12.2023</c:v>
                </c:pt>
              </c:strCache>
            </c:strRef>
          </c:tx>
          <c:spPr>
            <a:solidFill>
              <a:schemeClr val="accent4"/>
            </a:solidFill>
            <a:ln>
              <a:noFill/>
            </a:ln>
            <a:effectLst/>
          </c:spPr>
          <c:invertIfNegative val="0"/>
          <c:cat>
            <c:strRef>
              <c:f>List1!$A$2:$A$4</c:f>
              <c:strCache>
                <c:ptCount val="3"/>
                <c:pt idx="0">
                  <c:v>Under 30 years</c:v>
                </c:pt>
                <c:pt idx="1">
                  <c:v>30 to 49 years</c:v>
                </c:pt>
                <c:pt idx="2">
                  <c:v>50 years or more</c:v>
                </c:pt>
              </c:strCache>
            </c:strRef>
          </c:cat>
          <c:val>
            <c:numRef>
              <c:f>List1!$E$2:$E$4</c:f>
              <c:numCache>
                <c:formatCode>General</c:formatCode>
                <c:ptCount val="3"/>
                <c:pt idx="0">
                  <c:v>6.4</c:v>
                </c:pt>
                <c:pt idx="1">
                  <c:v>52.2</c:v>
                </c:pt>
                <c:pt idx="2">
                  <c:v>41.4</c:v>
                </c:pt>
              </c:numCache>
            </c:numRef>
          </c:val>
          <c:extLst>
            <c:ext xmlns:c16="http://schemas.microsoft.com/office/drawing/2014/chart" uri="{C3380CC4-5D6E-409C-BE32-E72D297353CC}">
              <c16:uniqueId val="{00000003-99F8-4A7D-A7C7-FEDFF8BDDE60}"/>
            </c:ext>
          </c:extLst>
        </c:ser>
        <c:dLbls>
          <c:showLegendKey val="0"/>
          <c:showVal val="0"/>
          <c:showCatName val="0"/>
          <c:showSerName val="0"/>
          <c:showPercent val="0"/>
          <c:showBubbleSize val="0"/>
        </c:dLbls>
        <c:gapWidth val="219"/>
        <c:overlap val="-27"/>
        <c:axId val="809386208"/>
        <c:axId val="809386568"/>
      </c:barChart>
      <c:catAx>
        <c:axId val="80938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809386568"/>
        <c:crosses val="autoZero"/>
        <c:auto val="1"/>
        <c:lblAlgn val="ctr"/>
        <c:lblOffset val="100"/>
        <c:noMultiLvlLbl val="0"/>
      </c:catAx>
      <c:valAx>
        <c:axId val="809386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share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809386208"/>
        <c:crosses val="autoZero"/>
        <c:crossBetween val="between"/>
      </c:valAx>
      <c:spPr>
        <a:noFill/>
        <a:ln>
          <a:noFill/>
        </a:ln>
        <a:effectLst/>
      </c:spPr>
    </c:plotArea>
    <c:legend>
      <c:legendPos val="b"/>
      <c:layout>
        <c:manualLayout>
          <c:xMode val="edge"/>
          <c:yMode val="edge"/>
          <c:x val="0.76524150627004961"/>
          <c:y val="0.32589238845144358"/>
          <c:w val="0.205628098571012"/>
          <c:h val="0.320933008373953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A764C8-DEA7-4B71-AA32-939D1E3C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7060</Words>
  <Characters>46665</Characters>
  <Application>Microsoft Office Word</Application>
  <DocSecurity>0</DocSecurity>
  <Lines>388</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53618</CharactersWithSpaces>
  <SharedDoc>false</SharedDoc>
  <HLinks>
    <vt:vector size="114" baseType="variant">
      <vt:variant>
        <vt:i4>2228267</vt:i4>
      </vt:variant>
      <vt:variant>
        <vt:i4>42</vt:i4>
      </vt:variant>
      <vt:variant>
        <vt:i4>0</vt:i4>
      </vt:variant>
      <vt:variant>
        <vt:i4>5</vt:i4>
      </vt:variant>
      <vt:variant>
        <vt:lpwstr>http://pisrs.si/Pis.web/pregledPredpisa?id=ZAKO3177</vt:lpwstr>
      </vt:variant>
      <vt:variant>
        <vt:lpwstr/>
      </vt:variant>
      <vt:variant>
        <vt:i4>2555944</vt:i4>
      </vt:variant>
      <vt:variant>
        <vt:i4>39</vt:i4>
      </vt:variant>
      <vt:variant>
        <vt:i4>0</vt:i4>
      </vt:variant>
      <vt:variant>
        <vt:i4>5</vt:i4>
      </vt:variant>
      <vt:variant>
        <vt:lpwstr>http://pisrs.si/Pis.web/pregledPredpisa?id=ZAKO3225</vt:lpwstr>
      </vt:variant>
      <vt:variant>
        <vt:lpwstr/>
      </vt:variant>
      <vt:variant>
        <vt:i4>1441823</vt:i4>
      </vt:variant>
      <vt:variant>
        <vt:i4>36</vt:i4>
      </vt:variant>
      <vt:variant>
        <vt:i4>0</vt:i4>
      </vt:variant>
      <vt:variant>
        <vt:i4>5</vt:i4>
      </vt:variant>
      <vt:variant>
        <vt:lpwstr>https://www.gov.si/novice/2023-03-23-vlada-sprejela-strategijo-digitalna-slovenija-2030/</vt:lpwstr>
      </vt:variant>
      <vt:variant>
        <vt:lpwstr/>
      </vt:variant>
      <vt:variant>
        <vt:i4>7733252</vt:i4>
      </vt:variant>
      <vt:variant>
        <vt:i4>33</vt:i4>
      </vt:variant>
      <vt:variant>
        <vt:i4>0</vt:i4>
      </vt:variant>
      <vt:variant>
        <vt:i4>5</vt:i4>
      </vt:variant>
      <vt:variant>
        <vt:lpwstr>https://www.gov.si/assets/vladne-sluzbe/SVRK/Strategija-razvoja-Slovenije-2030/Strategija_razvoja_Slovenije_2030.pdf</vt:lpwstr>
      </vt:variant>
      <vt:variant>
        <vt:lpwstr/>
      </vt:variant>
      <vt:variant>
        <vt:i4>4194328</vt:i4>
      </vt:variant>
      <vt:variant>
        <vt:i4>30</vt:i4>
      </vt:variant>
      <vt:variant>
        <vt:i4>0</vt:i4>
      </vt:variant>
      <vt:variant>
        <vt:i4>5</vt:i4>
      </vt:variant>
      <vt:variant>
        <vt:lpwstr>https://www.gov.si/zbirke/delovna-mesta/</vt:lpwstr>
      </vt:variant>
      <vt:variant>
        <vt:lpwstr/>
      </vt:variant>
      <vt:variant>
        <vt:i4>1835103</vt:i4>
      </vt:variant>
      <vt:variant>
        <vt:i4>27</vt:i4>
      </vt:variant>
      <vt:variant>
        <vt:i4>0</vt:i4>
      </vt:variant>
      <vt:variant>
        <vt:i4>5</vt:i4>
      </vt:variant>
      <vt:variant>
        <vt:lpwstr>https://www.oecd-ilibrary.org/sites/1d754cfc-en/index.html?itemId=/content/component/1d754cfc-en</vt:lpwstr>
      </vt:variant>
      <vt:variant>
        <vt:lpwstr/>
      </vt:variant>
      <vt:variant>
        <vt:i4>655442</vt:i4>
      </vt:variant>
      <vt:variant>
        <vt:i4>24</vt:i4>
      </vt:variant>
      <vt:variant>
        <vt:i4>0</vt:i4>
      </vt:variant>
      <vt:variant>
        <vt:i4>5</vt:i4>
      </vt:variant>
      <vt:variant>
        <vt:lpwstr>https://www.gov.si/assets/ministrstva/MJU/Uradniski-svet/Porocilo-o-delu-Uradniskega-sveta-za-leto-2022.docx</vt:lpwstr>
      </vt:variant>
      <vt:variant>
        <vt:lpwstr/>
      </vt:variant>
      <vt:variant>
        <vt:i4>2883619</vt:i4>
      </vt:variant>
      <vt:variant>
        <vt:i4>21</vt:i4>
      </vt:variant>
      <vt:variant>
        <vt:i4>0</vt:i4>
      </vt:variant>
      <vt:variant>
        <vt:i4>5</vt:i4>
      </vt:variant>
      <vt:variant>
        <vt:lpwstr>https://www.gov.si/assets/ministrstva/MJU/DJS/Studija-OECD/Ravnanje-s-starejsimi-zaposlenimi-in-talenti-v-evropskih-javnih-upravah.pdf</vt:lpwstr>
      </vt:variant>
      <vt:variant>
        <vt:lpwstr/>
      </vt:variant>
      <vt:variant>
        <vt:i4>2883627</vt:i4>
      </vt:variant>
      <vt:variant>
        <vt:i4>18</vt:i4>
      </vt:variant>
      <vt:variant>
        <vt:i4>0</vt:i4>
      </vt:variant>
      <vt:variant>
        <vt:i4>5</vt:i4>
      </vt:variant>
      <vt:variant>
        <vt:lpwstr>https://www.gov.si/assets/ministrstva/MJU/Kakovost-in-inovativnost-v-javni-upravi/Strategija/Strategija-razvoja-javne-uprave-2015-2020.pdf</vt:lpwstr>
      </vt:variant>
      <vt:variant>
        <vt:lpwstr/>
      </vt:variant>
      <vt:variant>
        <vt:i4>7995476</vt:i4>
      </vt:variant>
      <vt:variant>
        <vt:i4>15</vt:i4>
      </vt:variant>
      <vt:variant>
        <vt:i4>0</vt:i4>
      </vt:variant>
      <vt:variant>
        <vt:i4>5</vt:i4>
      </vt:variant>
      <vt:variant>
        <vt:lpwstr>https://european-union.europa.eu/institutions-law-budget/institutions-and-bodies/institutions-and-bodies-profiles/epso_sl?wt-search=yes</vt:lpwstr>
      </vt:variant>
      <vt:variant>
        <vt:lpwstr/>
      </vt:variant>
      <vt:variant>
        <vt:i4>6815766</vt:i4>
      </vt:variant>
      <vt:variant>
        <vt:i4>12</vt:i4>
      </vt:variant>
      <vt:variant>
        <vt:i4>0</vt:i4>
      </vt:variant>
      <vt:variant>
        <vt:i4>5</vt:i4>
      </vt:variant>
      <vt:variant>
        <vt:lpwstr>https://commission.europa.eu/system/files/2022-04/c_2022_2229_2_en_act_part1_v12.pdf</vt:lpwstr>
      </vt:variant>
      <vt:variant>
        <vt:lpwstr/>
      </vt:variant>
      <vt:variant>
        <vt:i4>4653138</vt:i4>
      </vt:variant>
      <vt:variant>
        <vt:i4>9</vt:i4>
      </vt:variant>
      <vt:variant>
        <vt:i4>0</vt:i4>
      </vt:variant>
      <vt:variant>
        <vt:i4>5</vt:i4>
      </vt:variant>
      <vt:variant>
        <vt:lpwstr>https://epale.ec.europa.eu/sl/blog/izjemni-rezultati-za-slovenijo-velik-izziv-za-strokovnjake</vt:lpwstr>
      </vt:variant>
      <vt:variant>
        <vt:lpwstr/>
      </vt:variant>
      <vt:variant>
        <vt:i4>4325460</vt:i4>
      </vt:variant>
      <vt:variant>
        <vt:i4>6</vt:i4>
      </vt:variant>
      <vt:variant>
        <vt:i4>0</vt:i4>
      </vt:variant>
      <vt:variant>
        <vt:i4>5</vt:i4>
      </vt:variant>
      <vt:variant>
        <vt:lpwstr>https://ec.europa.eu/social/main.jsp?catId=1223&amp;langId=sl</vt:lpwstr>
      </vt:variant>
      <vt:variant>
        <vt:lpwstr/>
      </vt:variant>
      <vt:variant>
        <vt:i4>4390994</vt:i4>
      </vt:variant>
      <vt:variant>
        <vt:i4>3</vt:i4>
      </vt:variant>
      <vt:variant>
        <vt:i4>0</vt:i4>
      </vt:variant>
      <vt:variant>
        <vt:i4>5</vt:i4>
      </vt:variant>
      <vt:variant>
        <vt:lpwstr>https://ec.europa.eu/eurostat/databrowser/view/proj_23np/default/table?lang=en&amp;category=proj.proj_23n</vt:lpwstr>
      </vt:variant>
      <vt:variant>
        <vt:lpwstr/>
      </vt:variant>
      <vt:variant>
        <vt:i4>2949173</vt:i4>
      </vt:variant>
      <vt:variant>
        <vt:i4>0</vt:i4>
      </vt:variant>
      <vt:variant>
        <vt:i4>0</vt:i4>
      </vt:variant>
      <vt:variant>
        <vt:i4>5</vt:i4>
      </vt:variant>
      <vt:variant>
        <vt:lpwstr>https://www.fonction-publique.gouv.fr/files/files/La DGAFP/Europe et international/attractivness-SDC-CGA-toolbox-EN.pdf</vt:lpwstr>
      </vt:variant>
      <vt:variant>
        <vt:lpwstr/>
      </vt:variant>
      <vt:variant>
        <vt:i4>6815766</vt:i4>
      </vt:variant>
      <vt:variant>
        <vt:i4>9</vt:i4>
      </vt:variant>
      <vt:variant>
        <vt:i4>0</vt:i4>
      </vt:variant>
      <vt:variant>
        <vt:i4>5</vt:i4>
      </vt:variant>
      <vt:variant>
        <vt:lpwstr>https://commission.europa.eu/system/files/2022-04/c_2022_2229_2_en_act_part1_v12.pdf</vt:lpwstr>
      </vt:variant>
      <vt:variant>
        <vt:lpwstr/>
      </vt:variant>
      <vt:variant>
        <vt:i4>7405695</vt:i4>
      </vt:variant>
      <vt:variant>
        <vt:i4>6</vt:i4>
      </vt:variant>
      <vt:variant>
        <vt:i4>0</vt:i4>
      </vt:variant>
      <vt:variant>
        <vt:i4>5</vt:i4>
      </vt:variant>
      <vt:variant>
        <vt:lpwstr>https://www.eu-skladi.si/sl/dokumenti/kljucni-dokumenti/program-ekp-2021-27_si_sfc-razlicica-1-2.pdf</vt:lpwstr>
      </vt:variant>
      <vt:variant>
        <vt:lpwstr/>
      </vt:variant>
      <vt:variant>
        <vt:i4>7405677</vt:i4>
      </vt:variant>
      <vt:variant>
        <vt:i4>3</vt:i4>
      </vt:variant>
      <vt:variant>
        <vt:i4>0</vt:i4>
      </vt:variant>
      <vt:variant>
        <vt:i4>5</vt:i4>
      </vt:variant>
      <vt:variant>
        <vt:lpwstr>https://eu-skladi.si/sl/dokumenti/rrf/01_si-rrp_23-7-2021.pdf</vt:lpwstr>
      </vt:variant>
      <vt:variant>
        <vt:lpwstr/>
      </vt:variant>
      <vt:variant>
        <vt:i4>655442</vt:i4>
      </vt:variant>
      <vt:variant>
        <vt:i4>0</vt:i4>
      </vt:variant>
      <vt:variant>
        <vt:i4>0</vt:i4>
      </vt:variant>
      <vt:variant>
        <vt:i4>5</vt:i4>
      </vt:variant>
      <vt:variant>
        <vt:lpwstr>https://www.gov.si/assets/ministrstva/MJU/Uradniski-svet/Porocilo-o-delu-Uradniskega-sveta-za-leto-2022.docx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2025-07-17T09:49:00Z</dcterms:created>
  <dcterms:modified xsi:type="dcterms:W3CDTF">2025-12-01T12:09:00Z</dcterms:modified>
</cp:coreProperties>
</file>