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90347" w14:textId="77777777" w:rsidR="003213C8" w:rsidRDefault="003213C8" w:rsidP="003213C8">
      <w:pPr>
        <w:pStyle w:val="Glava"/>
        <w:tabs>
          <w:tab w:val="clear" w:pos="4320"/>
          <w:tab w:val="clear" w:pos="8640"/>
          <w:tab w:val="left" w:pos="964"/>
        </w:tabs>
        <w:spacing w:before="240" w:line="240" w:lineRule="exact"/>
        <w:rPr>
          <w:rFonts w:cs="Arial"/>
          <w:sz w:val="16"/>
        </w:rPr>
      </w:pPr>
      <w:r>
        <w:rPr>
          <w:noProof/>
          <w:lang w:eastAsia="sl-SI"/>
        </w:rPr>
        <w:drawing>
          <wp:anchor distT="0" distB="0" distL="114300" distR="114300" simplePos="0" relativeHeight="251659264" behindDoc="1" locked="0" layoutInCell="1" allowOverlap="1" wp14:anchorId="2015EFE5" wp14:editId="04A0E801">
            <wp:simplePos x="0" y="0"/>
            <wp:positionH relativeFrom="page">
              <wp:posOffset>611008</wp:posOffset>
            </wp:positionH>
            <wp:positionV relativeFrom="page">
              <wp:posOffset>587651</wp:posOffset>
            </wp:positionV>
            <wp:extent cx="2372360" cy="313055"/>
            <wp:effectExtent l="0" t="0" r="0" b="0"/>
            <wp:wrapNone/>
            <wp:docPr id="25" name="Slika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ab/>
      </w:r>
    </w:p>
    <w:p w14:paraId="1AEF77CA" w14:textId="79081BAF" w:rsidR="003213C8" w:rsidRPr="00F03A2E" w:rsidRDefault="003213C8" w:rsidP="003213C8">
      <w:pPr>
        <w:pStyle w:val="Glava"/>
        <w:tabs>
          <w:tab w:val="clear" w:pos="4320"/>
          <w:tab w:val="clear" w:pos="8640"/>
          <w:tab w:val="left" w:pos="5112"/>
        </w:tabs>
        <w:spacing w:before="240" w:line="240" w:lineRule="exact"/>
        <w:rPr>
          <w:rFonts w:cs="Arial"/>
          <w:sz w:val="16"/>
        </w:rPr>
      </w:pPr>
      <w:r>
        <w:rPr>
          <w:rFonts w:cs="Arial"/>
          <w:sz w:val="16"/>
        </w:rPr>
        <w:t xml:space="preserve">       </w:t>
      </w:r>
      <w:r w:rsidRPr="00F03A2E">
        <w:rPr>
          <w:rFonts w:cs="Arial"/>
          <w:sz w:val="16"/>
        </w:rPr>
        <w:t>Tržaška cesta 21, 1000 Ljubljana</w:t>
      </w:r>
      <w:r w:rsidRPr="00F03A2E">
        <w:rPr>
          <w:rFonts w:cs="Arial"/>
          <w:sz w:val="16"/>
        </w:rPr>
        <w:tab/>
        <w:t>T: 01 478 16 50</w:t>
      </w:r>
    </w:p>
    <w:p w14:paraId="6FD32E50" w14:textId="77777777" w:rsidR="003213C8" w:rsidRPr="00EB3212" w:rsidRDefault="003213C8" w:rsidP="003213C8">
      <w:pPr>
        <w:pStyle w:val="Glava"/>
        <w:tabs>
          <w:tab w:val="clear" w:pos="4320"/>
          <w:tab w:val="clear" w:pos="8640"/>
          <w:tab w:val="left" w:pos="5112"/>
        </w:tabs>
        <w:spacing w:line="240" w:lineRule="exact"/>
        <w:rPr>
          <w:rFonts w:cs="Arial"/>
          <w:sz w:val="16"/>
          <w:lang w:val="it-IT"/>
        </w:rPr>
      </w:pPr>
      <w:r w:rsidRPr="00EB3212">
        <w:rPr>
          <w:rFonts w:cs="Arial"/>
          <w:sz w:val="16"/>
          <w:lang w:val="it-IT"/>
        </w:rPr>
        <w:tab/>
        <w:t>F: 01 478 16 50</w:t>
      </w:r>
    </w:p>
    <w:p w14:paraId="13A49A2B" w14:textId="77777777" w:rsidR="003213C8" w:rsidRPr="00EB3212" w:rsidRDefault="003213C8" w:rsidP="003213C8">
      <w:pPr>
        <w:pStyle w:val="Glava"/>
        <w:tabs>
          <w:tab w:val="clear" w:pos="4320"/>
          <w:tab w:val="clear" w:pos="8640"/>
          <w:tab w:val="left" w:pos="5112"/>
        </w:tabs>
        <w:spacing w:line="240" w:lineRule="exact"/>
        <w:rPr>
          <w:rFonts w:cs="Arial"/>
          <w:sz w:val="16"/>
          <w:lang w:val="it-IT"/>
        </w:rPr>
      </w:pPr>
      <w:r w:rsidRPr="00EB3212">
        <w:rPr>
          <w:rFonts w:cs="Arial"/>
          <w:sz w:val="16"/>
          <w:lang w:val="it-IT"/>
        </w:rPr>
        <w:tab/>
        <w:t>E: gp.mju@gov.si</w:t>
      </w:r>
    </w:p>
    <w:p w14:paraId="2CBB14B3" w14:textId="77777777" w:rsidR="003213C8" w:rsidRPr="00EB3212" w:rsidRDefault="003213C8" w:rsidP="003213C8">
      <w:pPr>
        <w:pStyle w:val="Glava"/>
        <w:tabs>
          <w:tab w:val="clear" w:pos="4320"/>
          <w:tab w:val="clear" w:pos="8640"/>
          <w:tab w:val="left" w:pos="5112"/>
        </w:tabs>
        <w:spacing w:line="240" w:lineRule="exact"/>
        <w:rPr>
          <w:rFonts w:cs="Arial"/>
          <w:sz w:val="16"/>
          <w:lang w:val="it-IT"/>
        </w:rPr>
      </w:pPr>
      <w:r w:rsidRPr="00EB3212">
        <w:rPr>
          <w:rFonts w:cs="Arial"/>
          <w:sz w:val="16"/>
          <w:lang w:val="it-IT"/>
        </w:rPr>
        <w:tab/>
        <w:t>www.mju.gov.si</w:t>
      </w:r>
    </w:p>
    <w:p w14:paraId="2141E3E3" w14:textId="77777777" w:rsidR="00D04D9B" w:rsidRPr="003213C8" w:rsidRDefault="00D04D9B" w:rsidP="00D04D9B">
      <w:pPr>
        <w:spacing w:after="0" w:line="260" w:lineRule="exact"/>
        <w:ind w:firstLine="708"/>
        <w:contextualSpacing/>
        <w:rPr>
          <w:rFonts w:ascii="Arial" w:eastAsia="Times New Roman" w:hAnsi="Arial" w:cs="Arial"/>
          <w:b/>
          <w:sz w:val="20"/>
          <w:szCs w:val="20"/>
          <w:lang w:val="it-IT" w:eastAsia="sl-SI"/>
        </w:rPr>
      </w:pPr>
    </w:p>
    <w:p w14:paraId="2CA9A974" w14:textId="2DFF82CD" w:rsidR="009A04D6" w:rsidRPr="00C97145" w:rsidRDefault="009E5B3D" w:rsidP="00B741A0">
      <w:pPr>
        <w:tabs>
          <w:tab w:val="left" w:pos="708"/>
        </w:tabs>
        <w:rPr>
          <w:rFonts w:ascii="Arial" w:hAnsi="Arial" w:cs="Arial"/>
          <w:sz w:val="20"/>
          <w:szCs w:val="20"/>
        </w:rPr>
      </w:pPr>
      <w:r w:rsidRPr="00C97145">
        <w:rPr>
          <w:rFonts w:ascii="Arial" w:hAnsi="Arial" w:cs="Arial"/>
          <w:b/>
          <w:sz w:val="20"/>
          <w:szCs w:val="20"/>
        </w:rPr>
        <w:tab/>
      </w:r>
      <w:r w:rsidRPr="00C97145">
        <w:rPr>
          <w:rFonts w:ascii="Arial" w:hAnsi="Arial" w:cs="Arial"/>
          <w:b/>
          <w:sz w:val="20"/>
          <w:szCs w:val="20"/>
        </w:rPr>
        <w:tab/>
      </w:r>
      <w:r w:rsidRPr="00C97145">
        <w:rPr>
          <w:rFonts w:ascii="Arial" w:hAnsi="Arial" w:cs="Arial"/>
          <w:b/>
          <w:sz w:val="20"/>
          <w:szCs w:val="20"/>
        </w:rPr>
        <w:tab/>
      </w:r>
      <w:r w:rsidRPr="00C97145">
        <w:rPr>
          <w:rFonts w:ascii="Arial" w:hAnsi="Arial" w:cs="Arial"/>
          <w:b/>
          <w:sz w:val="20"/>
          <w:szCs w:val="20"/>
        </w:rPr>
        <w:tab/>
      </w:r>
      <w:r w:rsidRPr="00C97145">
        <w:rPr>
          <w:rFonts w:ascii="Arial" w:hAnsi="Arial" w:cs="Arial"/>
          <w:b/>
          <w:sz w:val="20"/>
          <w:szCs w:val="20"/>
        </w:rPr>
        <w:tab/>
      </w:r>
    </w:p>
    <w:p w14:paraId="17DE5820" w14:textId="77777777" w:rsidR="00B741A0" w:rsidRPr="00C97145" w:rsidRDefault="00B741A0" w:rsidP="009A04D6">
      <w:pPr>
        <w:spacing w:line="288" w:lineRule="auto"/>
        <w:jc w:val="both"/>
        <w:rPr>
          <w:rFonts w:ascii="Arial" w:hAnsi="Arial" w:cs="Arial"/>
          <w:sz w:val="20"/>
          <w:szCs w:val="20"/>
        </w:rPr>
      </w:pPr>
    </w:p>
    <w:p w14:paraId="3878261F" w14:textId="77777777" w:rsidR="004226FF" w:rsidRPr="003213C8" w:rsidRDefault="004226FF" w:rsidP="003213C8">
      <w:pPr>
        <w:pStyle w:val="Naslov1"/>
        <w:jc w:val="center"/>
        <w:rPr>
          <w:rFonts w:ascii="Arial" w:hAnsi="Arial" w:cs="Arial"/>
          <w:b/>
          <w:bCs/>
          <w:color w:val="auto"/>
          <w:sz w:val="20"/>
          <w:szCs w:val="20"/>
        </w:rPr>
      </w:pPr>
      <w:r w:rsidRPr="003213C8">
        <w:rPr>
          <w:rFonts w:ascii="Arial" w:hAnsi="Arial" w:cs="Arial"/>
          <w:b/>
          <w:bCs/>
          <w:color w:val="auto"/>
          <w:sz w:val="20"/>
          <w:szCs w:val="20"/>
        </w:rPr>
        <w:t>IZHODIŠČA ZA PRENOVO PLAČNEGA SISTEMA JAVNEGA SEKTORJA</w:t>
      </w:r>
    </w:p>
    <w:p w14:paraId="6B95E80A" w14:textId="77777777" w:rsidR="004226FF" w:rsidRPr="00C97145" w:rsidRDefault="004226FF" w:rsidP="004226FF">
      <w:pPr>
        <w:jc w:val="both"/>
        <w:rPr>
          <w:rFonts w:ascii="Arial" w:hAnsi="Arial" w:cs="Arial"/>
          <w:sz w:val="20"/>
          <w:szCs w:val="20"/>
        </w:rPr>
      </w:pPr>
    </w:p>
    <w:p w14:paraId="73D681FB" w14:textId="730C313D" w:rsidR="00C30AE6" w:rsidRPr="00C97145" w:rsidRDefault="00C30AE6" w:rsidP="00A46986">
      <w:pPr>
        <w:pStyle w:val="Odstavekseznama"/>
        <w:numPr>
          <w:ilvl w:val="0"/>
          <w:numId w:val="26"/>
        </w:numPr>
        <w:spacing w:after="0" w:line="260" w:lineRule="atLeast"/>
        <w:jc w:val="both"/>
        <w:rPr>
          <w:rFonts w:ascii="Arial" w:hAnsi="Arial" w:cs="Arial"/>
          <w:b/>
          <w:bCs/>
          <w:sz w:val="20"/>
          <w:szCs w:val="20"/>
        </w:rPr>
      </w:pPr>
      <w:r w:rsidRPr="00C97145">
        <w:rPr>
          <w:rFonts w:ascii="Arial" w:hAnsi="Arial" w:cs="Arial"/>
          <w:b/>
          <w:bCs/>
          <w:sz w:val="20"/>
          <w:szCs w:val="20"/>
        </w:rPr>
        <w:t>UVOD</w:t>
      </w:r>
    </w:p>
    <w:p w14:paraId="35C9F1E3" w14:textId="629BEDC5" w:rsidR="00C30AE6" w:rsidRPr="00C97145" w:rsidRDefault="00C30AE6" w:rsidP="00C30AE6">
      <w:pPr>
        <w:pStyle w:val="Odstavekseznama"/>
        <w:spacing w:after="0" w:line="260" w:lineRule="atLeast"/>
        <w:ind w:left="1080"/>
        <w:jc w:val="both"/>
        <w:rPr>
          <w:rFonts w:ascii="Arial" w:hAnsi="Arial" w:cs="Arial"/>
          <w:b/>
          <w:bCs/>
          <w:sz w:val="20"/>
          <w:szCs w:val="20"/>
        </w:rPr>
      </w:pPr>
    </w:p>
    <w:p w14:paraId="235F842B" w14:textId="407822DC" w:rsidR="00C30AE6" w:rsidRPr="00C97145" w:rsidRDefault="00C30AE6" w:rsidP="00C30AE6">
      <w:pPr>
        <w:jc w:val="both"/>
        <w:rPr>
          <w:rFonts w:ascii="Arial" w:hAnsi="Arial" w:cs="Arial"/>
          <w:sz w:val="20"/>
          <w:szCs w:val="20"/>
        </w:rPr>
      </w:pPr>
      <w:r w:rsidRPr="00C97145">
        <w:rPr>
          <w:rFonts w:ascii="Arial" w:hAnsi="Arial" w:cs="Arial"/>
          <w:sz w:val="20"/>
          <w:szCs w:val="20"/>
        </w:rPr>
        <w:t>Zakon o sistemu plač v javnem sektorju (v nadaljevanju: ZSPJS), ki je bil sprejet v letu 2002, izvajati pa se je začel v letu 2008, je uvedel nov plačni sistem v delu javnega sektorja, ki ga sestavljajo:</w:t>
      </w:r>
    </w:p>
    <w:p w14:paraId="225E2576" w14:textId="77777777" w:rsidR="00C30AE6" w:rsidRPr="00C97145" w:rsidRDefault="00C30AE6" w:rsidP="00C30AE6">
      <w:pPr>
        <w:jc w:val="both"/>
        <w:rPr>
          <w:rFonts w:ascii="Arial" w:hAnsi="Arial" w:cs="Arial"/>
          <w:sz w:val="20"/>
          <w:szCs w:val="20"/>
        </w:rPr>
      </w:pPr>
      <w:r w:rsidRPr="00C97145">
        <w:rPr>
          <w:rFonts w:ascii="Arial" w:hAnsi="Arial" w:cs="Arial"/>
          <w:sz w:val="20"/>
          <w:szCs w:val="20"/>
        </w:rPr>
        <w:t>-  državni organi in samoupravne lokalne skupnosti,</w:t>
      </w:r>
    </w:p>
    <w:p w14:paraId="10CFF06B" w14:textId="77777777" w:rsidR="00C30AE6" w:rsidRPr="00C97145" w:rsidRDefault="00C30AE6" w:rsidP="00C30AE6">
      <w:pPr>
        <w:jc w:val="both"/>
        <w:rPr>
          <w:rFonts w:ascii="Arial" w:hAnsi="Arial" w:cs="Arial"/>
          <w:sz w:val="20"/>
          <w:szCs w:val="20"/>
        </w:rPr>
      </w:pPr>
      <w:r w:rsidRPr="00C97145">
        <w:rPr>
          <w:rFonts w:ascii="Arial" w:hAnsi="Arial" w:cs="Arial"/>
          <w:sz w:val="20"/>
          <w:szCs w:val="20"/>
        </w:rPr>
        <w:t>-  javne agencije, javni skladi, javni zavodi in javni gospodarski zavodi ter</w:t>
      </w:r>
    </w:p>
    <w:p w14:paraId="1446F677" w14:textId="34D819B4" w:rsidR="00C30AE6" w:rsidRPr="00C97145" w:rsidRDefault="00C30AE6" w:rsidP="00C30AE6">
      <w:pPr>
        <w:jc w:val="both"/>
        <w:rPr>
          <w:rFonts w:ascii="Arial" w:hAnsi="Arial" w:cs="Arial"/>
          <w:sz w:val="20"/>
          <w:szCs w:val="20"/>
        </w:rPr>
      </w:pPr>
      <w:r w:rsidRPr="00C97145">
        <w:rPr>
          <w:rFonts w:ascii="Arial" w:hAnsi="Arial" w:cs="Arial"/>
          <w:sz w:val="20"/>
          <w:szCs w:val="20"/>
        </w:rPr>
        <w:t>-  druge osebe javnega prava, ki so posredni uporabniki državnega proračuna ali proračuna lokalne skupnosti.</w:t>
      </w:r>
    </w:p>
    <w:p w14:paraId="0FFA5CE1" w14:textId="77777777" w:rsidR="00C30AE6" w:rsidRPr="00C97145" w:rsidRDefault="00C30AE6" w:rsidP="00C30AE6">
      <w:pPr>
        <w:jc w:val="both"/>
        <w:rPr>
          <w:rFonts w:ascii="Arial" w:hAnsi="Arial" w:cs="Arial"/>
          <w:sz w:val="20"/>
          <w:szCs w:val="20"/>
        </w:rPr>
      </w:pPr>
      <w:r w:rsidRPr="00C97145">
        <w:rPr>
          <w:rFonts w:ascii="Arial" w:hAnsi="Arial" w:cs="Arial"/>
          <w:sz w:val="20"/>
          <w:szCs w:val="20"/>
        </w:rPr>
        <w:t xml:space="preserve">Temeljni cilji ZSPJS so bili: </w:t>
      </w:r>
    </w:p>
    <w:p w14:paraId="12C9CE27" w14:textId="77777777" w:rsidR="00C30AE6" w:rsidRPr="00C97145" w:rsidRDefault="00C30AE6" w:rsidP="00A46986">
      <w:pPr>
        <w:pStyle w:val="Odstavekseznama"/>
        <w:numPr>
          <w:ilvl w:val="0"/>
          <w:numId w:val="31"/>
        </w:numPr>
        <w:jc w:val="both"/>
        <w:rPr>
          <w:rFonts w:ascii="Arial" w:hAnsi="Arial" w:cs="Arial"/>
          <w:sz w:val="20"/>
          <w:szCs w:val="20"/>
        </w:rPr>
      </w:pPr>
      <w:r w:rsidRPr="00C97145">
        <w:rPr>
          <w:rFonts w:ascii="Arial" w:hAnsi="Arial" w:cs="Arial"/>
          <w:sz w:val="20"/>
          <w:szCs w:val="20"/>
        </w:rPr>
        <w:t>vzpostavitev skupnega plačnega sistema za javne uslužbence in funkcionarje,</w:t>
      </w:r>
    </w:p>
    <w:p w14:paraId="62F65A4D" w14:textId="77777777" w:rsidR="00C30AE6" w:rsidRPr="00C97145" w:rsidRDefault="00C30AE6" w:rsidP="00A46986">
      <w:pPr>
        <w:pStyle w:val="Odstavekseznama"/>
        <w:numPr>
          <w:ilvl w:val="0"/>
          <w:numId w:val="31"/>
        </w:numPr>
        <w:jc w:val="both"/>
        <w:rPr>
          <w:rFonts w:ascii="Arial" w:hAnsi="Arial" w:cs="Arial"/>
          <w:sz w:val="20"/>
          <w:szCs w:val="20"/>
        </w:rPr>
      </w:pPr>
      <w:r w:rsidRPr="00C97145">
        <w:rPr>
          <w:rFonts w:ascii="Arial" w:hAnsi="Arial" w:cs="Arial"/>
          <w:sz w:val="20"/>
          <w:szCs w:val="20"/>
        </w:rPr>
        <w:t>določitev ustreznih razmerij med plačami javnih uslužbencev in funkcionarjev,</w:t>
      </w:r>
    </w:p>
    <w:p w14:paraId="1FF3154A" w14:textId="77777777" w:rsidR="00C30AE6" w:rsidRPr="00C97145" w:rsidRDefault="00C30AE6" w:rsidP="00A46986">
      <w:pPr>
        <w:pStyle w:val="Odstavekseznama"/>
        <w:numPr>
          <w:ilvl w:val="0"/>
          <w:numId w:val="31"/>
        </w:numPr>
        <w:jc w:val="both"/>
        <w:rPr>
          <w:rFonts w:ascii="Arial" w:hAnsi="Arial" w:cs="Arial"/>
          <w:sz w:val="20"/>
          <w:szCs w:val="20"/>
        </w:rPr>
      </w:pPr>
      <w:r w:rsidRPr="00C97145">
        <w:rPr>
          <w:rFonts w:ascii="Arial" w:hAnsi="Arial" w:cs="Arial"/>
          <w:sz w:val="20"/>
          <w:szCs w:val="20"/>
        </w:rPr>
        <w:t>vzpostavitev fleksibilnega plačnega sistema, ki bo višino plač bolj povezoval z učinkovitostjo in rezultati dela,</w:t>
      </w:r>
    </w:p>
    <w:p w14:paraId="4B847F24" w14:textId="77777777" w:rsidR="00C30AE6" w:rsidRPr="00C97145" w:rsidRDefault="00C30AE6" w:rsidP="00A46986">
      <w:pPr>
        <w:pStyle w:val="Odstavekseznama"/>
        <w:numPr>
          <w:ilvl w:val="0"/>
          <w:numId w:val="31"/>
        </w:numPr>
        <w:jc w:val="both"/>
        <w:rPr>
          <w:rFonts w:ascii="Arial" w:hAnsi="Arial" w:cs="Arial"/>
          <w:sz w:val="20"/>
          <w:szCs w:val="20"/>
        </w:rPr>
      </w:pPr>
      <w:r w:rsidRPr="00C97145">
        <w:rPr>
          <w:rFonts w:ascii="Arial" w:hAnsi="Arial" w:cs="Arial"/>
          <w:sz w:val="20"/>
          <w:szCs w:val="20"/>
        </w:rPr>
        <w:t xml:space="preserve">transparenten in obvladljiv plačni sistem z vidika javnih financ. </w:t>
      </w:r>
    </w:p>
    <w:p w14:paraId="615EE169" w14:textId="7CAAC4EC" w:rsidR="00C30AE6" w:rsidRPr="00C97145" w:rsidRDefault="00A4083D" w:rsidP="00C30AE6">
      <w:pPr>
        <w:jc w:val="both"/>
        <w:rPr>
          <w:rFonts w:ascii="Arial" w:hAnsi="Arial" w:cs="Arial"/>
          <w:sz w:val="20"/>
          <w:szCs w:val="20"/>
        </w:rPr>
      </w:pPr>
      <w:r w:rsidRPr="00C97145">
        <w:rPr>
          <w:rFonts w:ascii="Arial" w:hAnsi="Arial" w:cs="Arial"/>
          <w:sz w:val="20"/>
          <w:szCs w:val="20"/>
        </w:rPr>
        <w:t xml:space="preserve">V letu 2006 so se v skladu z </w:t>
      </w:r>
      <w:r w:rsidR="00D12436" w:rsidRPr="00C97145">
        <w:rPr>
          <w:rFonts w:ascii="Arial" w:hAnsi="Arial" w:cs="Arial"/>
          <w:sz w:val="20"/>
          <w:szCs w:val="20"/>
        </w:rPr>
        <w:t xml:space="preserve">novim zakonom </w:t>
      </w:r>
      <w:r w:rsidRPr="00C97145">
        <w:rPr>
          <w:rFonts w:ascii="Arial" w:hAnsi="Arial" w:cs="Arial"/>
          <w:sz w:val="20"/>
          <w:szCs w:val="20"/>
        </w:rPr>
        <w:t>začele izplačevati plače direktorjem in funkcionarjem, v letu 2008 pa tudi vsem javnim uslužbencem. V času od sprejet</w:t>
      </w:r>
      <w:r w:rsidR="003D2380" w:rsidRPr="00C97145">
        <w:rPr>
          <w:rFonts w:ascii="Arial" w:hAnsi="Arial" w:cs="Arial"/>
          <w:sz w:val="20"/>
          <w:szCs w:val="20"/>
        </w:rPr>
        <w:t>j</w:t>
      </w:r>
      <w:r w:rsidRPr="00C97145">
        <w:rPr>
          <w:rFonts w:ascii="Arial" w:hAnsi="Arial" w:cs="Arial"/>
          <w:sz w:val="20"/>
          <w:szCs w:val="20"/>
        </w:rPr>
        <w:t>a do pričetka izplačil po novem sistemu je bil zakon večkrat noveliran, v tem obdobju je bila sprejeta tudi vrsta podzakonskih aktov, ki so</w:t>
      </w:r>
      <w:r w:rsidR="003D2380" w:rsidRPr="00C97145">
        <w:rPr>
          <w:rFonts w:ascii="Arial" w:hAnsi="Arial" w:cs="Arial"/>
          <w:sz w:val="20"/>
          <w:szCs w:val="20"/>
        </w:rPr>
        <w:t xml:space="preserve"> </w:t>
      </w:r>
      <w:r w:rsidRPr="00C97145">
        <w:rPr>
          <w:rFonts w:ascii="Arial" w:hAnsi="Arial" w:cs="Arial"/>
          <w:sz w:val="20"/>
          <w:szCs w:val="20"/>
        </w:rPr>
        <w:t xml:space="preserve">bili nujni za njegovo izvajanje. Po uveljavitvi ZSPJS so se začela šestletna pogajanja in usklajevanja med predstavniki vlade in reprezentativnimi sindikati javnega sektorja z namenom uvedbe plačnega sistema v prakso. Na podlagi teh pogajanj je bila sklenjena vrsta kolektivnih pogodb, ki so bistveni element tega plačnega sistema in so se začele uporabljati v letu 2008. Začetek izvajanja novega plačnega sistema je tako sovpadel z začetkom ekonomske in finančne krize. </w:t>
      </w:r>
      <w:r w:rsidR="00C30AE6" w:rsidRPr="00C97145">
        <w:rPr>
          <w:rFonts w:ascii="Arial" w:hAnsi="Arial" w:cs="Arial"/>
          <w:sz w:val="20"/>
          <w:szCs w:val="20"/>
        </w:rPr>
        <w:t>Zaradi nujnosti odzivanja na krizne razmere plačni sistem javnega sektorja ni zaživel v obsegu, kot je bilo predvideno z ZSPJS</w:t>
      </w:r>
      <w:r w:rsidRPr="00C97145">
        <w:rPr>
          <w:rFonts w:ascii="Arial" w:hAnsi="Arial" w:cs="Arial"/>
          <w:sz w:val="20"/>
          <w:szCs w:val="20"/>
        </w:rPr>
        <w:t>, prav tako</w:t>
      </w:r>
      <w:r w:rsidR="00C30AE6" w:rsidRPr="00C97145">
        <w:rPr>
          <w:rFonts w:ascii="Arial" w:hAnsi="Arial" w:cs="Arial"/>
          <w:sz w:val="20"/>
          <w:szCs w:val="20"/>
        </w:rPr>
        <w:t xml:space="preserve"> tudi niso bile odpravljene vse anomalije glede vrednotenja primerljivih del</w:t>
      </w:r>
      <w:r w:rsidR="00BA6863" w:rsidRPr="00C97145">
        <w:rPr>
          <w:rFonts w:ascii="Arial" w:hAnsi="Arial" w:cs="Arial"/>
          <w:sz w:val="20"/>
          <w:szCs w:val="20"/>
        </w:rPr>
        <w:t>, za katere so se dogovorili Vlada RS in reprezentativni sindikati javnega sektorja.</w:t>
      </w:r>
      <w:r w:rsidRPr="00C97145">
        <w:rPr>
          <w:rFonts w:ascii="Arial" w:hAnsi="Arial" w:cs="Arial"/>
          <w:sz w:val="20"/>
          <w:szCs w:val="20"/>
        </w:rPr>
        <w:t xml:space="preserve"> </w:t>
      </w:r>
      <w:r w:rsidR="00BA6863" w:rsidRPr="00C97145">
        <w:rPr>
          <w:rFonts w:ascii="Arial" w:hAnsi="Arial" w:cs="Arial"/>
          <w:sz w:val="20"/>
          <w:szCs w:val="20"/>
        </w:rPr>
        <w:t>V okviru ukrepov za znižanje obsega javne porabe so bili sprejeti številni</w:t>
      </w:r>
      <w:r w:rsidR="003D2380" w:rsidRPr="00C97145">
        <w:rPr>
          <w:rFonts w:ascii="Arial" w:hAnsi="Arial" w:cs="Arial"/>
          <w:sz w:val="20"/>
          <w:szCs w:val="20"/>
        </w:rPr>
        <w:t xml:space="preserve"> v</w:t>
      </w:r>
      <w:r w:rsidR="00BA6863" w:rsidRPr="00C97145">
        <w:rPr>
          <w:rFonts w:ascii="Arial" w:hAnsi="Arial" w:cs="Arial"/>
          <w:sz w:val="20"/>
          <w:szCs w:val="20"/>
        </w:rPr>
        <w:t>arčevalni ukrepi na področju plač v javnem sektorju</w:t>
      </w:r>
      <w:r w:rsidR="009134EC" w:rsidRPr="00C97145">
        <w:rPr>
          <w:rFonts w:ascii="Arial" w:hAnsi="Arial" w:cs="Arial"/>
          <w:sz w:val="20"/>
          <w:szCs w:val="20"/>
        </w:rPr>
        <w:t xml:space="preserve">, ki </w:t>
      </w:r>
      <w:r w:rsidR="00BA6863" w:rsidRPr="00C97145">
        <w:rPr>
          <w:rFonts w:ascii="Arial" w:hAnsi="Arial" w:cs="Arial"/>
          <w:sz w:val="20"/>
          <w:szCs w:val="20"/>
        </w:rPr>
        <w:t>so za relativno dolgo obdobje  onemogočili izvajanje tistega dela ZSPJS, ki je bil namenjeni večji fleksibilnosti in večjemu povezovanju rezultatov</w:t>
      </w:r>
      <w:r w:rsidR="003D2380" w:rsidRPr="00C97145">
        <w:rPr>
          <w:rFonts w:ascii="Arial" w:hAnsi="Arial" w:cs="Arial"/>
          <w:sz w:val="20"/>
          <w:szCs w:val="20"/>
        </w:rPr>
        <w:t xml:space="preserve"> </w:t>
      </w:r>
      <w:r w:rsidR="00BA6863" w:rsidRPr="00C97145">
        <w:rPr>
          <w:rFonts w:ascii="Arial" w:hAnsi="Arial" w:cs="Arial"/>
          <w:sz w:val="20"/>
          <w:szCs w:val="20"/>
        </w:rPr>
        <w:t>dela</w:t>
      </w:r>
      <w:r w:rsidR="003D2380" w:rsidRPr="00C97145">
        <w:rPr>
          <w:rFonts w:ascii="Arial" w:hAnsi="Arial" w:cs="Arial"/>
          <w:sz w:val="20"/>
          <w:szCs w:val="20"/>
        </w:rPr>
        <w:t xml:space="preserve"> </w:t>
      </w:r>
      <w:r w:rsidR="00BA6863" w:rsidRPr="00C97145">
        <w:rPr>
          <w:rFonts w:ascii="Arial" w:hAnsi="Arial" w:cs="Arial"/>
          <w:sz w:val="20"/>
          <w:szCs w:val="20"/>
        </w:rPr>
        <w:t>in</w:t>
      </w:r>
      <w:r w:rsidR="003D2380" w:rsidRPr="00C97145">
        <w:rPr>
          <w:rFonts w:ascii="Arial" w:hAnsi="Arial" w:cs="Arial"/>
          <w:sz w:val="20"/>
          <w:szCs w:val="20"/>
        </w:rPr>
        <w:t xml:space="preserve"> </w:t>
      </w:r>
      <w:r w:rsidR="00BA6863" w:rsidRPr="00C97145">
        <w:rPr>
          <w:rFonts w:ascii="Arial" w:hAnsi="Arial" w:cs="Arial"/>
          <w:sz w:val="20"/>
          <w:szCs w:val="20"/>
        </w:rPr>
        <w:t xml:space="preserve">nagrajevanja. </w:t>
      </w:r>
      <w:r w:rsidRPr="00C97145">
        <w:rPr>
          <w:rFonts w:ascii="Arial" w:hAnsi="Arial" w:cs="Arial"/>
          <w:sz w:val="20"/>
          <w:szCs w:val="20"/>
        </w:rPr>
        <w:t>Šele</w:t>
      </w:r>
      <w:r w:rsidR="003D2380" w:rsidRPr="00C97145">
        <w:rPr>
          <w:rFonts w:ascii="Arial" w:hAnsi="Arial" w:cs="Arial"/>
          <w:sz w:val="20"/>
          <w:szCs w:val="20"/>
        </w:rPr>
        <w:t xml:space="preserve"> </w:t>
      </w:r>
      <w:r w:rsidRPr="00C97145">
        <w:rPr>
          <w:rFonts w:ascii="Arial" w:hAnsi="Arial" w:cs="Arial"/>
          <w:sz w:val="20"/>
          <w:szCs w:val="20"/>
        </w:rPr>
        <w:t xml:space="preserve">v letu 2018 </w:t>
      </w:r>
      <w:r w:rsidR="00BA6863" w:rsidRPr="00C97145">
        <w:rPr>
          <w:rFonts w:ascii="Arial" w:hAnsi="Arial" w:cs="Arial"/>
          <w:sz w:val="20"/>
          <w:szCs w:val="20"/>
        </w:rPr>
        <w:t>so Vlada RS in reprezentativni sindikati podpisali dogovor, s katerim so ugotovili, da so realizirane vse obveznosti  iz naslova odpravljanja anomalij, šele v letu 2020 pa je bil odpravljen zadnji varčevalni ukrep, sprejet v času ekonomske in finančne krize.</w:t>
      </w:r>
      <w:r w:rsidR="009134EC" w:rsidRPr="00C97145">
        <w:rPr>
          <w:rFonts w:ascii="Arial" w:hAnsi="Arial" w:cs="Arial"/>
          <w:sz w:val="20"/>
          <w:szCs w:val="20"/>
        </w:rPr>
        <w:t xml:space="preserve"> Varčevalni ukrepi in nato visoki stroški za plače zaradi epidemije </w:t>
      </w:r>
      <w:r w:rsidR="009D0576" w:rsidRPr="00C97145">
        <w:rPr>
          <w:rFonts w:ascii="Arial" w:hAnsi="Arial" w:cs="Arial"/>
          <w:sz w:val="20"/>
          <w:szCs w:val="20"/>
        </w:rPr>
        <w:t xml:space="preserve">COVID 19 </w:t>
      </w:r>
      <w:r w:rsidR="009134EC" w:rsidRPr="00C97145">
        <w:rPr>
          <w:rFonts w:ascii="Arial" w:hAnsi="Arial" w:cs="Arial"/>
          <w:sz w:val="20"/>
          <w:szCs w:val="20"/>
        </w:rPr>
        <w:t xml:space="preserve">so vplivali tudi na to, da se plačna lestvica letno ni usklajevala. Hkrati se je v zadnjih letih občutno povečevala minimalna plača. Oboje skupaj je privedlo do občutnega povečanja deleža zaposlenih, ki prejemajo minimalno plačo. Ob pritiskih za povečevanje plač je vse pogosteje prihajalo do parcialnih rešitev, s čimer so se </w:t>
      </w:r>
      <w:r w:rsidR="009134EC" w:rsidRPr="001B2AF8">
        <w:rPr>
          <w:rFonts w:ascii="Arial" w:hAnsi="Arial" w:cs="Arial"/>
          <w:color w:val="000000" w:themeColor="text1"/>
          <w:sz w:val="20"/>
          <w:szCs w:val="20"/>
        </w:rPr>
        <w:t>znova</w:t>
      </w:r>
      <w:r w:rsidR="009134EC" w:rsidRPr="00C97145">
        <w:rPr>
          <w:rFonts w:ascii="Arial" w:hAnsi="Arial" w:cs="Arial"/>
          <w:sz w:val="20"/>
          <w:szCs w:val="20"/>
        </w:rPr>
        <w:t xml:space="preserve"> rušila razmerja med plačami posameznih poklicnih skupin ter med plačami javnih uslužbencev ter direktorjev in funkcionarjev.</w:t>
      </w:r>
    </w:p>
    <w:p w14:paraId="11A1B86D" w14:textId="77777777" w:rsidR="001B2AF8" w:rsidRDefault="009134EC" w:rsidP="009F05AF">
      <w:pPr>
        <w:jc w:val="both"/>
        <w:rPr>
          <w:rFonts w:ascii="Arial" w:hAnsi="Arial" w:cs="Arial"/>
          <w:sz w:val="20"/>
          <w:szCs w:val="20"/>
        </w:rPr>
      </w:pPr>
      <w:r w:rsidRPr="00C97145">
        <w:rPr>
          <w:rFonts w:ascii="Arial" w:hAnsi="Arial" w:cs="Arial"/>
          <w:sz w:val="20"/>
          <w:szCs w:val="20"/>
        </w:rPr>
        <w:lastRenderedPageBreak/>
        <w:t xml:space="preserve">Nekajkrat </w:t>
      </w:r>
      <w:r w:rsidR="00343949" w:rsidRPr="00C97145">
        <w:rPr>
          <w:rFonts w:ascii="Arial" w:hAnsi="Arial" w:cs="Arial"/>
          <w:sz w:val="20"/>
          <w:szCs w:val="20"/>
        </w:rPr>
        <w:t>so se med vlado in sindikati sicer začela pogajan</w:t>
      </w:r>
      <w:r w:rsidR="00340A12" w:rsidRPr="00C97145">
        <w:rPr>
          <w:rFonts w:ascii="Arial" w:hAnsi="Arial" w:cs="Arial"/>
          <w:sz w:val="20"/>
          <w:szCs w:val="20"/>
        </w:rPr>
        <w:t>j</w:t>
      </w:r>
      <w:r w:rsidR="00343949" w:rsidRPr="00C97145">
        <w:rPr>
          <w:rFonts w:ascii="Arial" w:hAnsi="Arial" w:cs="Arial"/>
          <w:sz w:val="20"/>
          <w:szCs w:val="20"/>
        </w:rPr>
        <w:t xml:space="preserve">a o </w:t>
      </w:r>
      <w:r w:rsidRPr="00C97145">
        <w:rPr>
          <w:rFonts w:ascii="Arial" w:hAnsi="Arial" w:cs="Arial"/>
          <w:sz w:val="20"/>
          <w:szCs w:val="20"/>
        </w:rPr>
        <w:t>prenov</w:t>
      </w:r>
      <w:r w:rsidR="00343949" w:rsidRPr="00C97145">
        <w:rPr>
          <w:rFonts w:ascii="Arial" w:hAnsi="Arial" w:cs="Arial"/>
          <w:sz w:val="20"/>
          <w:szCs w:val="20"/>
        </w:rPr>
        <w:t>i plačnega</w:t>
      </w:r>
      <w:r w:rsidRPr="00C97145">
        <w:rPr>
          <w:rFonts w:ascii="Arial" w:hAnsi="Arial" w:cs="Arial"/>
          <w:sz w:val="20"/>
          <w:szCs w:val="20"/>
        </w:rPr>
        <w:t xml:space="preserve"> sistema, </w:t>
      </w:r>
      <w:r w:rsidR="00343949" w:rsidRPr="00C97145">
        <w:rPr>
          <w:rFonts w:ascii="Arial" w:hAnsi="Arial" w:cs="Arial"/>
          <w:sz w:val="20"/>
          <w:szCs w:val="20"/>
        </w:rPr>
        <w:t xml:space="preserve">vendar do uskladitve stališč o tem nikdar ni prišlo. </w:t>
      </w:r>
    </w:p>
    <w:p w14:paraId="5C139987" w14:textId="0CB18756" w:rsidR="000242EF" w:rsidRPr="00C97145" w:rsidRDefault="00BA6863" w:rsidP="009F05AF">
      <w:pPr>
        <w:jc w:val="both"/>
        <w:rPr>
          <w:rFonts w:ascii="Arial" w:hAnsi="Arial" w:cs="Arial"/>
          <w:sz w:val="20"/>
          <w:szCs w:val="20"/>
        </w:rPr>
      </w:pPr>
      <w:r w:rsidRPr="00C97145">
        <w:rPr>
          <w:rFonts w:ascii="Arial" w:hAnsi="Arial" w:cs="Arial"/>
          <w:sz w:val="20"/>
          <w:szCs w:val="20"/>
        </w:rPr>
        <w:t xml:space="preserve">V času izvajanja ZSPJS je bilo </w:t>
      </w:r>
      <w:r w:rsidR="000242EF" w:rsidRPr="00C97145">
        <w:rPr>
          <w:rFonts w:ascii="Arial" w:hAnsi="Arial" w:cs="Arial"/>
          <w:sz w:val="20"/>
          <w:szCs w:val="20"/>
        </w:rPr>
        <w:t>pri</w:t>
      </w:r>
      <w:r w:rsidRPr="00C97145">
        <w:rPr>
          <w:rFonts w:ascii="Arial" w:hAnsi="Arial" w:cs="Arial"/>
          <w:sz w:val="20"/>
          <w:szCs w:val="20"/>
        </w:rPr>
        <w:t>pravljenih več analiz</w:t>
      </w:r>
      <w:r w:rsidR="000242EF" w:rsidRPr="00C97145">
        <w:rPr>
          <w:rFonts w:ascii="Arial" w:hAnsi="Arial" w:cs="Arial"/>
          <w:sz w:val="20"/>
          <w:szCs w:val="20"/>
        </w:rPr>
        <w:t xml:space="preserve"> in poročil, </w:t>
      </w:r>
      <w:r w:rsidRPr="00C97145">
        <w:rPr>
          <w:rFonts w:ascii="Arial" w:hAnsi="Arial" w:cs="Arial"/>
          <w:sz w:val="20"/>
          <w:szCs w:val="20"/>
        </w:rPr>
        <w:t xml:space="preserve"> ki so kazal</w:t>
      </w:r>
      <w:r w:rsidR="000242EF" w:rsidRPr="00C97145">
        <w:rPr>
          <w:rFonts w:ascii="Arial" w:hAnsi="Arial" w:cs="Arial"/>
          <w:sz w:val="20"/>
          <w:szCs w:val="20"/>
        </w:rPr>
        <w:t>a</w:t>
      </w:r>
      <w:r w:rsidRPr="00C97145">
        <w:rPr>
          <w:rFonts w:ascii="Arial" w:hAnsi="Arial" w:cs="Arial"/>
          <w:sz w:val="20"/>
          <w:szCs w:val="20"/>
        </w:rPr>
        <w:t xml:space="preserve"> na sistemske pomanjkljivosti in na to, da bi bilo potrebno sistem dodelati oz. spremeniti</w:t>
      </w:r>
      <w:r w:rsidR="000242EF" w:rsidRPr="00C97145">
        <w:rPr>
          <w:rFonts w:ascii="Arial" w:hAnsi="Arial" w:cs="Arial"/>
          <w:sz w:val="20"/>
          <w:szCs w:val="20"/>
        </w:rPr>
        <w:t>, in sicer:</w:t>
      </w:r>
    </w:p>
    <w:p w14:paraId="04A2E997" w14:textId="77777777" w:rsidR="000242EF" w:rsidRPr="00C97145" w:rsidRDefault="000242EF" w:rsidP="000242EF">
      <w:pPr>
        <w:numPr>
          <w:ilvl w:val="0"/>
          <w:numId w:val="39"/>
        </w:numPr>
        <w:jc w:val="both"/>
        <w:rPr>
          <w:rFonts w:ascii="Arial" w:hAnsi="Arial" w:cs="Arial"/>
          <w:sz w:val="20"/>
          <w:szCs w:val="20"/>
        </w:rPr>
      </w:pPr>
      <w:r w:rsidRPr="00C97145">
        <w:rPr>
          <w:rFonts w:ascii="Arial" w:hAnsi="Arial" w:cs="Arial"/>
          <w:sz w:val="20"/>
          <w:szCs w:val="20"/>
        </w:rPr>
        <w:t>Študija OECD o Plačnem sistemu v slovenskem javnem sektorju (2011)</w:t>
      </w:r>
    </w:p>
    <w:p w14:paraId="78D046F7" w14:textId="77777777" w:rsidR="000242EF" w:rsidRPr="00C97145" w:rsidRDefault="000242EF" w:rsidP="000242EF">
      <w:pPr>
        <w:numPr>
          <w:ilvl w:val="0"/>
          <w:numId w:val="39"/>
        </w:numPr>
        <w:jc w:val="both"/>
        <w:rPr>
          <w:rFonts w:ascii="Arial" w:hAnsi="Arial" w:cs="Arial"/>
          <w:sz w:val="20"/>
          <w:szCs w:val="20"/>
        </w:rPr>
      </w:pPr>
      <w:r w:rsidRPr="00C97145">
        <w:rPr>
          <w:rFonts w:ascii="Arial" w:hAnsi="Arial" w:cs="Arial"/>
          <w:sz w:val="20"/>
          <w:szCs w:val="20"/>
        </w:rPr>
        <w:t>Analiza plačnega sistema javnega sektorja MJU (2015)</w:t>
      </w:r>
    </w:p>
    <w:p w14:paraId="43729F04" w14:textId="77777777" w:rsidR="000242EF" w:rsidRPr="00C97145" w:rsidRDefault="000242EF" w:rsidP="000242EF">
      <w:pPr>
        <w:numPr>
          <w:ilvl w:val="0"/>
          <w:numId w:val="39"/>
        </w:numPr>
        <w:jc w:val="both"/>
        <w:rPr>
          <w:rFonts w:ascii="Arial" w:hAnsi="Arial" w:cs="Arial"/>
          <w:sz w:val="20"/>
          <w:szCs w:val="20"/>
        </w:rPr>
      </w:pPr>
      <w:r w:rsidRPr="00C97145">
        <w:rPr>
          <w:rFonts w:ascii="Arial" w:hAnsi="Arial" w:cs="Arial"/>
          <w:sz w:val="20"/>
          <w:szCs w:val="20"/>
        </w:rPr>
        <w:t>Letna poročila o ocenjevanju delovne uspešnosti in napredovanju javnih uslužbencev (2021,…)</w:t>
      </w:r>
    </w:p>
    <w:p w14:paraId="583A550C" w14:textId="77777777" w:rsidR="000242EF" w:rsidRPr="00C97145" w:rsidRDefault="000242EF" w:rsidP="000242EF">
      <w:pPr>
        <w:numPr>
          <w:ilvl w:val="0"/>
          <w:numId w:val="39"/>
        </w:numPr>
        <w:jc w:val="both"/>
        <w:rPr>
          <w:rFonts w:ascii="Arial" w:hAnsi="Arial" w:cs="Arial"/>
          <w:sz w:val="20"/>
          <w:szCs w:val="20"/>
        </w:rPr>
      </w:pPr>
      <w:r w:rsidRPr="00C97145">
        <w:rPr>
          <w:rFonts w:ascii="Arial" w:hAnsi="Arial" w:cs="Arial"/>
          <w:sz w:val="20"/>
          <w:szCs w:val="20"/>
        </w:rPr>
        <w:t>Analiza kariernega napredovanja javnih uslužbencev v JS (2019)</w:t>
      </w:r>
    </w:p>
    <w:p w14:paraId="50DD86E6" w14:textId="77777777" w:rsidR="000242EF" w:rsidRPr="00C97145" w:rsidRDefault="000242EF" w:rsidP="000242EF">
      <w:pPr>
        <w:numPr>
          <w:ilvl w:val="0"/>
          <w:numId w:val="39"/>
        </w:numPr>
        <w:jc w:val="both"/>
        <w:rPr>
          <w:rFonts w:ascii="Arial" w:hAnsi="Arial" w:cs="Arial"/>
          <w:sz w:val="20"/>
          <w:szCs w:val="20"/>
        </w:rPr>
      </w:pPr>
      <w:r w:rsidRPr="00C97145">
        <w:rPr>
          <w:rFonts w:ascii="Arial" w:hAnsi="Arial" w:cs="Arial"/>
          <w:sz w:val="20"/>
          <w:szCs w:val="20"/>
        </w:rPr>
        <w:t>Analiza stanja, predstavljena na Svetu za sistem plač v JS (2022)</w:t>
      </w:r>
    </w:p>
    <w:p w14:paraId="0587B35C" w14:textId="77777777" w:rsidR="000242EF" w:rsidRPr="00C97145" w:rsidRDefault="000242EF" w:rsidP="000242EF">
      <w:pPr>
        <w:numPr>
          <w:ilvl w:val="0"/>
          <w:numId w:val="39"/>
        </w:numPr>
        <w:jc w:val="both"/>
        <w:rPr>
          <w:rFonts w:ascii="Arial" w:hAnsi="Arial" w:cs="Arial"/>
          <w:sz w:val="20"/>
          <w:szCs w:val="20"/>
        </w:rPr>
      </w:pPr>
      <w:r w:rsidRPr="00C97145">
        <w:rPr>
          <w:rFonts w:ascii="Arial" w:hAnsi="Arial" w:cs="Arial"/>
          <w:sz w:val="20"/>
          <w:szCs w:val="20"/>
        </w:rPr>
        <w:t>Analiza plač v javnem sektorju – letna poročila (2022, …)</w:t>
      </w:r>
    </w:p>
    <w:p w14:paraId="708B6EBF" w14:textId="77777777" w:rsidR="000242EF" w:rsidRPr="00C97145" w:rsidRDefault="000242EF" w:rsidP="000242EF">
      <w:pPr>
        <w:numPr>
          <w:ilvl w:val="0"/>
          <w:numId w:val="39"/>
        </w:numPr>
        <w:jc w:val="both"/>
        <w:rPr>
          <w:rFonts w:ascii="Arial" w:hAnsi="Arial" w:cs="Arial"/>
          <w:sz w:val="20"/>
          <w:szCs w:val="20"/>
        </w:rPr>
      </w:pPr>
      <w:r w:rsidRPr="00C97145">
        <w:rPr>
          <w:rFonts w:ascii="Arial" w:hAnsi="Arial" w:cs="Arial"/>
          <w:sz w:val="20"/>
          <w:szCs w:val="20"/>
        </w:rPr>
        <w:t>Informacija glede števila zaposlenih in plač v javnem sektorju v obdobju 2008 – 2022 (gradivo za sejo Vlade RS, 18.1.2023)</w:t>
      </w:r>
    </w:p>
    <w:p w14:paraId="504FE195" w14:textId="0830C0BB" w:rsidR="000242EF" w:rsidRPr="00C97145" w:rsidRDefault="000242EF" w:rsidP="000242EF">
      <w:pPr>
        <w:jc w:val="both"/>
        <w:rPr>
          <w:rFonts w:ascii="Arial" w:hAnsi="Arial" w:cs="Arial"/>
          <w:sz w:val="20"/>
          <w:szCs w:val="20"/>
        </w:rPr>
      </w:pPr>
      <w:r w:rsidRPr="00C97145">
        <w:rPr>
          <w:rFonts w:ascii="Arial" w:hAnsi="Arial" w:cs="Arial"/>
          <w:sz w:val="20"/>
          <w:szCs w:val="20"/>
        </w:rPr>
        <w:t>Izhodišča za prenovo plačnega sistema tako temeljijo na izkušnjah pri izvajanju plačnega sistema v praksi od njegovega nastanka v letu 2008 dalje ter na ugotovitvah posameznih navedenih študij oziroma analiz</w:t>
      </w:r>
      <w:r w:rsidR="003D2380" w:rsidRPr="00C97145">
        <w:rPr>
          <w:rFonts w:ascii="Arial" w:hAnsi="Arial" w:cs="Arial"/>
          <w:sz w:val="20"/>
          <w:szCs w:val="20"/>
        </w:rPr>
        <w:t xml:space="preserve"> </w:t>
      </w:r>
      <w:r w:rsidRPr="00C97145">
        <w:rPr>
          <w:rFonts w:ascii="Arial" w:hAnsi="Arial" w:cs="Arial"/>
          <w:sz w:val="20"/>
          <w:szCs w:val="20"/>
        </w:rPr>
        <w:t xml:space="preserve">o plačnem sistemu javnega sektorja, ki so bile </w:t>
      </w:r>
      <w:r w:rsidR="003D2380" w:rsidRPr="00C97145">
        <w:rPr>
          <w:rFonts w:ascii="Arial" w:hAnsi="Arial" w:cs="Arial"/>
          <w:sz w:val="20"/>
          <w:szCs w:val="20"/>
        </w:rPr>
        <w:t>izvedene</w:t>
      </w:r>
      <w:r w:rsidRPr="00C97145">
        <w:rPr>
          <w:rFonts w:ascii="Arial" w:hAnsi="Arial" w:cs="Arial"/>
          <w:sz w:val="20"/>
          <w:szCs w:val="20"/>
        </w:rPr>
        <w:t xml:space="preserve"> v obdobju od leta 2011 do 2022. Pomemben vir pri oblikovanju izhodišč za prenovo plačnega sistema javnega sektorja je tudi komentar </w:t>
      </w:r>
      <w:r w:rsidR="00535703" w:rsidRPr="00C97145">
        <w:rPr>
          <w:rFonts w:ascii="Arial" w:hAnsi="Arial" w:cs="Arial"/>
          <w:sz w:val="20"/>
          <w:szCs w:val="20"/>
        </w:rPr>
        <w:t>Z</w:t>
      </w:r>
      <w:r w:rsidRPr="00C97145">
        <w:rPr>
          <w:rFonts w:ascii="Arial" w:hAnsi="Arial" w:cs="Arial"/>
          <w:sz w:val="20"/>
          <w:szCs w:val="20"/>
        </w:rPr>
        <w:t>akona o sistemu plač v javnem sektorju, ki je izšel v letu 2022 in med drugim vsebuje obsežen uvodni del,</w:t>
      </w:r>
      <w:r w:rsidR="003D2380" w:rsidRPr="00C97145">
        <w:rPr>
          <w:rFonts w:ascii="Arial" w:hAnsi="Arial" w:cs="Arial"/>
          <w:sz w:val="20"/>
          <w:szCs w:val="20"/>
        </w:rPr>
        <w:t xml:space="preserve"> </w:t>
      </w:r>
      <w:r w:rsidRPr="00C97145">
        <w:rPr>
          <w:rFonts w:ascii="Arial" w:hAnsi="Arial" w:cs="Arial"/>
          <w:sz w:val="20"/>
          <w:szCs w:val="20"/>
        </w:rPr>
        <w:t>v</w:t>
      </w:r>
      <w:r w:rsidR="003D2380" w:rsidRPr="00C97145">
        <w:rPr>
          <w:rFonts w:ascii="Arial" w:hAnsi="Arial" w:cs="Arial"/>
          <w:sz w:val="20"/>
          <w:szCs w:val="20"/>
        </w:rPr>
        <w:t xml:space="preserve"> </w:t>
      </w:r>
      <w:r w:rsidRPr="00C97145">
        <w:rPr>
          <w:rFonts w:ascii="Arial" w:hAnsi="Arial" w:cs="Arial"/>
          <w:sz w:val="20"/>
          <w:szCs w:val="20"/>
        </w:rPr>
        <w:t xml:space="preserve">katerem avtorji predstavljajo razvoj plačnih sistemov v slovenskem javnem sektorju, pomanjkljivosti prejšnjega plačnega sistema na podlagi ugotovitev Računskega sodišča RS, ugotovitve glede doseganja zastavljenih ciljev aktualnega plačnega sistema, hkrati pa odgovarjajo tudi na </w:t>
      </w:r>
      <w:r w:rsidR="00FA552D" w:rsidRPr="00C97145">
        <w:rPr>
          <w:rFonts w:ascii="Arial" w:hAnsi="Arial" w:cs="Arial"/>
          <w:sz w:val="20"/>
          <w:szCs w:val="20"/>
        </w:rPr>
        <w:t>izzive</w:t>
      </w:r>
      <w:r w:rsidRPr="00C97145">
        <w:rPr>
          <w:rFonts w:ascii="Arial" w:hAnsi="Arial" w:cs="Arial"/>
          <w:sz w:val="20"/>
          <w:szCs w:val="20"/>
        </w:rPr>
        <w:t xml:space="preserve">, kaj bi bilo treba v plačnem sistemu v prihodnje izboljšati </w:t>
      </w:r>
      <w:r w:rsidRPr="00C97145">
        <w:rPr>
          <w:rStyle w:val="Sprotnaopomba-sklic"/>
          <w:rFonts w:ascii="Arial" w:hAnsi="Arial" w:cs="Arial"/>
          <w:sz w:val="20"/>
          <w:szCs w:val="20"/>
        </w:rPr>
        <w:footnoteReference w:id="1"/>
      </w:r>
      <w:r w:rsidRPr="00C97145">
        <w:rPr>
          <w:rFonts w:ascii="Arial" w:hAnsi="Arial" w:cs="Arial"/>
          <w:sz w:val="20"/>
          <w:szCs w:val="20"/>
        </w:rPr>
        <w:t>.</w:t>
      </w:r>
    </w:p>
    <w:p w14:paraId="047C2C14" w14:textId="5AD904D3" w:rsidR="000242EF" w:rsidRPr="00C97145" w:rsidRDefault="000242EF" w:rsidP="000242EF">
      <w:pPr>
        <w:jc w:val="both"/>
        <w:rPr>
          <w:rFonts w:ascii="Arial" w:hAnsi="Arial" w:cs="Arial"/>
          <w:sz w:val="20"/>
          <w:szCs w:val="20"/>
        </w:rPr>
      </w:pPr>
      <w:r w:rsidRPr="00C97145">
        <w:rPr>
          <w:rFonts w:ascii="Arial" w:hAnsi="Arial" w:cs="Arial"/>
          <w:sz w:val="20"/>
          <w:szCs w:val="20"/>
        </w:rPr>
        <w:t>Bistvene ugotovitve, ki jih je mogoče razbrati iz zgoraj navedenih virov</w:t>
      </w:r>
      <w:r w:rsidR="00535703" w:rsidRPr="00C97145">
        <w:rPr>
          <w:rFonts w:ascii="Arial" w:hAnsi="Arial" w:cs="Arial"/>
          <w:sz w:val="20"/>
          <w:szCs w:val="20"/>
        </w:rPr>
        <w:t>,</w:t>
      </w:r>
      <w:r w:rsidRPr="00C97145">
        <w:rPr>
          <w:rFonts w:ascii="Arial" w:hAnsi="Arial" w:cs="Arial"/>
          <w:sz w:val="20"/>
          <w:szCs w:val="20"/>
        </w:rPr>
        <w:t xml:space="preserve"> so naslednje:</w:t>
      </w:r>
    </w:p>
    <w:p w14:paraId="2AB3BA22" w14:textId="737110A0" w:rsidR="000242EF" w:rsidRPr="00C97145" w:rsidRDefault="00535703" w:rsidP="00535703">
      <w:pPr>
        <w:pStyle w:val="Odstavekseznama"/>
        <w:numPr>
          <w:ilvl w:val="1"/>
          <w:numId w:val="4"/>
        </w:numPr>
        <w:jc w:val="both"/>
        <w:rPr>
          <w:rFonts w:ascii="Arial" w:hAnsi="Arial" w:cs="Arial"/>
          <w:sz w:val="20"/>
          <w:szCs w:val="20"/>
        </w:rPr>
      </w:pPr>
      <w:r w:rsidRPr="00C97145">
        <w:rPr>
          <w:rFonts w:ascii="Arial" w:hAnsi="Arial" w:cs="Arial"/>
          <w:sz w:val="20"/>
          <w:szCs w:val="20"/>
        </w:rPr>
        <w:t>N</w:t>
      </w:r>
      <w:r w:rsidR="000242EF" w:rsidRPr="00C97145">
        <w:rPr>
          <w:rFonts w:ascii="Arial" w:hAnsi="Arial" w:cs="Arial"/>
          <w:sz w:val="20"/>
          <w:szCs w:val="20"/>
        </w:rPr>
        <w:t>ov plačni sistem je vnesel red v nered, ki je bil posledica starega plačnega sistema in njegovega izvajanja v praksi od leta 1994 do 2008; zagotovil je transparentnost sistema, javno dostopnost podatkov o plačah v javnem sektorju in javno finančno obvladljivost sistema; hkrati pa je vnesel togost oziroma premajhno fleksibilnost sistema, ki bi več manevrskega prostora pri upravljanju s kadri in določanjem plač v odvisnosti od rezultatov dela ter glede na razmere na trgu dela puščal delodajalcem oziroma managementu; prizadevati bi si bilo treba torej za fleksibilnejši plačni sistem, ki bi v večji meri zagotavljal možnost prilagajanja plač razmeram na trgu in ponudbi oziroma povpraševanju po kadrih s specifičnimi in redkimi kompetencami ter ustreznim naslavljanjem deficitarnosti kadra na določenih področjih delovanja javnega sektorja; ena ključnih nalog v zvezi s prenovo plačnega sistema je zaradi tega vzpostavitev jasne meje med nujnostjo enotnih in centralno postavljenih pravil delovanja plačnega sistema, in nujnostjo zagotovitve potrebne avtonomije managementu, da v okviru razpoložljivih resursov lahko optimizirajo</w:t>
      </w:r>
      <w:r w:rsidR="000242EF" w:rsidRPr="00C97145">
        <w:rPr>
          <w:rFonts w:ascii="Arial" w:hAnsi="Arial" w:cs="Arial"/>
          <w:strike/>
          <w:color w:val="2F5496" w:themeColor="accent1" w:themeShade="BF"/>
          <w:sz w:val="20"/>
          <w:szCs w:val="20"/>
        </w:rPr>
        <w:t>,</w:t>
      </w:r>
      <w:r w:rsidR="000242EF" w:rsidRPr="00C97145">
        <w:rPr>
          <w:rFonts w:ascii="Arial" w:hAnsi="Arial" w:cs="Arial"/>
          <w:sz w:val="20"/>
          <w:szCs w:val="20"/>
        </w:rPr>
        <w:t xml:space="preserve"> kadrovske in finančne resurse in nasploh poslovanje proračunskega uporabnika; za realizacijo navedenega je potrebna deregulacija sistema oziroma zmanjšanje obsega normativnega urejanja na centralni ravni (Študija OECD iz leta 2011, Analiza plačnega sistema javnega sektorja iz leta 2015);</w:t>
      </w:r>
    </w:p>
    <w:p w14:paraId="5397D1F8" w14:textId="77777777" w:rsidR="00FA552D" w:rsidRPr="00C97145" w:rsidRDefault="00FA552D" w:rsidP="00FA552D">
      <w:pPr>
        <w:pStyle w:val="Odstavekseznama"/>
        <w:ind w:left="1440"/>
        <w:jc w:val="both"/>
        <w:rPr>
          <w:rFonts w:ascii="Arial" w:hAnsi="Arial" w:cs="Arial"/>
          <w:sz w:val="20"/>
          <w:szCs w:val="20"/>
        </w:rPr>
      </w:pPr>
    </w:p>
    <w:p w14:paraId="147BE570" w14:textId="077EAFAA" w:rsidR="000242EF" w:rsidRPr="00C97145" w:rsidRDefault="00535703" w:rsidP="00535703">
      <w:pPr>
        <w:pStyle w:val="Odstavekseznama"/>
        <w:numPr>
          <w:ilvl w:val="1"/>
          <w:numId w:val="4"/>
        </w:numPr>
        <w:jc w:val="both"/>
        <w:rPr>
          <w:rFonts w:ascii="Arial" w:hAnsi="Arial" w:cs="Arial"/>
          <w:sz w:val="20"/>
          <w:szCs w:val="20"/>
        </w:rPr>
      </w:pPr>
      <w:r w:rsidRPr="00C97145">
        <w:rPr>
          <w:rFonts w:ascii="Arial" w:hAnsi="Arial" w:cs="Arial"/>
          <w:sz w:val="20"/>
          <w:szCs w:val="20"/>
        </w:rPr>
        <w:t>K</w:t>
      </w:r>
      <w:r w:rsidR="000242EF" w:rsidRPr="00C97145">
        <w:rPr>
          <w:rFonts w:ascii="Arial" w:hAnsi="Arial" w:cs="Arial"/>
          <w:sz w:val="20"/>
          <w:szCs w:val="20"/>
        </w:rPr>
        <w:t xml:space="preserve">ljub enotnim pravilom določanja, obračunavanja in izplačevanja plač, je dinamika poviševanja plač glede na posamezne dejavnosti oziroma poklicne skupine v javnem </w:t>
      </w:r>
      <w:r w:rsidR="000242EF" w:rsidRPr="00C97145">
        <w:rPr>
          <w:rFonts w:ascii="Arial" w:hAnsi="Arial" w:cs="Arial"/>
          <w:sz w:val="20"/>
          <w:szCs w:val="20"/>
        </w:rPr>
        <w:lastRenderedPageBreak/>
        <w:t>sektorju v pomembni meri različna; na to vplivajo različni pogoji napredovanja v nazive, različna struktura delovnih mest in v tej zvezi različna možnost premeščanja na zahtevnejša delovna mesta, prav tako pa tudi različni razponi v izhodiščnih plačnih razredih med nazivi istega delovnega mesta glede na posamezne dejavnosti javnega sektorja; razlike v dinamiki poviševanja plač so torej zlasti posledica različnih možnosti kariernega napredovanja glede na naravo dela, kar kaže na raznorodnost javnega sektorja in potrebo po večjem upoštevanju specifik posameznih dejavnosti in poklicev ter odmiku od sistemsko vgrajenega primerjanja plač med poklicnimi skupinami oziroma poklici,</w:t>
      </w:r>
      <w:r w:rsidR="00831D60" w:rsidRPr="00C97145">
        <w:rPr>
          <w:rFonts w:ascii="Arial" w:hAnsi="Arial" w:cs="Arial"/>
          <w:sz w:val="20"/>
          <w:szCs w:val="20"/>
        </w:rPr>
        <w:t xml:space="preserve"> </w:t>
      </w:r>
      <w:r w:rsidR="000242EF" w:rsidRPr="00C97145">
        <w:rPr>
          <w:rFonts w:ascii="Arial" w:hAnsi="Arial" w:cs="Arial"/>
          <w:sz w:val="20"/>
          <w:szCs w:val="20"/>
        </w:rPr>
        <w:t>ki</w:t>
      </w:r>
      <w:r w:rsidR="00831D60" w:rsidRPr="00C97145">
        <w:rPr>
          <w:rFonts w:ascii="Arial" w:hAnsi="Arial" w:cs="Arial"/>
          <w:sz w:val="20"/>
          <w:szCs w:val="20"/>
        </w:rPr>
        <w:t xml:space="preserve"> </w:t>
      </w:r>
      <w:r w:rsidR="000242EF" w:rsidRPr="00C97145">
        <w:rPr>
          <w:rFonts w:ascii="Arial" w:hAnsi="Arial" w:cs="Arial"/>
          <w:sz w:val="20"/>
          <w:szCs w:val="20"/>
        </w:rPr>
        <w:t>medsebojno niso primerljivi (policisti, baletni plesalci, zdravniki, referenti, restavratorji, znanstveniki / raziskovalci ipd.) (Analiza kariernega napredovanja javnih uslužbencev iz leta 2019);</w:t>
      </w:r>
    </w:p>
    <w:p w14:paraId="4C094A61" w14:textId="77777777" w:rsidR="00535703" w:rsidRPr="00C97145" w:rsidRDefault="00535703" w:rsidP="00535703">
      <w:pPr>
        <w:pStyle w:val="Odstavekseznama"/>
        <w:rPr>
          <w:rFonts w:ascii="Arial" w:hAnsi="Arial" w:cs="Arial"/>
          <w:sz w:val="20"/>
          <w:szCs w:val="20"/>
        </w:rPr>
      </w:pPr>
    </w:p>
    <w:p w14:paraId="7F076925" w14:textId="0DD28A5E" w:rsidR="00535703" w:rsidRPr="00C97145" w:rsidRDefault="00535703" w:rsidP="00535703">
      <w:pPr>
        <w:pStyle w:val="Odstavekseznama"/>
        <w:numPr>
          <w:ilvl w:val="1"/>
          <w:numId w:val="4"/>
        </w:numPr>
        <w:jc w:val="both"/>
        <w:rPr>
          <w:rFonts w:ascii="Arial" w:hAnsi="Arial" w:cs="Arial"/>
          <w:sz w:val="20"/>
          <w:szCs w:val="20"/>
        </w:rPr>
      </w:pPr>
      <w:r w:rsidRPr="00C97145">
        <w:rPr>
          <w:rFonts w:ascii="Arial" w:hAnsi="Arial" w:cs="Arial"/>
          <w:sz w:val="20"/>
          <w:szCs w:val="20"/>
        </w:rPr>
        <w:t>P</w:t>
      </w:r>
      <w:r w:rsidR="000242EF" w:rsidRPr="00C97145">
        <w:rPr>
          <w:rFonts w:ascii="Arial" w:hAnsi="Arial" w:cs="Arial"/>
          <w:sz w:val="20"/>
          <w:szCs w:val="20"/>
        </w:rPr>
        <w:t>osamezni inštituti, ki predstavljajo temeljne atribute enotnega plačnega sistema</w:t>
      </w:r>
      <w:r w:rsidRPr="00C97145">
        <w:rPr>
          <w:rFonts w:ascii="Arial" w:hAnsi="Arial" w:cs="Arial"/>
          <w:sz w:val="20"/>
          <w:szCs w:val="20"/>
        </w:rPr>
        <w:t>,</w:t>
      </w:r>
      <w:r w:rsidR="000242EF" w:rsidRPr="00C97145">
        <w:rPr>
          <w:rFonts w:ascii="Arial" w:hAnsi="Arial" w:cs="Arial"/>
          <w:sz w:val="20"/>
          <w:szCs w:val="20"/>
        </w:rPr>
        <w:t xml:space="preserve"> se v praksi ne upoštevajo, kar povzroča odmik od koncepta enotnega plačnega sistema oziroma njegov razpad (npr. neupoštevanje orientacijskih delovnih mest in njihovih uvrstitev v plačne razrede, kar je omogočilo sklepanje parcialnih dogovorov in višanje uvrstitev delovnih mest in nazivov v plačne razrede zgolj za določene poklicne skupine, s čimer</w:t>
      </w:r>
      <w:r w:rsidR="00831D60" w:rsidRPr="00C97145">
        <w:rPr>
          <w:rFonts w:ascii="Arial" w:hAnsi="Arial" w:cs="Arial"/>
          <w:sz w:val="20"/>
          <w:szCs w:val="20"/>
        </w:rPr>
        <w:t xml:space="preserve"> </w:t>
      </w:r>
      <w:r w:rsidR="000242EF" w:rsidRPr="00C97145">
        <w:rPr>
          <w:rFonts w:ascii="Arial" w:hAnsi="Arial" w:cs="Arial"/>
          <w:sz w:val="20"/>
          <w:szCs w:val="20"/>
        </w:rPr>
        <w:t xml:space="preserve">se rušijo razmerja v osnovnih plačah med sicer primerljivimi delovnimi mesti glede na zahtevnost opravljanja nalog) (uvodno poglavje komentarja ZSPJS); </w:t>
      </w:r>
    </w:p>
    <w:p w14:paraId="5A599D9C" w14:textId="77777777" w:rsidR="00535703" w:rsidRPr="00C97145" w:rsidRDefault="00535703" w:rsidP="00535703">
      <w:pPr>
        <w:pStyle w:val="Odstavekseznama"/>
        <w:rPr>
          <w:rFonts w:ascii="Arial" w:hAnsi="Arial" w:cs="Arial"/>
          <w:sz w:val="20"/>
          <w:szCs w:val="20"/>
        </w:rPr>
      </w:pPr>
    </w:p>
    <w:p w14:paraId="1A647027" w14:textId="6112FF8E" w:rsidR="000242EF" w:rsidRPr="00C97145" w:rsidRDefault="00FA552D" w:rsidP="00081DD6">
      <w:pPr>
        <w:pStyle w:val="Odstavekseznama"/>
        <w:numPr>
          <w:ilvl w:val="1"/>
          <w:numId w:val="4"/>
        </w:numPr>
        <w:jc w:val="both"/>
        <w:rPr>
          <w:rFonts w:ascii="Arial" w:hAnsi="Arial" w:cs="Arial"/>
          <w:sz w:val="20"/>
          <w:szCs w:val="20"/>
        </w:rPr>
      </w:pPr>
      <w:r w:rsidRPr="00C97145">
        <w:rPr>
          <w:rFonts w:ascii="Arial" w:hAnsi="Arial" w:cs="Arial"/>
          <w:sz w:val="20"/>
          <w:szCs w:val="20"/>
        </w:rPr>
        <w:t xml:space="preserve">Različno dinamiko rasti plač in odmik od koncepta enotnega plačnega sistema povzročajo tudi različni obvodi tega sistema z uveljavljanjem posameznih določb, ki določajo plače v področni zakonodaji, torej izven ZSPJS in KPJS (npr. 74.a člen Zakona o organizaciji in delu v Policiji, 59. člen Zakona o službi v Slovenski vojski, ki urejata dodatno plačilo delovne uspešnosti iz naslova povečanega obsega dela oziroma posebnih obremenitev). </w:t>
      </w:r>
      <w:r w:rsidR="00535703" w:rsidRPr="00C97145">
        <w:rPr>
          <w:rFonts w:ascii="Arial" w:hAnsi="Arial" w:cs="Arial"/>
          <w:sz w:val="20"/>
          <w:szCs w:val="20"/>
        </w:rPr>
        <w:t>V</w:t>
      </w:r>
      <w:r w:rsidR="000242EF" w:rsidRPr="00C97145">
        <w:rPr>
          <w:rFonts w:ascii="Arial" w:hAnsi="Arial" w:cs="Arial"/>
          <w:sz w:val="20"/>
          <w:szCs w:val="20"/>
        </w:rPr>
        <w:t xml:space="preserve"> letu 2018 je ob sklenitvi sporazumov o razrešitvi stavkovnih zahtev z večino sindikatov javnega sektorja bilo med drugim dogovorjeno, da obveznost odprave nesorazmerij v osnovnih plačah v javnem sektorju ne obstaja več</w:t>
      </w:r>
      <w:r w:rsidR="00535703" w:rsidRPr="00C97145">
        <w:rPr>
          <w:rFonts w:ascii="Arial" w:hAnsi="Arial" w:cs="Arial"/>
          <w:sz w:val="20"/>
          <w:szCs w:val="20"/>
        </w:rPr>
        <w:t>. Z različnimi parcialnimi dogovori in vnašanjem določb o plač</w:t>
      </w:r>
      <w:r w:rsidRPr="00C97145">
        <w:rPr>
          <w:rFonts w:ascii="Arial" w:hAnsi="Arial" w:cs="Arial"/>
          <w:sz w:val="20"/>
          <w:szCs w:val="20"/>
        </w:rPr>
        <w:t>a</w:t>
      </w:r>
      <w:r w:rsidR="00535703" w:rsidRPr="00C97145">
        <w:rPr>
          <w:rFonts w:ascii="Arial" w:hAnsi="Arial" w:cs="Arial"/>
          <w:sz w:val="20"/>
          <w:szCs w:val="20"/>
        </w:rPr>
        <w:t xml:space="preserve">h v področne predpise izven ZSPJS  </w:t>
      </w:r>
      <w:r w:rsidRPr="00C97145">
        <w:rPr>
          <w:rFonts w:ascii="Arial" w:hAnsi="Arial" w:cs="Arial"/>
          <w:sz w:val="20"/>
          <w:szCs w:val="20"/>
        </w:rPr>
        <w:t>(</w:t>
      </w:r>
      <w:proofErr w:type="spellStart"/>
      <w:r w:rsidRPr="00C97145">
        <w:rPr>
          <w:rFonts w:ascii="Arial" w:hAnsi="Arial" w:cs="Arial"/>
          <w:sz w:val="20"/>
          <w:szCs w:val="20"/>
        </w:rPr>
        <w:t>t.i</w:t>
      </w:r>
      <w:proofErr w:type="spellEnd"/>
      <w:r w:rsidRPr="00C97145">
        <w:rPr>
          <w:rFonts w:ascii="Arial" w:hAnsi="Arial" w:cs="Arial"/>
          <w:sz w:val="20"/>
          <w:szCs w:val="20"/>
        </w:rPr>
        <w:t xml:space="preserve">. obvodi sistema) </w:t>
      </w:r>
      <w:r w:rsidR="000242EF" w:rsidRPr="00C97145">
        <w:rPr>
          <w:rFonts w:ascii="Arial" w:hAnsi="Arial" w:cs="Arial"/>
          <w:sz w:val="20"/>
          <w:szCs w:val="20"/>
        </w:rPr>
        <w:t>so se že vzpostavljena razmerja v vrednotenju delovnih mest ponovno porušila</w:t>
      </w:r>
      <w:r w:rsidRPr="00C97145">
        <w:rPr>
          <w:rFonts w:ascii="Arial" w:hAnsi="Arial" w:cs="Arial"/>
          <w:sz w:val="20"/>
          <w:szCs w:val="20"/>
        </w:rPr>
        <w:t xml:space="preserve"> (</w:t>
      </w:r>
      <w:r w:rsidR="000242EF" w:rsidRPr="00C97145">
        <w:rPr>
          <w:rFonts w:ascii="Arial" w:hAnsi="Arial" w:cs="Arial"/>
          <w:sz w:val="20"/>
          <w:szCs w:val="20"/>
        </w:rPr>
        <w:t>Informacija glede števila zaposlenih in plač v javnem sektorju v obdobju 2008 – 2022 (gradivo za sejo Vlade RS, 18.1.2023</w:t>
      </w:r>
      <w:r w:rsidRPr="00C97145">
        <w:rPr>
          <w:rFonts w:ascii="Arial" w:hAnsi="Arial" w:cs="Arial"/>
          <w:sz w:val="20"/>
          <w:szCs w:val="20"/>
        </w:rPr>
        <w:t>)</w:t>
      </w:r>
      <w:r w:rsidR="000242EF" w:rsidRPr="00C97145">
        <w:rPr>
          <w:rFonts w:ascii="Arial" w:hAnsi="Arial" w:cs="Arial"/>
          <w:sz w:val="20"/>
          <w:szCs w:val="20"/>
        </w:rPr>
        <w:t xml:space="preserve">;                </w:t>
      </w:r>
    </w:p>
    <w:p w14:paraId="600F2B14" w14:textId="77777777" w:rsidR="00FA552D" w:rsidRPr="00C97145" w:rsidRDefault="00FA552D" w:rsidP="00FA552D">
      <w:pPr>
        <w:pStyle w:val="Odstavekseznama"/>
        <w:rPr>
          <w:rFonts w:ascii="Arial" w:hAnsi="Arial" w:cs="Arial"/>
          <w:sz w:val="20"/>
          <w:szCs w:val="20"/>
        </w:rPr>
      </w:pPr>
    </w:p>
    <w:p w14:paraId="1A2F3B32" w14:textId="25694B19" w:rsidR="000242EF" w:rsidRPr="00C97145" w:rsidRDefault="00FA552D" w:rsidP="00FA552D">
      <w:pPr>
        <w:pStyle w:val="Odstavekseznama"/>
        <w:numPr>
          <w:ilvl w:val="1"/>
          <w:numId w:val="4"/>
        </w:numPr>
        <w:jc w:val="both"/>
        <w:rPr>
          <w:rFonts w:ascii="Arial" w:hAnsi="Arial" w:cs="Arial"/>
          <w:sz w:val="20"/>
          <w:szCs w:val="20"/>
        </w:rPr>
      </w:pPr>
      <w:r w:rsidRPr="00C97145">
        <w:rPr>
          <w:rFonts w:ascii="Arial" w:hAnsi="Arial" w:cs="Arial"/>
          <w:sz w:val="20"/>
          <w:szCs w:val="20"/>
        </w:rPr>
        <w:t>O</w:t>
      </w:r>
      <w:r w:rsidR="000242EF" w:rsidRPr="00C97145">
        <w:rPr>
          <w:rFonts w:ascii="Arial" w:hAnsi="Arial" w:cs="Arial"/>
          <w:sz w:val="20"/>
          <w:szCs w:val="20"/>
        </w:rPr>
        <w:t>cenjevanje delovne uspešnosti in napredovanje v plačne razrede, kot pomemben podsistem plačnega sistema javnega sektorja</w:t>
      </w:r>
      <w:r w:rsidRPr="00C97145">
        <w:rPr>
          <w:rFonts w:ascii="Arial" w:hAnsi="Arial" w:cs="Arial"/>
          <w:sz w:val="20"/>
          <w:szCs w:val="20"/>
        </w:rPr>
        <w:t>,</w:t>
      </w:r>
      <w:r w:rsidR="000242EF" w:rsidRPr="00C97145">
        <w:rPr>
          <w:rFonts w:ascii="Arial" w:hAnsi="Arial" w:cs="Arial"/>
          <w:sz w:val="20"/>
          <w:szCs w:val="20"/>
        </w:rPr>
        <w:t xml:space="preserve"> ne sledi namenu ocenjevanja in napredovanja; za napredovanje v višji plačni razred je praviloma potrebno doseči nadpovprečno oceno delovne uspešnosti, pri čemer je s takšno oceno v javnem sektorju ocenjena velika večina javnih uslužbencev; z najvišjo oceno delovne uspešnosti, ki pomeni, da naj bi delo bilo opravljano visoko nad pričakovanji (ocena odlično) je v povprečju ocenjenih od 70 do 80 odstotkov javnih uslužbencev; tako visok delež najvišjih ocen</w:t>
      </w:r>
      <w:r w:rsidR="000242EF" w:rsidRPr="00C97145">
        <w:rPr>
          <w:rFonts w:ascii="Arial" w:hAnsi="Arial" w:cs="Arial"/>
          <w:strike/>
          <w:sz w:val="20"/>
          <w:szCs w:val="20"/>
        </w:rPr>
        <w:t>e</w:t>
      </w:r>
      <w:r w:rsidR="000242EF" w:rsidRPr="00C97145">
        <w:rPr>
          <w:rFonts w:ascii="Arial" w:hAnsi="Arial" w:cs="Arial"/>
          <w:sz w:val="20"/>
          <w:szCs w:val="20"/>
        </w:rPr>
        <w:t xml:space="preserve"> delovne uspešnosti</w:t>
      </w:r>
      <w:r w:rsidR="00831D60" w:rsidRPr="00C97145">
        <w:rPr>
          <w:rFonts w:ascii="Arial" w:hAnsi="Arial" w:cs="Arial"/>
          <w:sz w:val="20"/>
          <w:szCs w:val="20"/>
        </w:rPr>
        <w:t>,</w:t>
      </w:r>
      <w:r w:rsidR="000242EF" w:rsidRPr="00C97145">
        <w:rPr>
          <w:rFonts w:ascii="Arial" w:hAnsi="Arial" w:cs="Arial"/>
          <w:sz w:val="20"/>
          <w:szCs w:val="20"/>
        </w:rPr>
        <w:t xml:space="preserve"> ob dejstvu, da se delovna uspešnost ocenjuje po pet-stopenjski lestvici, praktično pomeni, da se je napredovanje v plačne razrede, kljub kriterijem za ocenjevanje delovne uspešnosti, sprevrglo v avtomatizem (Analiza kariernega napredovanja javnih uslužbencev v plačne razrede iz leta 2019);</w:t>
      </w:r>
    </w:p>
    <w:p w14:paraId="4901CF1F" w14:textId="77777777" w:rsidR="00FA552D" w:rsidRPr="00C97145" w:rsidRDefault="00FA552D" w:rsidP="00FA552D">
      <w:pPr>
        <w:pStyle w:val="Odstavekseznama"/>
        <w:rPr>
          <w:rFonts w:ascii="Arial" w:hAnsi="Arial" w:cs="Arial"/>
          <w:sz w:val="20"/>
          <w:szCs w:val="20"/>
        </w:rPr>
      </w:pPr>
    </w:p>
    <w:p w14:paraId="193E5732" w14:textId="052FC9C2" w:rsidR="000242EF" w:rsidRPr="00C97145" w:rsidRDefault="00FA552D" w:rsidP="00FA552D">
      <w:pPr>
        <w:pStyle w:val="Odstavekseznama"/>
        <w:numPr>
          <w:ilvl w:val="1"/>
          <w:numId w:val="4"/>
        </w:numPr>
        <w:jc w:val="both"/>
        <w:rPr>
          <w:rFonts w:ascii="Arial" w:hAnsi="Arial" w:cs="Arial"/>
          <w:sz w:val="20"/>
          <w:szCs w:val="20"/>
        </w:rPr>
      </w:pPr>
      <w:r w:rsidRPr="00C97145">
        <w:rPr>
          <w:rFonts w:ascii="Arial" w:hAnsi="Arial" w:cs="Arial"/>
          <w:sz w:val="20"/>
          <w:szCs w:val="20"/>
        </w:rPr>
        <w:t>V</w:t>
      </w:r>
      <w:r w:rsidR="000242EF" w:rsidRPr="00C97145">
        <w:rPr>
          <w:rFonts w:ascii="Arial" w:hAnsi="Arial" w:cs="Arial"/>
          <w:sz w:val="20"/>
          <w:szCs w:val="20"/>
        </w:rPr>
        <w:t xml:space="preserve">rednost plačnih razredov plačne lestvice se več let ni usklajevala, kar ob dejstvu, da se je minimalna plača poviševala glede na rast življenjskih stroškov ter sklepanju parcialnih dogovorov o poviševanju plač zgolj v posameznih poklicnih skupinah, povzroča plačno uravnilovko (Analiza plačnega sistema javnega sektorja iz leta 2015, uvodno poglavje komentarja ZSPJS). </w:t>
      </w:r>
    </w:p>
    <w:p w14:paraId="76FD46C0" w14:textId="232D0854" w:rsidR="00343949" w:rsidRPr="00C97145" w:rsidRDefault="00343949" w:rsidP="00343949">
      <w:pPr>
        <w:pStyle w:val="alineazaodstavkom"/>
        <w:jc w:val="both"/>
        <w:rPr>
          <w:rFonts w:ascii="Arial" w:hAnsi="Arial" w:cs="Arial"/>
          <w:sz w:val="20"/>
          <w:szCs w:val="20"/>
        </w:rPr>
      </w:pPr>
      <w:r w:rsidRPr="00C97145">
        <w:rPr>
          <w:rFonts w:ascii="Arial" w:hAnsi="Arial" w:cs="Arial"/>
          <w:sz w:val="20"/>
          <w:szCs w:val="20"/>
        </w:rPr>
        <w:t>Ugotovitve analiz so aktualne še danes in skupaj z ugotovitvami v nadaljevanju predstavljajo podlago za sistemske spremembe.</w:t>
      </w:r>
    </w:p>
    <w:p w14:paraId="12FD8838" w14:textId="77777777" w:rsidR="00C30AE6" w:rsidRPr="00C97145" w:rsidRDefault="00C30AE6" w:rsidP="00C30AE6">
      <w:pPr>
        <w:pStyle w:val="Odstavekseznama"/>
        <w:spacing w:after="0" w:line="260" w:lineRule="atLeast"/>
        <w:ind w:left="1080"/>
        <w:jc w:val="both"/>
        <w:rPr>
          <w:rFonts w:ascii="Arial" w:hAnsi="Arial" w:cs="Arial"/>
          <w:b/>
          <w:bCs/>
          <w:sz w:val="20"/>
          <w:szCs w:val="20"/>
        </w:rPr>
      </w:pPr>
    </w:p>
    <w:p w14:paraId="5840C818" w14:textId="1CB48636" w:rsidR="00C30AE6" w:rsidRPr="00C97145" w:rsidRDefault="00C30AE6" w:rsidP="00C30AE6">
      <w:pPr>
        <w:pStyle w:val="Odstavekseznama"/>
        <w:spacing w:after="0" w:line="260" w:lineRule="atLeast"/>
        <w:ind w:left="1080"/>
        <w:jc w:val="both"/>
        <w:rPr>
          <w:rFonts w:ascii="Arial" w:hAnsi="Arial" w:cs="Arial"/>
          <w:b/>
          <w:bCs/>
          <w:sz w:val="20"/>
          <w:szCs w:val="20"/>
        </w:rPr>
      </w:pPr>
    </w:p>
    <w:p w14:paraId="548D94D1" w14:textId="5692EF8A" w:rsidR="00FA552D" w:rsidRPr="00C97145" w:rsidRDefault="00FA552D" w:rsidP="00C30AE6">
      <w:pPr>
        <w:pStyle w:val="Odstavekseznama"/>
        <w:spacing w:after="0" w:line="260" w:lineRule="atLeast"/>
        <w:ind w:left="1080"/>
        <w:jc w:val="both"/>
        <w:rPr>
          <w:rFonts w:ascii="Arial" w:hAnsi="Arial" w:cs="Arial"/>
          <w:b/>
          <w:bCs/>
          <w:sz w:val="20"/>
          <w:szCs w:val="20"/>
        </w:rPr>
      </w:pPr>
    </w:p>
    <w:p w14:paraId="72AEA420" w14:textId="1C5716BA" w:rsidR="00343949" w:rsidRPr="00C97145" w:rsidRDefault="00343949" w:rsidP="00E91780">
      <w:pPr>
        <w:pStyle w:val="Odstavekseznama"/>
        <w:numPr>
          <w:ilvl w:val="0"/>
          <w:numId w:val="42"/>
        </w:numPr>
        <w:spacing w:after="0" w:line="260" w:lineRule="atLeast"/>
        <w:jc w:val="both"/>
        <w:rPr>
          <w:rFonts w:ascii="Arial" w:hAnsi="Arial" w:cs="Arial"/>
          <w:b/>
          <w:bCs/>
          <w:sz w:val="20"/>
          <w:szCs w:val="20"/>
        </w:rPr>
      </w:pPr>
      <w:r w:rsidRPr="00C97145">
        <w:rPr>
          <w:rFonts w:ascii="Arial" w:hAnsi="Arial" w:cs="Arial"/>
          <w:b/>
          <w:bCs/>
          <w:sz w:val="20"/>
          <w:szCs w:val="20"/>
        </w:rPr>
        <w:t>PRIMERJAVE SLOVENIJA : EU</w:t>
      </w:r>
    </w:p>
    <w:p w14:paraId="6B45C1BB" w14:textId="6E262575" w:rsidR="00343949" w:rsidRPr="00C97145" w:rsidRDefault="00343949" w:rsidP="00343949">
      <w:pPr>
        <w:pStyle w:val="Odstavekseznama"/>
        <w:spacing w:after="0" w:line="260" w:lineRule="atLeast"/>
        <w:ind w:left="1080"/>
        <w:jc w:val="both"/>
        <w:rPr>
          <w:rFonts w:ascii="Arial" w:hAnsi="Arial" w:cs="Arial"/>
          <w:b/>
          <w:bCs/>
          <w:sz w:val="20"/>
          <w:szCs w:val="20"/>
        </w:rPr>
      </w:pPr>
    </w:p>
    <w:p w14:paraId="7C056874" w14:textId="05D8A578" w:rsidR="00343949" w:rsidRPr="00C97145" w:rsidRDefault="00343949" w:rsidP="00343949">
      <w:pPr>
        <w:jc w:val="both"/>
        <w:rPr>
          <w:rFonts w:ascii="Arial" w:hAnsi="Arial" w:cs="Arial"/>
          <w:sz w:val="20"/>
          <w:szCs w:val="20"/>
        </w:rPr>
      </w:pPr>
      <w:r w:rsidRPr="00C97145">
        <w:rPr>
          <w:rFonts w:ascii="Arial" w:hAnsi="Arial" w:cs="Arial"/>
          <w:sz w:val="20"/>
          <w:szCs w:val="20"/>
        </w:rPr>
        <w:t>Število javnih uslužbencev se v Sloveniji bliža številki 190.000, vendar Slovenija spada v skupino držav EU z najnižj</w:t>
      </w:r>
      <w:r w:rsidR="00E2366A" w:rsidRPr="00C97145">
        <w:rPr>
          <w:rFonts w:ascii="Arial" w:hAnsi="Arial" w:cs="Arial"/>
          <w:sz w:val="20"/>
          <w:szCs w:val="20"/>
        </w:rPr>
        <w:t>o zaposlenostjo v javnih storitvah.</w:t>
      </w:r>
      <w:r w:rsidRPr="00C97145">
        <w:rPr>
          <w:rFonts w:ascii="Arial" w:hAnsi="Arial" w:cs="Arial"/>
          <w:sz w:val="20"/>
          <w:szCs w:val="20"/>
        </w:rPr>
        <w:t xml:space="preserve"> Po deležu zaposlenih v  teh dejavnostih v skupnem številu zaposlenih Slovenija za povprečjem držav EU zaostaja za približno 5 o.t., za državami z najvišjimi deleži pa za več kot 10 o.t. Največja razlika do povprečja EU je</w:t>
      </w:r>
      <w:r w:rsidR="00104655" w:rsidRPr="00C97145">
        <w:rPr>
          <w:rFonts w:ascii="Arial" w:hAnsi="Arial" w:cs="Arial"/>
          <w:sz w:val="20"/>
          <w:szCs w:val="20"/>
        </w:rPr>
        <w:t xml:space="preserve"> </w:t>
      </w:r>
      <w:r w:rsidRPr="00C97145">
        <w:rPr>
          <w:rFonts w:ascii="Arial" w:hAnsi="Arial" w:cs="Arial"/>
          <w:sz w:val="20"/>
          <w:szCs w:val="20"/>
        </w:rPr>
        <w:t xml:space="preserve">prisotna v dejavnosti zdravstva, nekoliko manjša je </w:t>
      </w:r>
      <w:r w:rsidR="00831D60" w:rsidRPr="00C97145">
        <w:rPr>
          <w:rFonts w:ascii="Arial" w:hAnsi="Arial" w:cs="Arial"/>
          <w:sz w:val="20"/>
          <w:szCs w:val="20"/>
        </w:rPr>
        <w:t xml:space="preserve">v </w:t>
      </w:r>
      <w:r w:rsidRPr="00C97145">
        <w:rPr>
          <w:rFonts w:ascii="Arial" w:hAnsi="Arial" w:cs="Arial"/>
          <w:sz w:val="20"/>
          <w:szCs w:val="20"/>
        </w:rPr>
        <w:t>dejavnosti javne uprave, višji od povprečja EU pa je delež v dejavnosti izobraževanja. Pri tem je sicer treba upoštevati, da spodnji podatki prikazujejo zaposlenost v dejavnosti javnih storitev (O,P,Q), ki se ne izvajajo vedno v celoti v sektorju država (del izobraževanja in zdravstva ne spada nujno pod sektor država).</w:t>
      </w:r>
    </w:p>
    <w:p w14:paraId="140AC3C7" w14:textId="77777777" w:rsidR="00343949" w:rsidRPr="00C97145" w:rsidRDefault="00343949" w:rsidP="00343949">
      <w:pPr>
        <w:jc w:val="both"/>
        <w:rPr>
          <w:rFonts w:ascii="Arial" w:hAnsi="Arial" w:cs="Arial"/>
          <w:b/>
          <w:bCs/>
          <w:sz w:val="20"/>
          <w:szCs w:val="20"/>
        </w:rPr>
      </w:pPr>
    </w:p>
    <w:p w14:paraId="678FAC39" w14:textId="25973660" w:rsidR="00D12436" w:rsidRPr="00C97145" w:rsidRDefault="00D12436" w:rsidP="00D12436">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t xml:space="preserve">Graf </w:t>
      </w:r>
      <w:r w:rsidR="001B6FC9">
        <w:rPr>
          <w:rFonts w:ascii="Arial" w:hAnsi="Arial" w:cs="Arial"/>
          <w:b/>
          <w:bCs/>
          <w:i w:val="0"/>
          <w:iCs w:val="0"/>
          <w:color w:val="auto"/>
          <w:sz w:val="20"/>
          <w:szCs w:val="20"/>
        </w:rPr>
        <w:fldChar w:fldCharType="begin"/>
      </w:r>
      <w:r w:rsidR="001B6FC9">
        <w:rPr>
          <w:rFonts w:ascii="Arial" w:hAnsi="Arial" w:cs="Arial"/>
          <w:b/>
          <w:bCs/>
          <w:i w:val="0"/>
          <w:iCs w:val="0"/>
          <w:color w:val="auto"/>
          <w:sz w:val="20"/>
          <w:szCs w:val="20"/>
        </w:rPr>
        <w:instrText xml:space="preserve"> SEQ Graf \* ARABIC </w:instrText>
      </w:r>
      <w:r w:rsidR="001B6FC9">
        <w:rPr>
          <w:rFonts w:ascii="Arial" w:hAnsi="Arial" w:cs="Arial"/>
          <w:b/>
          <w:bCs/>
          <w:i w:val="0"/>
          <w:iCs w:val="0"/>
          <w:color w:val="auto"/>
          <w:sz w:val="20"/>
          <w:szCs w:val="20"/>
        </w:rPr>
        <w:fldChar w:fldCharType="separate"/>
      </w:r>
      <w:r w:rsidR="001B6FC9">
        <w:rPr>
          <w:rFonts w:ascii="Arial" w:hAnsi="Arial" w:cs="Arial"/>
          <w:b/>
          <w:bCs/>
          <w:i w:val="0"/>
          <w:iCs w:val="0"/>
          <w:noProof/>
          <w:color w:val="auto"/>
          <w:sz w:val="20"/>
          <w:szCs w:val="20"/>
        </w:rPr>
        <w:t>1</w:t>
      </w:r>
      <w:r w:rsidR="001B6FC9">
        <w:rPr>
          <w:rFonts w:ascii="Arial" w:hAnsi="Arial" w:cs="Arial"/>
          <w:b/>
          <w:bCs/>
          <w:i w:val="0"/>
          <w:iCs w:val="0"/>
          <w:color w:val="auto"/>
          <w:sz w:val="20"/>
          <w:szCs w:val="20"/>
        </w:rPr>
        <w:fldChar w:fldCharType="end"/>
      </w:r>
      <w:r w:rsidRPr="00C97145">
        <w:rPr>
          <w:rFonts w:ascii="Arial" w:hAnsi="Arial" w:cs="Arial"/>
          <w:b/>
          <w:bCs/>
          <w:i w:val="0"/>
          <w:iCs w:val="0"/>
          <w:color w:val="auto"/>
          <w:sz w:val="20"/>
          <w:szCs w:val="20"/>
        </w:rPr>
        <w:t xml:space="preserve">:  Delež zaposlenosti v dejavnostih javnih storitev (OPQ) v celotni zaposlenosti, 2021, v </w:t>
      </w:r>
      <w:r w:rsidR="00B560C2" w:rsidRPr="00C97145">
        <w:rPr>
          <w:rFonts w:ascii="Arial" w:hAnsi="Arial" w:cs="Arial"/>
          <w:b/>
          <w:bCs/>
          <w:i w:val="0"/>
          <w:iCs w:val="0"/>
          <w:color w:val="auto"/>
          <w:sz w:val="20"/>
          <w:szCs w:val="20"/>
        </w:rPr>
        <w:t>odstotkih</w:t>
      </w:r>
    </w:p>
    <w:p w14:paraId="026722FD" w14:textId="77777777" w:rsidR="00D12436" w:rsidRPr="00C97145" w:rsidRDefault="00343949" w:rsidP="00D12436">
      <w:pPr>
        <w:keepNext/>
        <w:jc w:val="both"/>
        <w:rPr>
          <w:rFonts w:ascii="Arial" w:hAnsi="Arial" w:cs="Arial"/>
          <w:sz w:val="20"/>
          <w:szCs w:val="20"/>
        </w:rPr>
      </w:pPr>
      <w:r w:rsidRPr="00C97145">
        <w:rPr>
          <w:rFonts w:ascii="Arial" w:hAnsi="Arial" w:cs="Arial"/>
          <w:noProof/>
          <w:sz w:val="20"/>
          <w:szCs w:val="20"/>
        </w:rPr>
        <w:drawing>
          <wp:inline distT="0" distB="0" distL="0" distR="0" wp14:anchorId="45E00C14" wp14:editId="5B590276">
            <wp:extent cx="5638800" cy="2105025"/>
            <wp:effectExtent l="0" t="0" r="0" b="0"/>
            <wp:docPr id="14" name="Grafikon 14" descr="Delež zaposlenosti v dejavnostih javnih storitev (OPQ) v celotni zaposlenosti, 2021, v odstotkih">
              <a:extLst xmlns:a="http://schemas.openxmlformats.org/drawingml/2006/main">
                <a:ext uri="{FF2B5EF4-FFF2-40B4-BE49-F238E27FC236}">
                  <a16:creationId xmlns:a16="http://schemas.microsoft.com/office/drawing/2014/main" id="{24B9A7E5-FACB-4B6C-840B-A922FFBA20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C9F30B" w14:textId="77777777" w:rsidR="00343949" w:rsidRPr="00C97145" w:rsidRDefault="00343949" w:rsidP="00343949">
      <w:pPr>
        <w:jc w:val="both"/>
        <w:rPr>
          <w:rFonts w:ascii="Arial" w:hAnsi="Arial" w:cs="Arial"/>
          <w:sz w:val="20"/>
          <w:szCs w:val="20"/>
        </w:rPr>
      </w:pPr>
      <w:r w:rsidRPr="00C97145">
        <w:rPr>
          <w:rFonts w:ascii="Arial" w:hAnsi="Arial" w:cs="Arial"/>
          <w:sz w:val="20"/>
          <w:szCs w:val="20"/>
        </w:rPr>
        <w:t>Vir: Eurostat, preračuni UMAR</w:t>
      </w:r>
    </w:p>
    <w:p w14:paraId="36F572C3" w14:textId="350DCE6D" w:rsidR="00D12436" w:rsidRPr="00C97145" w:rsidRDefault="00D12436" w:rsidP="00D12436">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t xml:space="preserve">Graf </w:t>
      </w:r>
      <w:r w:rsidR="001B6FC9">
        <w:rPr>
          <w:rFonts w:ascii="Arial" w:hAnsi="Arial" w:cs="Arial"/>
          <w:b/>
          <w:bCs/>
          <w:i w:val="0"/>
          <w:iCs w:val="0"/>
          <w:color w:val="auto"/>
          <w:sz w:val="20"/>
          <w:szCs w:val="20"/>
        </w:rPr>
        <w:fldChar w:fldCharType="begin"/>
      </w:r>
      <w:r w:rsidR="001B6FC9">
        <w:rPr>
          <w:rFonts w:ascii="Arial" w:hAnsi="Arial" w:cs="Arial"/>
          <w:b/>
          <w:bCs/>
          <w:i w:val="0"/>
          <w:iCs w:val="0"/>
          <w:color w:val="auto"/>
          <w:sz w:val="20"/>
          <w:szCs w:val="20"/>
        </w:rPr>
        <w:instrText xml:space="preserve"> SEQ Graf \* ARABIC </w:instrText>
      </w:r>
      <w:r w:rsidR="001B6FC9">
        <w:rPr>
          <w:rFonts w:ascii="Arial" w:hAnsi="Arial" w:cs="Arial"/>
          <w:b/>
          <w:bCs/>
          <w:i w:val="0"/>
          <w:iCs w:val="0"/>
          <w:color w:val="auto"/>
          <w:sz w:val="20"/>
          <w:szCs w:val="20"/>
        </w:rPr>
        <w:fldChar w:fldCharType="separate"/>
      </w:r>
      <w:r w:rsidR="001B6FC9">
        <w:rPr>
          <w:rFonts w:ascii="Arial" w:hAnsi="Arial" w:cs="Arial"/>
          <w:b/>
          <w:bCs/>
          <w:i w:val="0"/>
          <w:iCs w:val="0"/>
          <w:noProof/>
          <w:color w:val="auto"/>
          <w:sz w:val="20"/>
          <w:szCs w:val="20"/>
        </w:rPr>
        <w:t>2</w:t>
      </w:r>
      <w:r w:rsidR="001B6FC9">
        <w:rPr>
          <w:rFonts w:ascii="Arial" w:hAnsi="Arial" w:cs="Arial"/>
          <w:b/>
          <w:bCs/>
          <w:i w:val="0"/>
          <w:iCs w:val="0"/>
          <w:color w:val="auto"/>
          <w:sz w:val="20"/>
          <w:szCs w:val="20"/>
        </w:rPr>
        <w:fldChar w:fldCharType="end"/>
      </w:r>
      <w:r w:rsidRPr="00C97145">
        <w:rPr>
          <w:rFonts w:ascii="Arial" w:hAnsi="Arial" w:cs="Arial"/>
          <w:b/>
          <w:bCs/>
          <w:i w:val="0"/>
          <w:iCs w:val="0"/>
          <w:color w:val="auto"/>
          <w:sz w:val="20"/>
          <w:szCs w:val="20"/>
        </w:rPr>
        <w:t xml:space="preserve">: Delež zaposlenosti v dejavnosti javne uprave in obvezne socialne varnosti v celotni zaposlenosti, 2021, v </w:t>
      </w:r>
      <w:r w:rsidR="00B560C2" w:rsidRPr="00C97145">
        <w:rPr>
          <w:rFonts w:ascii="Arial" w:hAnsi="Arial" w:cs="Arial"/>
          <w:b/>
          <w:bCs/>
          <w:i w:val="0"/>
          <w:iCs w:val="0"/>
          <w:color w:val="auto"/>
          <w:sz w:val="20"/>
          <w:szCs w:val="20"/>
        </w:rPr>
        <w:t>odstotkih</w:t>
      </w:r>
    </w:p>
    <w:p w14:paraId="56EBC0CD" w14:textId="77777777" w:rsidR="00343949" w:rsidRPr="00C97145" w:rsidRDefault="00343949" w:rsidP="00343949">
      <w:pPr>
        <w:jc w:val="both"/>
        <w:rPr>
          <w:rFonts w:ascii="Arial" w:hAnsi="Arial" w:cs="Arial"/>
          <w:sz w:val="20"/>
          <w:szCs w:val="20"/>
        </w:rPr>
      </w:pPr>
      <w:r w:rsidRPr="00C97145">
        <w:rPr>
          <w:rFonts w:ascii="Arial" w:hAnsi="Arial" w:cs="Arial"/>
          <w:noProof/>
          <w:sz w:val="20"/>
          <w:szCs w:val="20"/>
        </w:rPr>
        <w:drawing>
          <wp:inline distT="0" distB="0" distL="0" distR="0" wp14:anchorId="01B1B6CC" wp14:editId="1C25F56F">
            <wp:extent cx="5810250" cy="2133600"/>
            <wp:effectExtent l="0" t="0" r="0" b="0"/>
            <wp:docPr id="15" name="Grafikon 15" descr="Delež zaposlenosti v dejavnosti javne uprave in obvezne socialne varnosti v celotni zaposlenosti, 2021, v odstotkih">
              <a:extLst xmlns:a="http://schemas.openxmlformats.org/drawingml/2006/main">
                <a:ext uri="{FF2B5EF4-FFF2-40B4-BE49-F238E27FC236}">
                  <a16:creationId xmlns:a16="http://schemas.microsoft.com/office/drawing/2014/main" id="{DD4EF2A0-F502-4588-8AFB-10124013DA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506FE9" w14:textId="77777777" w:rsidR="00343949" w:rsidRPr="00C97145" w:rsidRDefault="00343949" w:rsidP="00343949">
      <w:pPr>
        <w:jc w:val="both"/>
        <w:rPr>
          <w:rFonts w:ascii="Arial" w:hAnsi="Arial" w:cs="Arial"/>
          <w:sz w:val="20"/>
          <w:szCs w:val="20"/>
        </w:rPr>
      </w:pPr>
      <w:r w:rsidRPr="00C97145">
        <w:rPr>
          <w:rFonts w:ascii="Arial" w:hAnsi="Arial" w:cs="Arial"/>
          <w:sz w:val="20"/>
          <w:szCs w:val="20"/>
        </w:rPr>
        <w:t>Vir: Eurostat, preračuni UMAR</w:t>
      </w:r>
    </w:p>
    <w:p w14:paraId="3E7A36AB" w14:textId="6DB5055C" w:rsidR="00D12436" w:rsidRPr="00C97145" w:rsidRDefault="00D12436" w:rsidP="00D12436">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lastRenderedPageBreak/>
        <w:t xml:space="preserve">Graf </w:t>
      </w:r>
      <w:r w:rsidR="001B6FC9">
        <w:rPr>
          <w:rFonts w:ascii="Arial" w:hAnsi="Arial" w:cs="Arial"/>
          <w:b/>
          <w:bCs/>
          <w:i w:val="0"/>
          <w:iCs w:val="0"/>
          <w:color w:val="auto"/>
          <w:sz w:val="20"/>
          <w:szCs w:val="20"/>
        </w:rPr>
        <w:fldChar w:fldCharType="begin"/>
      </w:r>
      <w:r w:rsidR="001B6FC9">
        <w:rPr>
          <w:rFonts w:ascii="Arial" w:hAnsi="Arial" w:cs="Arial"/>
          <w:b/>
          <w:bCs/>
          <w:i w:val="0"/>
          <w:iCs w:val="0"/>
          <w:color w:val="auto"/>
          <w:sz w:val="20"/>
          <w:szCs w:val="20"/>
        </w:rPr>
        <w:instrText xml:space="preserve"> SEQ Graf \* ARABIC </w:instrText>
      </w:r>
      <w:r w:rsidR="001B6FC9">
        <w:rPr>
          <w:rFonts w:ascii="Arial" w:hAnsi="Arial" w:cs="Arial"/>
          <w:b/>
          <w:bCs/>
          <w:i w:val="0"/>
          <w:iCs w:val="0"/>
          <w:color w:val="auto"/>
          <w:sz w:val="20"/>
          <w:szCs w:val="20"/>
        </w:rPr>
        <w:fldChar w:fldCharType="separate"/>
      </w:r>
      <w:r w:rsidR="001B6FC9">
        <w:rPr>
          <w:rFonts w:ascii="Arial" w:hAnsi="Arial" w:cs="Arial"/>
          <w:b/>
          <w:bCs/>
          <w:i w:val="0"/>
          <w:iCs w:val="0"/>
          <w:noProof/>
          <w:color w:val="auto"/>
          <w:sz w:val="20"/>
          <w:szCs w:val="20"/>
        </w:rPr>
        <w:t>3</w:t>
      </w:r>
      <w:r w:rsidR="001B6FC9">
        <w:rPr>
          <w:rFonts w:ascii="Arial" w:hAnsi="Arial" w:cs="Arial"/>
          <w:b/>
          <w:bCs/>
          <w:i w:val="0"/>
          <w:iCs w:val="0"/>
          <w:color w:val="auto"/>
          <w:sz w:val="20"/>
          <w:szCs w:val="20"/>
        </w:rPr>
        <w:fldChar w:fldCharType="end"/>
      </w:r>
      <w:r w:rsidRPr="00C97145">
        <w:rPr>
          <w:rFonts w:ascii="Arial" w:hAnsi="Arial" w:cs="Arial"/>
          <w:b/>
          <w:bCs/>
          <w:i w:val="0"/>
          <w:iCs w:val="0"/>
          <w:color w:val="auto"/>
          <w:sz w:val="20"/>
          <w:szCs w:val="20"/>
        </w:rPr>
        <w:t xml:space="preserve">: Delež zaposlenosti v dejavnosti izobraževanja v celotni zaposlenosti, 2021, v </w:t>
      </w:r>
      <w:r w:rsidR="00B560C2" w:rsidRPr="00C97145">
        <w:rPr>
          <w:rFonts w:ascii="Arial" w:hAnsi="Arial" w:cs="Arial"/>
          <w:b/>
          <w:bCs/>
          <w:i w:val="0"/>
          <w:iCs w:val="0"/>
          <w:color w:val="auto"/>
          <w:sz w:val="20"/>
          <w:szCs w:val="20"/>
        </w:rPr>
        <w:t>odstotkih</w:t>
      </w:r>
    </w:p>
    <w:p w14:paraId="56FFA07F" w14:textId="77777777" w:rsidR="00343949" w:rsidRPr="00C97145" w:rsidRDefault="00343949" w:rsidP="00343949">
      <w:pPr>
        <w:jc w:val="both"/>
        <w:rPr>
          <w:rFonts w:ascii="Arial" w:hAnsi="Arial" w:cs="Arial"/>
          <w:sz w:val="20"/>
          <w:szCs w:val="20"/>
        </w:rPr>
      </w:pPr>
      <w:r w:rsidRPr="00C97145">
        <w:rPr>
          <w:rFonts w:ascii="Arial" w:hAnsi="Arial" w:cs="Arial"/>
          <w:noProof/>
          <w:sz w:val="20"/>
          <w:szCs w:val="20"/>
        </w:rPr>
        <w:drawing>
          <wp:inline distT="0" distB="0" distL="0" distR="0" wp14:anchorId="390D7703" wp14:editId="01DEB57F">
            <wp:extent cx="5724525" cy="2057400"/>
            <wp:effectExtent l="0" t="0" r="0" b="0"/>
            <wp:docPr id="16" name="Grafikon 16" descr="Delež zaposlenosti v dejavnosti izobraževanja v celotni zaposlenosti, 2021, v odstotkih">
              <a:extLst xmlns:a="http://schemas.openxmlformats.org/drawingml/2006/main">
                <a:ext uri="{FF2B5EF4-FFF2-40B4-BE49-F238E27FC236}">
                  <a16:creationId xmlns:a16="http://schemas.microsoft.com/office/drawing/2014/main" id="{6C77ABC8-39EC-4549-8E89-8B682AC4E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BD1742" w14:textId="77777777" w:rsidR="00343949" w:rsidRPr="00C97145" w:rsidRDefault="00343949" w:rsidP="00343949">
      <w:pPr>
        <w:jc w:val="both"/>
        <w:rPr>
          <w:rFonts w:ascii="Arial" w:hAnsi="Arial" w:cs="Arial"/>
          <w:sz w:val="20"/>
          <w:szCs w:val="20"/>
        </w:rPr>
      </w:pPr>
      <w:r w:rsidRPr="00C97145">
        <w:rPr>
          <w:rFonts w:ascii="Arial" w:hAnsi="Arial" w:cs="Arial"/>
          <w:sz w:val="20"/>
          <w:szCs w:val="20"/>
        </w:rPr>
        <w:t>Vir: Eurostat, preračuni UMAR</w:t>
      </w:r>
    </w:p>
    <w:p w14:paraId="1C3217C5" w14:textId="77777777" w:rsidR="00343949" w:rsidRPr="00C97145" w:rsidRDefault="00343949" w:rsidP="00343949">
      <w:pPr>
        <w:jc w:val="both"/>
        <w:rPr>
          <w:rFonts w:ascii="Arial" w:hAnsi="Arial" w:cs="Arial"/>
          <w:sz w:val="20"/>
          <w:szCs w:val="20"/>
        </w:rPr>
      </w:pPr>
    </w:p>
    <w:p w14:paraId="18F7205D" w14:textId="549B8B7D" w:rsidR="00D12436" w:rsidRPr="00C97145" w:rsidRDefault="00D12436" w:rsidP="00D12436">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t xml:space="preserve">Graf </w:t>
      </w:r>
      <w:r w:rsidR="001B6FC9">
        <w:rPr>
          <w:rFonts w:ascii="Arial" w:hAnsi="Arial" w:cs="Arial"/>
          <w:b/>
          <w:bCs/>
          <w:i w:val="0"/>
          <w:iCs w:val="0"/>
          <w:color w:val="auto"/>
          <w:sz w:val="20"/>
          <w:szCs w:val="20"/>
        </w:rPr>
        <w:fldChar w:fldCharType="begin"/>
      </w:r>
      <w:r w:rsidR="001B6FC9">
        <w:rPr>
          <w:rFonts w:ascii="Arial" w:hAnsi="Arial" w:cs="Arial"/>
          <w:b/>
          <w:bCs/>
          <w:i w:val="0"/>
          <w:iCs w:val="0"/>
          <w:color w:val="auto"/>
          <w:sz w:val="20"/>
          <w:szCs w:val="20"/>
        </w:rPr>
        <w:instrText xml:space="preserve"> SEQ Graf \* ARABIC </w:instrText>
      </w:r>
      <w:r w:rsidR="001B6FC9">
        <w:rPr>
          <w:rFonts w:ascii="Arial" w:hAnsi="Arial" w:cs="Arial"/>
          <w:b/>
          <w:bCs/>
          <w:i w:val="0"/>
          <w:iCs w:val="0"/>
          <w:color w:val="auto"/>
          <w:sz w:val="20"/>
          <w:szCs w:val="20"/>
        </w:rPr>
        <w:fldChar w:fldCharType="separate"/>
      </w:r>
      <w:r w:rsidR="001B6FC9">
        <w:rPr>
          <w:rFonts w:ascii="Arial" w:hAnsi="Arial" w:cs="Arial"/>
          <w:b/>
          <w:bCs/>
          <w:i w:val="0"/>
          <w:iCs w:val="0"/>
          <w:noProof/>
          <w:color w:val="auto"/>
          <w:sz w:val="20"/>
          <w:szCs w:val="20"/>
        </w:rPr>
        <w:t>4</w:t>
      </w:r>
      <w:r w:rsidR="001B6FC9">
        <w:rPr>
          <w:rFonts w:ascii="Arial" w:hAnsi="Arial" w:cs="Arial"/>
          <w:b/>
          <w:bCs/>
          <w:i w:val="0"/>
          <w:iCs w:val="0"/>
          <w:color w:val="auto"/>
          <w:sz w:val="20"/>
          <w:szCs w:val="20"/>
        </w:rPr>
        <w:fldChar w:fldCharType="end"/>
      </w:r>
      <w:r w:rsidRPr="00C97145">
        <w:rPr>
          <w:rFonts w:ascii="Arial" w:hAnsi="Arial" w:cs="Arial"/>
          <w:b/>
          <w:bCs/>
          <w:i w:val="0"/>
          <w:iCs w:val="0"/>
          <w:color w:val="auto"/>
          <w:sz w:val="20"/>
          <w:szCs w:val="20"/>
        </w:rPr>
        <w:t xml:space="preserve">: : Delež zaposlenosti v dejavnosti zdravstva v celotni zaposlenosti, 2021, v </w:t>
      </w:r>
      <w:r w:rsidR="00B560C2" w:rsidRPr="00C97145">
        <w:rPr>
          <w:rFonts w:ascii="Arial" w:hAnsi="Arial" w:cs="Arial"/>
          <w:b/>
          <w:bCs/>
          <w:i w:val="0"/>
          <w:iCs w:val="0"/>
          <w:color w:val="auto"/>
          <w:sz w:val="20"/>
          <w:szCs w:val="20"/>
        </w:rPr>
        <w:t>odstotkih</w:t>
      </w:r>
    </w:p>
    <w:p w14:paraId="06918B82" w14:textId="77777777" w:rsidR="00343949" w:rsidRPr="00C97145" w:rsidRDefault="00343949" w:rsidP="00343949">
      <w:pPr>
        <w:jc w:val="both"/>
        <w:rPr>
          <w:rFonts w:ascii="Arial" w:hAnsi="Arial" w:cs="Arial"/>
          <w:sz w:val="20"/>
          <w:szCs w:val="20"/>
        </w:rPr>
      </w:pPr>
      <w:r w:rsidRPr="00C97145">
        <w:rPr>
          <w:rFonts w:ascii="Arial" w:hAnsi="Arial" w:cs="Arial"/>
          <w:noProof/>
          <w:sz w:val="20"/>
          <w:szCs w:val="20"/>
        </w:rPr>
        <w:drawing>
          <wp:inline distT="0" distB="0" distL="0" distR="0" wp14:anchorId="6ACC48E2" wp14:editId="3998A75A">
            <wp:extent cx="5772150" cy="2000250"/>
            <wp:effectExtent l="0" t="0" r="0" b="0"/>
            <wp:docPr id="17" name="Grafikon 17" descr="Delež zaposlenosti v dejavnosti zdravstva v celotni zaposlenosti, 2021, v odstotkih">
              <a:extLst xmlns:a="http://schemas.openxmlformats.org/drawingml/2006/main">
                <a:ext uri="{FF2B5EF4-FFF2-40B4-BE49-F238E27FC236}">
                  <a16:creationId xmlns:a16="http://schemas.microsoft.com/office/drawing/2014/main" id="{86802E92-032D-4961-8048-DD0F10BA68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A19CD9" w14:textId="77777777" w:rsidR="00343949" w:rsidRPr="00C97145" w:rsidRDefault="00343949" w:rsidP="00343949">
      <w:pPr>
        <w:jc w:val="both"/>
        <w:rPr>
          <w:rFonts w:ascii="Arial" w:hAnsi="Arial" w:cs="Arial"/>
          <w:sz w:val="20"/>
          <w:szCs w:val="20"/>
        </w:rPr>
      </w:pPr>
      <w:r w:rsidRPr="00C97145">
        <w:rPr>
          <w:rFonts w:ascii="Arial" w:hAnsi="Arial" w:cs="Arial"/>
          <w:sz w:val="20"/>
          <w:szCs w:val="20"/>
        </w:rPr>
        <w:t>Vir: Eurostat, preračuni UMAR</w:t>
      </w:r>
    </w:p>
    <w:p w14:paraId="0B0AE12A" w14:textId="77777777" w:rsidR="00343949" w:rsidRPr="00C97145" w:rsidRDefault="00343949" w:rsidP="00343949">
      <w:pPr>
        <w:rPr>
          <w:rFonts w:ascii="Arial" w:hAnsi="Arial" w:cs="Arial"/>
          <w:sz w:val="20"/>
          <w:szCs w:val="20"/>
        </w:rPr>
      </w:pPr>
      <w:r w:rsidRPr="00C97145">
        <w:rPr>
          <w:rFonts w:ascii="Arial" w:hAnsi="Arial" w:cs="Arial"/>
          <w:sz w:val="20"/>
          <w:szCs w:val="20"/>
        </w:rPr>
        <w:t>Tudi če primerjamo, kakšen je delež zaposlenosti v sektorju država (javni sektor), je Slovenija še vedno pod povprečjem evropskih držav.</w:t>
      </w:r>
    </w:p>
    <w:p w14:paraId="3D17FFE5" w14:textId="6E4317FE" w:rsidR="00D12436" w:rsidRPr="00C97145" w:rsidRDefault="00D12436" w:rsidP="00D12436">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t xml:space="preserve">Graf </w:t>
      </w:r>
      <w:r w:rsidR="001B6FC9">
        <w:rPr>
          <w:rFonts w:ascii="Arial" w:hAnsi="Arial" w:cs="Arial"/>
          <w:b/>
          <w:bCs/>
          <w:i w:val="0"/>
          <w:iCs w:val="0"/>
          <w:color w:val="auto"/>
          <w:sz w:val="20"/>
          <w:szCs w:val="20"/>
        </w:rPr>
        <w:fldChar w:fldCharType="begin"/>
      </w:r>
      <w:r w:rsidR="001B6FC9">
        <w:rPr>
          <w:rFonts w:ascii="Arial" w:hAnsi="Arial" w:cs="Arial"/>
          <w:b/>
          <w:bCs/>
          <w:i w:val="0"/>
          <w:iCs w:val="0"/>
          <w:color w:val="auto"/>
          <w:sz w:val="20"/>
          <w:szCs w:val="20"/>
        </w:rPr>
        <w:instrText xml:space="preserve"> SEQ Graf \* ARABIC </w:instrText>
      </w:r>
      <w:r w:rsidR="001B6FC9">
        <w:rPr>
          <w:rFonts w:ascii="Arial" w:hAnsi="Arial" w:cs="Arial"/>
          <w:b/>
          <w:bCs/>
          <w:i w:val="0"/>
          <w:iCs w:val="0"/>
          <w:color w:val="auto"/>
          <w:sz w:val="20"/>
          <w:szCs w:val="20"/>
        </w:rPr>
        <w:fldChar w:fldCharType="separate"/>
      </w:r>
      <w:r w:rsidR="001B6FC9">
        <w:rPr>
          <w:rFonts w:ascii="Arial" w:hAnsi="Arial" w:cs="Arial"/>
          <w:b/>
          <w:bCs/>
          <w:i w:val="0"/>
          <w:iCs w:val="0"/>
          <w:noProof/>
          <w:color w:val="auto"/>
          <w:sz w:val="20"/>
          <w:szCs w:val="20"/>
        </w:rPr>
        <w:t>5</w:t>
      </w:r>
      <w:r w:rsidR="001B6FC9">
        <w:rPr>
          <w:rFonts w:ascii="Arial" w:hAnsi="Arial" w:cs="Arial"/>
          <w:b/>
          <w:bCs/>
          <w:i w:val="0"/>
          <w:iCs w:val="0"/>
          <w:color w:val="auto"/>
          <w:sz w:val="20"/>
          <w:szCs w:val="20"/>
        </w:rPr>
        <w:fldChar w:fldCharType="end"/>
      </w:r>
      <w:r w:rsidRPr="00C97145">
        <w:rPr>
          <w:rFonts w:ascii="Arial" w:hAnsi="Arial" w:cs="Arial"/>
          <w:b/>
          <w:bCs/>
          <w:i w:val="0"/>
          <w:iCs w:val="0"/>
          <w:color w:val="auto"/>
          <w:sz w:val="20"/>
          <w:szCs w:val="20"/>
        </w:rPr>
        <w:t xml:space="preserve">: Delež zaposlenosti v sektorju država v celotni zaposlenosti, izbrane države 2020, v </w:t>
      </w:r>
      <w:r w:rsidR="00B560C2" w:rsidRPr="00C97145">
        <w:rPr>
          <w:rFonts w:ascii="Arial" w:hAnsi="Arial" w:cs="Arial"/>
          <w:b/>
          <w:bCs/>
          <w:i w:val="0"/>
          <w:iCs w:val="0"/>
          <w:color w:val="auto"/>
          <w:sz w:val="20"/>
          <w:szCs w:val="20"/>
        </w:rPr>
        <w:t>odstotkih</w:t>
      </w:r>
    </w:p>
    <w:p w14:paraId="665940A0" w14:textId="77777777" w:rsidR="00343949" w:rsidRPr="00C97145" w:rsidRDefault="00343949" w:rsidP="00343949">
      <w:pPr>
        <w:rPr>
          <w:rFonts w:ascii="Arial" w:hAnsi="Arial" w:cs="Arial"/>
          <w:sz w:val="20"/>
          <w:szCs w:val="20"/>
        </w:rPr>
      </w:pPr>
      <w:r w:rsidRPr="00C97145">
        <w:rPr>
          <w:rFonts w:ascii="Arial" w:hAnsi="Arial" w:cs="Arial"/>
          <w:noProof/>
          <w:sz w:val="20"/>
          <w:szCs w:val="20"/>
        </w:rPr>
        <w:drawing>
          <wp:inline distT="0" distB="0" distL="0" distR="0" wp14:anchorId="53C50E53" wp14:editId="48339114">
            <wp:extent cx="5753100" cy="2133600"/>
            <wp:effectExtent l="0" t="0" r="0" b="0"/>
            <wp:docPr id="18" name="Grafikon 18" descr="Delež zaposlenosti v sektorju država v celotni zaposlenosti, izbrane države 2020, v odstotkih">
              <a:extLst xmlns:a="http://schemas.openxmlformats.org/drawingml/2006/main">
                <a:ext uri="{FF2B5EF4-FFF2-40B4-BE49-F238E27FC236}">
                  <a16:creationId xmlns:a16="http://schemas.microsoft.com/office/drawing/2014/main" id="{7C63952D-82F9-45C5-8F8F-32EAE18598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1126B3" w14:textId="77777777" w:rsidR="00343949" w:rsidRPr="00C97145" w:rsidRDefault="00343949" w:rsidP="00343949">
      <w:pPr>
        <w:jc w:val="both"/>
        <w:rPr>
          <w:rFonts w:ascii="Arial" w:hAnsi="Arial" w:cs="Arial"/>
          <w:sz w:val="20"/>
          <w:szCs w:val="20"/>
        </w:rPr>
      </w:pPr>
      <w:r w:rsidRPr="00C97145">
        <w:rPr>
          <w:rFonts w:ascii="Arial" w:hAnsi="Arial" w:cs="Arial"/>
          <w:sz w:val="20"/>
          <w:szCs w:val="20"/>
        </w:rPr>
        <w:t>Vir: OECD, preračuni UMAR</w:t>
      </w:r>
    </w:p>
    <w:p w14:paraId="72065C11" w14:textId="77777777" w:rsidR="00343949" w:rsidRPr="00C97145" w:rsidRDefault="00343949" w:rsidP="00343949">
      <w:pPr>
        <w:rPr>
          <w:rFonts w:ascii="Arial" w:hAnsi="Arial" w:cs="Arial"/>
          <w:sz w:val="20"/>
          <w:szCs w:val="20"/>
        </w:rPr>
      </w:pPr>
    </w:p>
    <w:p w14:paraId="7906FD78" w14:textId="25DC945B" w:rsidR="00343949" w:rsidRPr="00C97145" w:rsidRDefault="00343949" w:rsidP="00E2366A">
      <w:pPr>
        <w:jc w:val="both"/>
        <w:rPr>
          <w:rFonts w:ascii="Arial" w:hAnsi="Arial" w:cs="Arial"/>
          <w:sz w:val="20"/>
          <w:szCs w:val="20"/>
        </w:rPr>
      </w:pPr>
      <w:r w:rsidRPr="00C97145">
        <w:rPr>
          <w:rFonts w:ascii="Arial" w:hAnsi="Arial" w:cs="Arial"/>
          <w:sz w:val="20"/>
          <w:szCs w:val="20"/>
        </w:rPr>
        <w:t>Po deležu sredstev za zaposlene v BDP</w:t>
      </w:r>
      <w:r w:rsidR="00340A12" w:rsidRPr="00C97145">
        <w:rPr>
          <w:rFonts w:ascii="Arial" w:hAnsi="Arial" w:cs="Arial"/>
          <w:sz w:val="20"/>
          <w:szCs w:val="20"/>
        </w:rPr>
        <w:t xml:space="preserve"> (12,7 </w:t>
      </w:r>
      <w:r w:rsidR="00B560C2" w:rsidRPr="00C97145">
        <w:rPr>
          <w:rFonts w:ascii="Arial" w:hAnsi="Arial" w:cs="Arial"/>
          <w:sz w:val="20"/>
          <w:szCs w:val="20"/>
        </w:rPr>
        <w:t>odstotkov</w:t>
      </w:r>
      <w:r w:rsidR="00340A12" w:rsidRPr="00C97145">
        <w:rPr>
          <w:rFonts w:ascii="Arial" w:hAnsi="Arial" w:cs="Arial"/>
          <w:sz w:val="20"/>
          <w:szCs w:val="20"/>
        </w:rPr>
        <w:t xml:space="preserve"> v letu 2021)</w:t>
      </w:r>
      <w:r w:rsidRPr="00C97145">
        <w:rPr>
          <w:rFonts w:ascii="Arial" w:hAnsi="Arial" w:cs="Arial"/>
          <w:sz w:val="20"/>
          <w:szCs w:val="20"/>
        </w:rPr>
        <w:t xml:space="preserve"> pa</w:t>
      </w:r>
      <w:r w:rsidR="00104655" w:rsidRPr="00C97145">
        <w:rPr>
          <w:rFonts w:ascii="Arial" w:hAnsi="Arial" w:cs="Arial"/>
          <w:sz w:val="20"/>
          <w:szCs w:val="20"/>
        </w:rPr>
        <w:t xml:space="preserve"> </w:t>
      </w:r>
      <w:r w:rsidRPr="00C97145">
        <w:rPr>
          <w:rFonts w:ascii="Arial" w:hAnsi="Arial" w:cs="Arial"/>
          <w:sz w:val="20"/>
          <w:szCs w:val="20"/>
        </w:rPr>
        <w:t>Slovenija sodi med</w:t>
      </w:r>
      <w:r w:rsidR="00104655" w:rsidRPr="00C97145">
        <w:rPr>
          <w:rFonts w:ascii="Arial" w:hAnsi="Arial" w:cs="Arial"/>
          <w:sz w:val="20"/>
          <w:szCs w:val="20"/>
        </w:rPr>
        <w:t xml:space="preserve"> </w:t>
      </w:r>
      <w:r w:rsidRPr="00C97145">
        <w:rPr>
          <w:rFonts w:ascii="Arial" w:hAnsi="Arial" w:cs="Arial"/>
          <w:sz w:val="20"/>
          <w:szCs w:val="20"/>
        </w:rPr>
        <w:t>države z nadpovprečnim deležem, na kar pa ne vpliva le višina plač, ampak tudi drugi prejemki za zaposlene (regresi, potni stroški,..),</w:t>
      </w:r>
      <w:r w:rsidR="005D0E47" w:rsidRPr="00C97145">
        <w:rPr>
          <w:rFonts w:ascii="Arial" w:hAnsi="Arial" w:cs="Arial"/>
          <w:sz w:val="20"/>
          <w:szCs w:val="20"/>
        </w:rPr>
        <w:t xml:space="preserve"> </w:t>
      </w:r>
      <w:r w:rsidRPr="00C97145">
        <w:rPr>
          <w:rFonts w:ascii="Arial" w:hAnsi="Arial" w:cs="Arial"/>
          <w:sz w:val="20"/>
          <w:szCs w:val="20"/>
        </w:rPr>
        <w:t xml:space="preserve">davčna obremenitev plač in tudi sama višina BDP. </w:t>
      </w:r>
      <w:r w:rsidR="00340A12" w:rsidRPr="00C97145">
        <w:rPr>
          <w:rFonts w:ascii="Arial" w:hAnsi="Arial" w:cs="Arial"/>
          <w:sz w:val="20"/>
          <w:szCs w:val="20"/>
        </w:rPr>
        <w:t>V spodnjem grafu, ki prikazuje zadnje razpoložljive podatke, sodi Slovenija med države z najvišjim deležem, kar je posledica visokih izplačil dodatkov v času epidemije COVID 19. V prejšnjih letih sicer Slovenija ni sodila med države z najvišjim deležem, bila pa j</w:t>
      </w:r>
      <w:r w:rsidR="005D0E47" w:rsidRPr="00C97145">
        <w:rPr>
          <w:rFonts w:ascii="Arial" w:hAnsi="Arial" w:cs="Arial"/>
          <w:sz w:val="20"/>
          <w:szCs w:val="20"/>
        </w:rPr>
        <w:t>e</w:t>
      </w:r>
      <w:r w:rsidR="00340A12" w:rsidRPr="00C97145">
        <w:rPr>
          <w:rFonts w:ascii="Arial" w:hAnsi="Arial" w:cs="Arial"/>
          <w:sz w:val="20"/>
          <w:szCs w:val="20"/>
        </w:rPr>
        <w:t xml:space="preserve"> nad povprečjem EU. V obdobju 2017-2019 je v Sloveniji delež znašal nekaj nad 11 </w:t>
      </w:r>
      <w:r w:rsidR="00B560C2" w:rsidRPr="00C97145">
        <w:rPr>
          <w:rFonts w:ascii="Arial" w:hAnsi="Arial" w:cs="Arial"/>
          <w:sz w:val="20"/>
          <w:szCs w:val="20"/>
        </w:rPr>
        <w:t>odstotki</w:t>
      </w:r>
      <w:r w:rsidR="00340A12" w:rsidRPr="00C97145">
        <w:rPr>
          <w:rFonts w:ascii="Arial" w:hAnsi="Arial" w:cs="Arial"/>
          <w:sz w:val="20"/>
          <w:szCs w:val="20"/>
        </w:rPr>
        <w:t xml:space="preserve"> (povprečje EU pa okoli 10 </w:t>
      </w:r>
      <w:r w:rsidR="00B560C2" w:rsidRPr="00C97145">
        <w:rPr>
          <w:rFonts w:ascii="Arial" w:hAnsi="Arial" w:cs="Arial"/>
          <w:sz w:val="20"/>
          <w:szCs w:val="20"/>
        </w:rPr>
        <w:t>odstotkov</w:t>
      </w:r>
      <w:r w:rsidR="00340A12" w:rsidRPr="00C97145">
        <w:rPr>
          <w:rFonts w:ascii="Arial" w:hAnsi="Arial" w:cs="Arial"/>
          <w:sz w:val="20"/>
          <w:szCs w:val="20"/>
        </w:rPr>
        <w:t xml:space="preserve">). </w:t>
      </w:r>
      <w:r w:rsidRPr="00C97145">
        <w:rPr>
          <w:rFonts w:ascii="Arial" w:hAnsi="Arial" w:cs="Arial"/>
          <w:sz w:val="20"/>
          <w:szCs w:val="20"/>
        </w:rPr>
        <w:t>Praviloma imajo nizke deleže države, kjer je zaposlenost v javnem sektorju nizka (npr. Nemčija, Irska, Luksemburg), čeprav je sicer delež zaposlenih v javnih storitvah nad povprečjem EU, vendar se vse te storitve ne izvajajo v javnem sektorju. Delež sredstev za zaposlene v BDP je zato bistveno povezan s tem, kako je v državi organizirano izvajanje javnih storitev, v kakšni meri se izvajajo v javnem sektorju, v kakšni meri pa so izvajalci teh storitev del zasebnega sektorj</w:t>
      </w:r>
      <w:r w:rsidR="005D0E47" w:rsidRPr="00C97145">
        <w:rPr>
          <w:rFonts w:ascii="Arial" w:hAnsi="Arial" w:cs="Arial"/>
          <w:sz w:val="20"/>
          <w:szCs w:val="20"/>
        </w:rPr>
        <w:t>a</w:t>
      </w:r>
      <w:r w:rsidRPr="00C97145">
        <w:rPr>
          <w:rFonts w:ascii="Arial" w:hAnsi="Arial" w:cs="Arial"/>
          <w:sz w:val="20"/>
          <w:szCs w:val="20"/>
        </w:rPr>
        <w:t>. To ne pomeni,</w:t>
      </w:r>
      <w:r w:rsidR="005D0E47" w:rsidRPr="00C97145">
        <w:rPr>
          <w:rFonts w:ascii="Arial" w:hAnsi="Arial" w:cs="Arial"/>
          <w:sz w:val="20"/>
          <w:szCs w:val="20"/>
        </w:rPr>
        <w:t xml:space="preserve"> </w:t>
      </w:r>
      <w:r w:rsidRPr="00C97145">
        <w:rPr>
          <w:rFonts w:ascii="Arial" w:hAnsi="Arial" w:cs="Arial"/>
          <w:sz w:val="20"/>
          <w:szCs w:val="20"/>
        </w:rPr>
        <w:t>da so storitve, ki se izvajajo v zasebnem sektorju, nujno tudi financirane iz zasebnih virov, saj je lahko večji ali manjši del zasebnih izvajalcev tudi financiran iz javnih sredstev (vendar se to ne kaže v sredstvih za zaposlene).</w:t>
      </w:r>
    </w:p>
    <w:p w14:paraId="4B743EEC" w14:textId="1EFC6675" w:rsidR="00D12436" w:rsidRPr="00C97145" w:rsidRDefault="00D12436" w:rsidP="009F05AF">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t xml:space="preserve">Graf </w:t>
      </w:r>
      <w:r w:rsidR="001B6FC9">
        <w:rPr>
          <w:rFonts w:ascii="Arial" w:hAnsi="Arial" w:cs="Arial"/>
          <w:b/>
          <w:bCs/>
          <w:i w:val="0"/>
          <w:iCs w:val="0"/>
          <w:color w:val="auto"/>
          <w:sz w:val="20"/>
          <w:szCs w:val="20"/>
        </w:rPr>
        <w:fldChar w:fldCharType="begin"/>
      </w:r>
      <w:r w:rsidR="001B6FC9">
        <w:rPr>
          <w:rFonts w:ascii="Arial" w:hAnsi="Arial" w:cs="Arial"/>
          <w:b/>
          <w:bCs/>
          <w:i w:val="0"/>
          <w:iCs w:val="0"/>
          <w:color w:val="auto"/>
          <w:sz w:val="20"/>
          <w:szCs w:val="20"/>
        </w:rPr>
        <w:instrText xml:space="preserve"> SEQ Graf \* ARABIC </w:instrText>
      </w:r>
      <w:r w:rsidR="001B6FC9">
        <w:rPr>
          <w:rFonts w:ascii="Arial" w:hAnsi="Arial" w:cs="Arial"/>
          <w:b/>
          <w:bCs/>
          <w:i w:val="0"/>
          <w:iCs w:val="0"/>
          <w:color w:val="auto"/>
          <w:sz w:val="20"/>
          <w:szCs w:val="20"/>
        </w:rPr>
        <w:fldChar w:fldCharType="separate"/>
      </w:r>
      <w:r w:rsidR="001B6FC9">
        <w:rPr>
          <w:rFonts w:ascii="Arial" w:hAnsi="Arial" w:cs="Arial"/>
          <w:b/>
          <w:bCs/>
          <w:i w:val="0"/>
          <w:iCs w:val="0"/>
          <w:noProof/>
          <w:color w:val="auto"/>
          <w:sz w:val="20"/>
          <w:szCs w:val="20"/>
        </w:rPr>
        <w:t>6</w:t>
      </w:r>
      <w:r w:rsidR="001B6FC9">
        <w:rPr>
          <w:rFonts w:ascii="Arial" w:hAnsi="Arial" w:cs="Arial"/>
          <w:b/>
          <w:bCs/>
          <w:i w:val="0"/>
          <w:iCs w:val="0"/>
          <w:color w:val="auto"/>
          <w:sz w:val="20"/>
          <w:szCs w:val="20"/>
        </w:rPr>
        <w:fldChar w:fldCharType="end"/>
      </w:r>
      <w:r w:rsidRPr="00C97145">
        <w:rPr>
          <w:rFonts w:ascii="Arial" w:hAnsi="Arial" w:cs="Arial"/>
          <w:b/>
          <w:bCs/>
          <w:i w:val="0"/>
          <w:iCs w:val="0"/>
          <w:color w:val="auto"/>
          <w:sz w:val="20"/>
          <w:szCs w:val="20"/>
        </w:rPr>
        <w:t xml:space="preserve">: Delež sredstev za zaposlene v BDP, 2021, v </w:t>
      </w:r>
      <w:r w:rsidR="00B560C2" w:rsidRPr="00C97145">
        <w:rPr>
          <w:rFonts w:ascii="Arial" w:hAnsi="Arial" w:cs="Arial"/>
          <w:b/>
          <w:bCs/>
          <w:i w:val="0"/>
          <w:iCs w:val="0"/>
          <w:color w:val="auto"/>
          <w:sz w:val="20"/>
          <w:szCs w:val="20"/>
        </w:rPr>
        <w:t>odstotkih</w:t>
      </w:r>
    </w:p>
    <w:p w14:paraId="01C32E8C" w14:textId="77777777" w:rsidR="00343949" w:rsidRPr="00C97145" w:rsidRDefault="00343949" w:rsidP="00343949">
      <w:pPr>
        <w:rPr>
          <w:rFonts w:ascii="Arial" w:hAnsi="Arial" w:cs="Arial"/>
          <w:sz w:val="20"/>
          <w:szCs w:val="20"/>
        </w:rPr>
      </w:pPr>
      <w:r w:rsidRPr="00C97145">
        <w:rPr>
          <w:rFonts w:ascii="Arial" w:hAnsi="Arial" w:cs="Arial"/>
          <w:noProof/>
          <w:sz w:val="20"/>
          <w:szCs w:val="20"/>
        </w:rPr>
        <w:drawing>
          <wp:inline distT="0" distB="0" distL="0" distR="0" wp14:anchorId="6AAD5DC2" wp14:editId="5B007BD2">
            <wp:extent cx="5762625" cy="2695575"/>
            <wp:effectExtent l="0" t="0" r="0" b="0"/>
            <wp:docPr id="13" name="Grafikon 13" descr="Delež sredstev za zaposlene v BDP, 2021, v odstotkih">
              <a:extLst xmlns:a="http://schemas.openxmlformats.org/drawingml/2006/main">
                <a:ext uri="{FF2B5EF4-FFF2-40B4-BE49-F238E27FC236}">
                  <a16:creationId xmlns:a16="http://schemas.microsoft.com/office/drawing/2014/main" id="{80C91F87-7C74-4E8E-A193-24FBF1ABC2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1790F3" w14:textId="2DA84142" w:rsidR="00340A12" w:rsidRPr="00C97145" w:rsidRDefault="00343949" w:rsidP="004D22FE">
      <w:pPr>
        <w:jc w:val="both"/>
        <w:rPr>
          <w:rFonts w:ascii="Arial" w:hAnsi="Arial" w:cs="Arial"/>
          <w:sz w:val="20"/>
          <w:szCs w:val="20"/>
        </w:rPr>
      </w:pPr>
      <w:r w:rsidRPr="00C97145">
        <w:rPr>
          <w:rFonts w:ascii="Arial" w:hAnsi="Arial" w:cs="Arial"/>
          <w:sz w:val="20"/>
          <w:szCs w:val="20"/>
        </w:rPr>
        <w:t>Vir: Eurostat, preračuni UMAR</w:t>
      </w:r>
    </w:p>
    <w:p w14:paraId="22C8119F" w14:textId="0F817DCA" w:rsidR="00340A12" w:rsidRPr="00C97145" w:rsidRDefault="00340A12" w:rsidP="004D22FE">
      <w:pPr>
        <w:pStyle w:val="Odstavekseznama"/>
        <w:spacing w:after="0" w:line="260" w:lineRule="atLeast"/>
        <w:ind w:left="1080"/>
        <w:jc w:val="both"/>
        <w:rPr>
          <w:rFonts w:ascii="Arial" w:hAnsi="Arial" w:cs="Arial"/>
          <w:b/>
          <w:bCs/>
          <w:sz w:val="20"/>
          <w:szCs w:val="20"/>
        </w:rPr>
      </w:pPr>
    </w:p>
    <w:p w14:paraId="75C35844" w14:textId="621E1725" w:rsidR="004D22FE" w:rsidRPr="00C97145" w:rsidRDefault="004D22FE" w:rsidP="004D22FE">
      <w:pPr>
        <w:pStyle w:val="Odstavekseznama"/>
        <w:spacing w:after="0" w:line="260" w:lineRule="atLeast"/>
        <w:ind w:left="1080"/>
        <w:jc w:val="both"/>
        <w:rPr>
          <w:rFonts w:ascii="Arial" w:hAnsi="Arial" w:cs="Arial"/>
          <w:b/>
          <w:bCs/>
          <w:sz w:val="20"/>
          <w:szCs w:val="20"/>
        </w:rPr>
      </w:pPr>
    </w:p>
    <w:p w14:paraId="376ADCC1" w14:textId="19A3AAB0" w:rsidR="004D22FE" w:rsidRPr="00C97145" w:rsidRDefault="004D22FE" w:rsidP="004D22FE">
      <w:pPr>
        <w:pStyle w:val="Odstavekseznama"/>
        <w:spacing w:after="0" w:line="260" w:lineRule="atLeast"/>
        <w:ind w:left="1080"/>
        <w:jc w:val="both"/>
        <w:rPr>
          <w:rFonts w:ascii="Arial" w:hAnsi="Arial" w:cs="Arial"/>
          <w:b/>
          <w:bCs/>
          <w:sz w:val="20"/>
          <w:szCs w:val="20"/>
        </w:rPr>
      </w:pPr>
    </w:p>
    <w:p w14:paraId="36D7DBDC" w14:textId="121A4A10" w:rsidR="004D22FE" w:rsidRPr="00C97145" w:rsidRDefault="004D22FE" w:rsidP="004D22FE">
      <w:pPr>
        <w:pStyle w:val="Odstavekseznama"/>
        <w:spacing w:after="0" w:line="260" w:lineRule="atLeast"/>
        <w:ind w:left="1080"/>
        <w:jc w:val="both"/>
        <w:rPr>
          <w:rFonts w:ascii="Arial" w:hAnsi="Arial" w:cs="Arial"/>
          <w:b/>
          <w:bCs/>
          <w:sz w:val="20"/>
          <w:szCs w:val="20"/>
        </w:rPr>
      </w:pPr>
    </w:p>
    <w:p w14:paraId="1597F1B3" w14:textId="0120281D" w:rsidR="004D22FE" w:rsidRPr="00C97145" w:rsidRDefault="004D22FE" w:rsidP="004D22FE">
      <w:pPr>
        <w:pStyle w:val="Odstavekseznama"/>
        <w:spacing w:after="0" w:line="260" w:lineRule="atLeast"/>
        <w:ind w:left="1080"/>
        <w:jc w:val="both"/>
        <w:rPr>
          <w:rFonts w:ascii="Arial" w:hAnsi="Arial" w:cs="Arial"/>
          <w:b/>
          <w:bCs/>
          <w:sz w:val="20"/>
          <w:szCs w:val="20"/>
        </w:rPr>
      </w:pPr>
    </w:p>
    <w:p w14:paraId="49AF89F8" w14:textId="6E4CDA17" w:rsidR="004D22FE" w:rsidRPr="00C97145" w:rsidRDefault="004D22FE" w:rsidP="004D22FE">
      <w:pPr>
        <w:pStyle w:val="Odstavekseznama"/>
        <w:spacing w:after="0" w:line="260" w:lineRule="atLeast"/>
        <w:ind w:left="1080"/>
        <w:jc w:val="both"/>
        <w:rPr>
          <w:rFonts w:ascii="Arial" w:hAnsi="Arial" w:cs="Arial"/>
          <w:b/>
          <w:bCs/>
          <w:sz w:val="20"/>
          <w:szCs w:val="20"/>
        </w:rPr>
      </w:pPr>
    </w:p>
    <w:p w14:paraId="15579859" w14:textId="5C7C48B3" w:rsidR="004D22FE" w:rsidRPr="00C97145" w:rsidRDefault="004D22FE" w:rsidP="004D22FE">
      <w:pPr>
        <w:pStyle w:val="Odstavekseznama"/>
        <w:spacing w:after="0" w:line="260" w:lineRule="atLeast"/>
        <w:ind w:left="1080"/>
        <w:jc w:val="both"/>
        <w:rPr>
          <w:rFonts w:ascii="Arial" w:hAnsi="Arial" w:cs="Arial"/>
          <w:b/>
          <w:bCs/>
          <w:sz w:val="20"/>
          <w:szCs w:val="20"/>
        </w:rPr>
      </w:pPr>
    </w:p>
    <w:p w14:paraId="26FDE7FA" w14:textId="75B91957" w:rsidR="004D22FE" w:rsidRPr="00C97145" w:rsidRDefault="004D22FE" w:rsidP="004D22FE">
      <w:pPr>
        <w:pStyle w:val="Odstavekseznama"/>
        <w:spacing w:after="0" w:line="260" w:lineRule="atLeast"/>
        <w:ind w:left="1080"/>
        <w:jc w:val="both"/>
        <w:rPr>
          <w:rFonts w:ascii="Arial" w:hAnsi="Arial" w:cs="Arial"/>
          <w:b/>
          <w:bCs/>
          <w:sz w:val="20"/>
          <w:szCs w:val="20"/>
        </w:rPr>
      </w:pPr>
    </w:p>
    <w:p w14:paraId="590E0F4C" w14:textId="0B6DB7A5" w:rsidR="004D22FE" w:rsidRPr="00C97145" w:rsidRDefault="004D22FE" w:rsidP="004D22FE">
      <w:pPr>
        <w:pStyle w:val="Odstavekseznama"/>
        <w:spacing w:after="0" w:line="260" w:lineRule="atLeast"/>
        <w:ind w:left="1080"/>
        <w:jc w:val="both"/>
        <w:rPr>
          <w:rFonts w:ascii="Arial" w:hAnsi="Arial" w:cs="Arial"/>
          <w:b/>
          <w:bCs/>
          <w:sz w:val="20"/>
          <w:szCs w:val="20"/>
        </w:rPr>
      </w:pPr>
    </w:p>
    <w:p w14:paraId="0B2AF10A" w14:textId="096DB3AD" w:rsidR="004D22FE" w:rsidRPr="00C97145" w:rsidRDefault="004D22FE" w:rsidP="004D22FE">
      <w:pPr>
        <w:pStyle w:val="Odstavekseznama"/>
        <w:spacing w:after="0" w:line="260" w:lineRule="atLeast"/>
        <w:ind w:left="1080"/>
        <w:jc w:val="both"/>
        <w:rPr>
          <w:rFonts w:ascii="Arial" w:hAnsi="Arial" w:cs="Arial"/>
          <w:b/>
          <w:bCs/>
          <w:sz w:val="20"/>
          <w:szCs w:val="20"/>
        </w:rPr>
      </w:pPr>
    </w:p>
    <w:p w14:paraId="50929950" w14:textId="23106503" w:rsidR="004D22FE" w:rsidRPr="00C97145" w:rsidRDefault="004D22FE" w:rsidP="004D22FE">
      <w:pPr>
        <w:pStyle w:val="Odstavekseznama"/>
        <w:spacing w:after="0" w:line="260" w:lineRule="atLeast"/>
        <w:ind w:left="1080"/>
        <w:jc w:val="both"/>
        <w:rPr>
          <w:rFonts w:ascii="Arial" w:hAnsi="Arial" w:cs="Arial"/>
          <w:b/>
          <w:bCs/>
          <w:sz w:val="20"/>
          <w:szCs w:val="20"/>
        </w:rPr>
      </w:pPr>
    </w:p>
    <w:p w14:paraId="46FFDA7D" w14:textId="606DC24D" w:rsidR="004D22FE" w:rsidRPr="00C97145" w:rsidRDefault="004D22FE" w:rsidP="004D22FE">
      <w:pPr>
        <w:pStyle w:val="Odstavekseznama"/>
        <w:spacing w:after="0" w:line="260" w:lineRule="atLeast"/>
        <w:ind w:left="1080"/>
        <w:jc w:val="both"/>
        <w:rPr>
          <w:rFonts w:ascii="Arial" w:hAnsi="Arial" w:cs="Arial"/>
          <w:b/>
          <w:bCs/>
          <w:sz w:val="20"/>
          <w:szCs w:val="20"/>
        </w:rPr>
      </w:pPr>
    </w:p>
    <w:p w14:paraId="6DC3FC74" w14:textId="12B8F158" w:rsidR="004D22FE" w:rsidRPr="00C97145" w:rsidRDefault="004D22FE" w:rsidP="004D22FE">
      <w:pPr>
        <w:pStyle w:val="Odstavekseznama"/>
        <w:spacing w:after="0" w:line="260" w:lineRule="atLeast"/>
        <w:ind w:left="1080"/>
        <w:jc w:val="both"/>
        <w:rPr>
          <w:rFonts w:ascii="Arial" w:hAnsi="Arial" w:cs="Arial"/>
          <w:b/>
          <w:bCs/>
          <w:sz w:val="20"/>
          <w:szCs w:val="20"/>
        </w:rPr>
      </w:pPr>
    </w:p>
    <w:p w14:paraId="5C0F728B" w14:textId="57AA1377" w:rsidR="004D22FE" w:rsidRPr="00C97145" w:rsidRDefault="004D22FE" w:rsidP="004D22FE">
      <w:pPr>
        <w:pStyle w:val="Odstavekseznama"/>
        <w:spacing w:after="0" w:line="260" w:lineRule="atLeast"/>
        <w:ind w:left="1080"/>
        <w:jc w:val="both"/>
        <w:rPr>
          <w:rFonts w:ascii="Arial" w:hAnsi="Arial" w:cs="Arial"/>
          <w:b/>
          <w:bCs/>
          <w:sz w:val="20"/>
          <w:szCs w:val="20"/>
        </w:rPr>
      </w:pPr>
    </w:p>
    <w:p w14:paraId="32B99552" w14:textId="14A24382" w:rsidR="004D22FE" w:rsidRPr="00C97145" w:rsidRDefault="004D22FE" w:rsidP="004D22FE">
      <w:pPr>
        <w:pStyle w:val="Odstavekseznama"/>
        <w:spacing w:after="0" w:line="260" w:lineRule="atLeast"/>
        <w:ind w:left="1080"/>
        <w:jc w:val="both"/>
        <w:rPr>
          <w:rFonts w:ascii="Arial" w:hAnsi="Arial" w:cs="Arial"/>
          <w:b/>
          <w:bCs/>
          <w:sz w:val="20"/>
          <w:szCs w:val="20"/>
        </w:rPr>
      </w:pPr>
    </w:p>
    <w:p w14:paraId="47C62B5F" w14:textId="77777777" w:rsidR="004D22FE" w:rsidRPr="00C97145" w:rsidRDefault="004D22FE" w:rsidP="00E91780">
      <w:pPr>
        <w:pStyle w:val="Odstavekseznama"/>
        <w:numPr>
          <w:ilvl w:val="0"/>
          <w:numId w:val="42"/>
        </w:numPr>
        <w:spacing w:after="0" w:line="260" w:lineRule="atLeast"/>
        <w:jc w:val="both"/>
        <w:rPr>
          <w:rFonts w:ascii="Arial" w:hAnsi="Arial" w:cs="Arial"/>
          <w:b/>
          <w:bCs/>
          <w:sz w:val="20"/>
          <w:szCs w:val="20"/>
        </w:rPr>
      </w:pPr>
      <w:r w:rsidRPr="00C97145">
        <w:rPr>
          <w:rFonts w:ascii="Arial" w:hAnsi="Arial" w:cs="Arial"/>
          <w:b/>
          <w:bCs/>
          <w:sz w:val="20"/>
          <w:szCs w:val="20"/>
        </w:rPr>
        <w:br w:type="page"/>
      </w:r>
    </w:p>
    <w:p w14:paraId="70F3C296" w14:textId="5EF713F9" w:rsidR="004226FF" w:rsidRPr="00C97145" w:rsidRDefault="004226FF" w:rsidP="00E91780">
      <w:pPr>
        <w:pStyle w:val="Odstavekseznama"/>
        <w:numPr>
          <w:ilvl w:val="0"/>
          <w:numId w:val="43"/>
        </w:numPr>
        <w:spacing w:after="0" w:line="260" w:lineRule="atLeast"/>
        <w:jc w:val="both"/>
        <w:rPr>
          <w:rFonts w:ascii="Arial" w:hAnsi="Arial" w:cs="Arial"/>
          <w:b/>
          <w:bCs/>
          <w:sz w:val="20"/>
          <w:szCs w:val="20"/>
        </w:rPr>
      </w:pPr>
      <w:r w:rsidRPr="00C97145">
        <w:rPr>
          <w:rFonts w:ascii="Arial" w:hAnsi="Arial" w:cs="Arial"/>
          <w:b/>
          <w:bCs/>
          <w:sz w:val="20"/>
          <w:szCs w:val="20"/>
        </w:rPr>
        <w:lastRenderedPageBreak/>
        <w:t>STANJE V LETU 2022</w:t>
      </w:r>
    </w:p>
    <w:p w14:paraId="527CF78A" w14:textId="77777777" w:rsidR="004226FF" w:rsidRPr="00C97145" w:rsidRDefault="004226FF" w:rsidP="004226FF">
      <w:pPr>
        <w:pStyle w:val="Odstavekseznama"/>
        <w:ind w:left="1080"/>
        <w:jc w:val="both"/>
        <w:rPr>
          <w:rFonts w:ascii="Arial" w:hAnsi="Arial" w:cs="Arial"/>
          <w:sz w:val="20"/>
          <w:szCs w:val="20"/>
        </w:rPr>
      </w:pPr>
    </w:p>
    <w:p w14:paraId="281B993E" w14:textId="792BF0AF" w:rsidR="004226FF" w:rsidRPr="00C97145" w:rsidRDefault="004226FF" w:rsidP="004226FF">
      <w:pPr>
        <w:jc w:val="both"/>
        <w:rPr>
          <w:rFonts w:ascii="Arial" w:hAnsi="Arial" w:cs="Arial"/>
          <w:sz w:val="20"/>
          <w:szCs w:val="20"/>
        </w:rPr>
      </w:pPr>
      <w:r w:rsidRPr="00C97145">
        <w:rPr>
          <w:rFonts w:ascii="Arial" w:hAnsi="Arial" w:cs="Arial"/>
          <w:sz w:val="20"/>
          <w:szCs w:val="20"/>
        </w:rPr>
        <w:t>V obdobju januar</w:t>
      </w:r>
      <w:r w:rsidR="004E3495" w:rsidRPr="00C97145">
        <w:rPr>
          <w:rFonts w:ascii="Arial" w:hAnsi="Arial" w:cs="Arial"/>
          <w:sz w:val="20"/>
          <w:szCs w:val="20"/>
        </w:rPr>
        <w:t xml:space="preserve"> </w:t>
      </w:r>
      <w:r w:rsidRPr="00C97145">
        <w:rPr>
          <w:rFonts w:ascii="Arial" w:hAnsi="Arial" w:cs="Arial"/>
          <w:sz w:val="20"/>
          <w:szCs w:val="20"/>
        </w:rPr>
        <w:t xml:space="preserve">- junij 2022 je bilo v povprečju v javnem sektorju, kot ga je definiral </w:t>
      </w:r>
      <w:r w:rsidR="00E2366A" w:rsidRPr="00C97145">
        <w:rPr>
          <w:rFonts w:ascii="Arial" w:hAnsi="Arial" w:cs="Arial"/>
          <w:sz w:val="20"/>
          <w:szCs w:val="20"/>
        </w:rPr>
        <w:t>ZSPJS</w:t>
      </w:r>
      <w:r w:rsidRPr="00C97145">
        <w:rPr>
          <w:rFonts w:ascii="Arial" w:hAnsi="Arial" w:cs="Arial"/>
          <w:sz w:val="20"/>
          <w:szCs w:val="20"/>
        </w:rPr>
        <w:t>,  zaposlenih 188.814 javnih uslužbencev. Število zaposlenih se iz leta v leto povečuje, kar je v največji meri posledica spremenjenih oziroma povečanih potreb po javnih storitvah, večinoma povezanih z demografskimi spremembami. Gibanje njihovega števila v obdobju od leta 2015 dalje prikazuje spodnji graf.</w:t>
      </w:r>
    </w:p>
    <w:p w14:paraId="52C2EAA7" w14:textId="53F361A8" w:rsidR="00D12436" w:rsidRPr="00C97145" w:rsidRDefault="00D12436" w:rsidP="00D12436">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t xml:space="preserve">Graf </w:t>
      </w:r>
      <w:r w:rsidR="001B6FC9">
        <w:rPr>
          <w:rFonts w:ascii="Arial" w:hAnsi="Arial" w:cs="Arial"/>
          <w:b/>
          <w:bCs/>
          <w:i w:val="0"/>
          <w:iCs w:val="0"/>
          <w:color w:val="auto"/>
          <w:sz w:val="20"/>
          <w:szCs w:val="20"/>
        </w:rPr>
        <w:fldChar w:fldCharType="begin"/>
      </w:r>
      <w:r w:rsidR="001B6FC9">
        <w:rPr>
          <w:rFonts w:ascii="Arial" w:hAnsi="Arial" w:cs="Arial"/>
          <w:b/>
          <w:bCs/>
          <w:i w:val="0"/>
          <w:iCs w:val="0"/>
          <w:color w:val="auto"/>
          <w:sz w:val="20"/>
          <w:szCs w:val="20"/>
        </w:rPr>
        <w:instrText xml:space="preserve"> SEQ Graf \* ARABIC </w:instrText>
      </w:r>
      <w:r w:rsidR="001B6FC9">
        <w:rPr>
          <w:rFonts w:ascii="Arial" w:hAnsi="Arial" w:cs="Arial"/>
          <w:b/>
          <w:bCs/>
          <w:i w:val="0"/>
          <w:iCs w:val="0"/>
          <w:color w:val="auto"/>
          <w:sz w:val="20"/>
          <w:szCs w:val="20"/>
        </w:rPr>
        <w:fldChar w:fldCharType="separate"/>
      </w:r>
      <w:r w:rsidR="001B6FC9">
        <w:rPr>
          <w:rFonts w:ascii="Arial" w:hAnsi="Arial" w:cs="Arial"/>
          <w:b/>
          <w:bCs/>
          <w:i w:val="0"/>
          <w:iCs w:val="0"/>
          <w:noProof/>
          <w:color w:val="auto"/>
          <w:sz w:val="20"/>
          <w:szCs w:val="20"/>
        </w:rPr>
        <w:t>7</w:t>
      </w:r>
      <w:r w:rsidR="001B6FC9">
        <w:rPr>
          <w:rFonts w:ascii="Arial" w:hAnsi="Arial" w:cs="Arial"/>
          <w:b/>
          <w:bCs/>
          <w:i w:val="0"/>
          <w:iCs w:val="0"/>
          <w:color w:val="auto"/>
          <w:sz w:val="20"/>
          <w:szCs w:val="20"/>
        </w:rPr>
        <w:fldChar w:fldCharType="end"/>
      </w:r>
      <w:r w:rsidRPr="00C97145">
        <w:rPr>
          <w:rFonts w:ascii="Arial" w:hAnsi="Arial" w:cs="Arial"/>
          <w:b/>
          <w:bCs/>
          <w:i w:val="0"/>
          <w:iCs w:val="0"/>
          <w:color w:val="auto"/>
          <w:sz w:val="20"/>
          <w:szCs w:val="20"/>
        </w:rPr>
        <w:t>: Število zaposlenih 2015-2022</w:t>
      </w:r>
    </w:p>
    <w:p w14:paraId="4B53A08E" w14:textId="5B103F1E" w:rsidR="004226FF" w:rsidRPr="00C97145" w:rsidRDefault="00D01F24" w:rsidP="00D01F24">
      <w:pPr>
        <w:jc w:val="center"/>
        <w:rPr>
          <w:rFonts w:ascii="Arial" w:hAnsi="Arial" w:cs="Arial"/>
          <w:sz w:val="20"/>
          <w:szCs w:val="20"/>
        </w:rPr>
      </w:pPr>
      <w:r w:rsidRPr="00C97145">
        <w:rPr>
          <w:rFonts w:ascii="Arial" w:hAnsi="Arial" w:cs="Arial"/>
          <w:noProof/>
          <w:sz w:val="20"/>
          <w:szCs w:val="20"/>
        </w:rPr>
        <w:drawing>
          <wp:inline distT="0" distB="0" distL="0" distR="0" wp14:anchorId="19525909" wp14:editId="0B2BEE6F">
            <wp:extent cx="4244675" cy="2545307"/>
            <wp:effectExtent l="0" t="0" r="3810" b="7620"/>
            <wp:docPr id="12" name="Slika 12" descr="Število zaposlenih po posameznem letu od 2015 do 2022">
              <a:extLst xmlns:a="http://schemas.openxmlformats.org/drawingml/2006/main">
                <a:ext uri="{FF2B5EF4-FFF2-40B4-BE49-F238E27FC236}">
                  <a16:creationId xmlns:a16="http://schemas.microsoft.com/office/drawing/2014/main" id="{823DE5DE-9700-4C9C-AFE9-832D69DFDF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descr="Število zaposlenih po posameznem letu od 2015 do 2022">
                      <a:extLst>
                        <a:ext uri="{FF2B5EF4-FFF2-40B4-BE49-F238E27FC236}">
                          <a16:creationId xmlns:a16="http://schemas.microsoft.com/office/drawing/2014/main" id="{823DE5DE-9700-4C9C-AFE9-832D69DFDFE4}"/>
                        </a:ext>
                      </a:extLst>
                    </pic:cNvPr>
                    <pic:cNvPicPr>
                      <a:picLocks noChangeAspect="1"/>
                    </pic:cNvPicPr>
                  </pic:nvPicPr>
                  <pic:blipFill>
                    <a:blip r:embed="rId15"/>
                    <a:stretch>
                      <a:fillRect/>
                    </a:stretch>
                  </pic:blipFill>
                  <pic:spPr>
                    <a:xfrm>
                      <a:off x="0" y="0"/>
                      <a:ext cx="4256131" cy="2552177"/>
                    </a:xfrm>
                    <a:prstGeom prst="rect">
                      <a:avLst/>
                    </a:prstGeom>
                  </pic:spPr>
                </pic:pic>
              </a:graphicData>
            </a:graphic>
          </wp:inline>
        </w:drawing>
      </w:r>
    </w:p>
    <w:p w14:paraId="62433223" w14:textId="77777777" w:rsidR="004226FF" w:rsidRPr="00C97145" w:rsidRDefault="004226FF" w:rsidP="004226FF">
      <w:pPr>
        <w:jc w:val="both"/>
        <w:rPr>
          <w:rFonts w:ascii="Arial" w:hAnsi="Arial" w:cs="Arial"/>
          <w:sz w:val="20"/>
          <w:szCs w:val="20"/>
        </w:rPr>
      </w:pPr>
      <w:r w:rsidRPr="00C97145">
        <w:rPr>
          <w:rFonts w:ascii="Arial" w:hAnsi="Arial" w:cs="Arial"/>
          <w:sz w:val="20"/>
          <w:szCs w:val="20"/>
        </w:rPr>
        <w:t>Vir: ISPAP</w:t>
      </w:r>
    </w:p>
    <w:p w14:paraId="05A605AF" w14:textId="1D3B5BE6" w:rsidR="00A32CB7" w:rsidRPr="00C97145" w:rsidRDefault="007230FD" w:rsidP="004226FF">
      <w:pPr>
        <w:jc w:val="both"/>
        <w:rPr>
          <w:rFonts w:ascii="Arial" w:hAnsi="Arial" w:cs="Arial"/>
          <w:sz w:val="20"/>
          <w:szCs w:val="20"/>
        </w:rPr>
      </w:pPr>
      <w:r w:rsidRPr="00C97145">
        <w:rPr>
          <w:rFonts w:ascii="Arial" w:hAnsi="Arial" w:cs="Arial"/>
          <w:sz w:val="20"/>
          <w:szCs w:val="20"/>
        </w:rPr>
        <w:t>Rast števila zaposlenih je bila po posameznih plačnih skupinah</w:t>
      </w:r>
      <w:r w:rsidR="00D36286" w:rsidRPr="00C97145">
        <w:rPr>
          <w:rFonts w:ascii="Arial" w:hAnsi="Arial" w:cs="Arial"/>
          <w:sz w:val="20"/>
          <w:szCs w:val="20"/>
        </w:rPr>
        <w:t xml:space="preserve"> in podskupinah </w:t>
      </w:r>
      <w:r w:rsidRPr="00C97145">
        <w:rPr>
          <w:rFonts w:ascii="Arial" w:hAnsi="Arial" w:cs="Arial"/>
          <w:sz w:val="20"/>
          <w:szCs w:val="20"/>
        </w:rPr>
        <w:t>bistveno različna.</w:t>
      </w:r>
    </w:p>
    <w:p w14:paraId="1D10B514" w14:textId="3AF64AFD" w:rsidR="004B081F" w:rsidRPr="00C97145" w:rsidRDefault="004B081F" w:rsidP="004B081F">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t xml:space="preserve">Graf </w:t>
      </w:r>
      <w:r w:rsidR="001B6FC9">
        <w:rPr>
          <w:rFonts w:ascii="Arial" w:hAnsi="Arial" w:cs="Arial"/>
          <w:b/>
          <w:bCs/>
          <w:i w:val="0"/>
          <w:iCs w:val="0"/>
          <w:color w:val="auto"/>
          <w:sz w:val="20"/>
          <w:szCs w:val="20"/>
        </w:rPr>
        <w:fldChar w:fldCharType="begin"/>
      </w:r>
      <w:r w:rsidR="001B6FC9">
        <w:rPr>
          <w:rFonts w:ascii="Arial" w:hAnsi="Arial" w:cs="Arial"/>
          <w:b/>
          <w:bCs/>
          <w:i w:val="0"/>
          <w:iCs w:val="0"/>
          <w:color w:val="auto"/>
          <w:sz w:val="20"/>
          <w:szCs w:val="20"/>
        </w:rPr>
        <w:instrText xml:space="preserve"> SEQ Graf \* ARABIC </w:instrText>
      </w:r>
      <w:r w:rsidR="001B6FC9">
        <w:rPr>
          <w:rFonts w:ascii="Arial" w:hAnsi="Arial" w:cs="Arial"/>
          <w:b/>
          <w:bCs/>
          <w:i w:val="0"/>
          <w:iCs w:val="0"/>
          <w:color w:val="auto"/>
          <w:sz w:val="20"/>
          <w:szCs w:val="20"/>
        </w:rPr>
        <w:fldChar w:fldCharType="separate"/>
      </w:r>
      <w:r w:rsidR="001B6FC9">
        <w:rPr>
          <w:rFonts w:ascii="Arial" w:hAnsi="Arial" w:cs="Arial"/>
          <w:b/>
          <w:bCs/>
          <w:i w:val="0"/>
          <w:iCs w:val="0"/>
          <w:noProof/>
          <w:color w:val="auto"/>
          <w:sz w:val="20"/>
          <w:szCs w:val="20"/>
        </w:rPr>
        <w:t>8</w:t>
      </w:r>
      <w:r w:rsidR="001B6FC9">
        <w:rPr>
          <w:rFonts w:ascii="Arial" w:hAnsi="Arial" w:cs="Arial"/>
          <w:b/>
          <w:bCs/>
          <w:i w:val="0"/>
          <w:iCs w:val="0"/>
          <w:color w:val="auto"/>
          <w:sz w:val="20"/>
          <w:szCs w:val="20"/>
        </w:rPr>
        <w:fldChar w:fldCharType="end"/>
      </w:r>
      <w:r w:rsidRPr="00C97145">
        <w:rPr>
          <w:rFonts w:ascii="Arial" w:hAnsi="Arial" w:cs="Arial"/>
          <w:b/>
          <w:bCs/>
          <w:i w:val="0"/>
          <w:iCs w:val="0"/>
          <w:color w:val="auto"/>
          <w:sz w:val="20"/>
          <w:szCs w:val="20"/>
        </w:rPr>
        <w:t>: Rast števila zaposlenih po plačnih podskupinah v obdobju, indeks 2022/2018</w:t>
      </w:r>
    </w:p>
    <w:p w14:paraId="43EE404A" w14:textId="12D532C9" w:rsidR="00D36286" w:rsidRPr="00C97145" w:rsidRDefault="00D36286" w:rsidP="004226FF">
      <w:pPr>
        <w:jc w:val="both"/>
        <w:rPr>
          <w:rFonts w:ascii="Arial" w:hAnsi="Arial" w:cs="Arial"/>
          <w:b/>
          <w:bCs/>
          <w:sz w:val="20"/>
          <w:szCs w:val="20"/>
        </w:rPr>
      </w:pPr>
      <w:r w:rsidRPr="00C97145">
        <w:rPr>
          <w:rFonts w:ascii="Arial" w:hAnsi="Arial" w:cs="Arial"/>
          <w:noProof/>
          <w:sz w:val="20"/>
          <w:szCs w:val="20"/>
        </w:rPr>
        <w:drawing>
          <wp:inline distT="0" distB="0" distL="0" distR="0" wp14:anchorId="1809FFA5" wp14:editId="7E44F614">
            <wp:extent cx="6362700" cy="3298825"/>
            <wp:effectExtent l="0" t="0" r="0" b="0"/>
            <wp:docPr id="4" name="Slika 2" descr="Rast števila zaposlenih po plačnih podskupinah v obdobju, indeks 2022/2018">
              <a:extLst xmlns:a="http://schemas.openxmlformats.org/drawingml/2006/main">
                <a:ext uri="{FF2B5EF4-FFF2-40B4-BE49-F238E27FC236}">
                  <a16:creationId xmlns:a16="http://schemas.microsoft.com/office/drawing/2014/main" id="{52549FC4-3C6F-428D-8362-B342678183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2" descr="Rast števila zaposlenih po plačnih podskupinah v obdobju, indeks 2022/2018">
                      <a:extLst>
                        <a:ext uri="{FF2B5EF4-FFF2-40B4-BE49-F238E27FC236}">
                          <a16:creationId xmlns:a16="http://schemas.microsoft.com/office/drawing/2014/main" id="{52549FC4-3C6F-428D-8362-B3426781833F}"/>
                        </a:ext>
                      </a:extLst>
                    </pic:cNvPr>
                    <pic:cNvPicPr>
                      <a:picLocks noChangeAspect="1"/>
                    </pic:cNvPicPr>
                  </pic:nvPicPr>
                  <pic:blipFill>
                    <a:blip r:embed="rId16"/>
                    <a:stretch>
                      <a:fillRect/>
                    </a:stretch>
                  </pic:blipFill>
                  <pic:spPr>
                    <a:xfrm>
                      <a:off x="0" y="0"/>
                      <a:ext cx="6362700" cy="3298825"/>
                    </a:xfrm>
                    <a:prstGeom prst="rect">
                      <a:avLst/>
                    </a:prstGeom>
                  </pic:spPr>
                </pic:pic>
              </a:graphicData>
            </a:graphic>
          </wp:inline>
        </w:drawing>
      </w:r>
    </w:p>
    <w:p w14:paraId="203A38D6" w14:textId="77777777" w:rsidR="0032763D" w:rsidRPr="00C97145" w:rsidRDefault="0032763D" w:rsidP="0032763D">
      <w:pPr>
        <w:jc w:val="both"/>
        <w:rPr>
          <w:rFonts w:ascii="Arial" w:hAnsi="Arial" w:cs="Arial"/>
          <w:sz w:val="20"/>
          <w:szCs w:val="20"/>
        </w:rPr>
      </w:pPr>
      <w:r w:rsidRPr="00C97145">
        <w:rPr>
          <w:rFonts w:ascii="Arial" w:hAnsi="Arial" w:cs="Arial"/>
          <w:sz w:val="20"/>
          <w:szCs w:val="20"/>
        </w:rPr>
        <w:t>Vir: ISPAP, za leto 2022 so upoštevani podatki za mesece januar do oktober 2022</w:t>
      </w:r>
    </w:p>
    <w:p w14:paraId="74A31D5D" w14:textId="2924F682" w:rsidR="0032763D" w:rsidRPr="00C97145" w:rsidRDefault="0032763D" w:rsidP="0032763D">
      <w:pPr>
        <w:jc w:val="both"/>
        <w:rPr>
          <w:rFonts w:ascii="Arial" w:hAnsi="Arial" w:cs="Arial"/>
          <w:sz w:val="20"/>
          <w:szCs w:val="20"/>
        </w:rPr>
      </w:pPr>
      <w:r w:rsidRPr="00C97145">
        <w:rPr>
          <w:rFonts w:ascii="Arial" w:hAnsi="Arial" w:cs="Arial"/>
          <w:sz w:val="20"/>
          <w:szCs w:val="20"/>
        </w:rPr>
        <w:t xml:space="preserve">**Opomba: Pri pregledu in primerjavi podatkov po plačnih podskupinah je potrebno izpostaviti, da podatki za plačne podskupine J2 – Administrativni delavci in J3 – Ostali strokovno tehnični delavci ter E4 – Zdravstveni delavci in zdravstveni sodelavci niso povsem primerljivi z drugimi plačnimi skupinami </w:t>
      </w:r>
      <w:r w:rsidRPr="00C97145">
        <w:rPr>
          <w:rFonts w:ascii="Arial" w:hAnsi="Arial" w:cs="Arial"/>
          <w:sz w:val="20"/>
          <w:szCs w:val="20"/>
        </w:rPr>
        <w:lastRenderedPageBreak/>
        <w:t>oziroma z istimi plačnimi skupinami, ker je veliko število zaposlenih iz plačnih skupin J2 – Administrativni delavci in J3 – Ostali strokovno tehnični delavci konec leta 2021 prešlo na delovna mesta plačne podskupine E04 – Zdravstveni delavci in zdravstveni sodelavci</w:t>
      </w:r>
      <w:r w:rsidR="005D0E47" w:rsidRPr="00C97145">
        <w:rPr>
          <w:rFonts w:ascii="Arial" w:hAnsi="Arial" w:cs="Arial"/>
          <w:sz w:val="20"/>
          <w:szCs w:val="20"/>
        </w:rPr>
        <w:t>.</w:t>
      </w:r>
    </w:p>
    <w:p w14:paraId="5A4F7533" w14:textId="71DD5F35" w:rsidR="00D36286" w:rsidRPr="00C97145" w:rsidRDefault="00D36286" w:rsidP="004226FF">
      <w:pPr>
        <w:jc w:val="both"/>
        <w:rPr>
          <w:rFonts w:ascii="Arial" w:hAnsi="Arial" w:cs="Arial"/>
          <w:sz w:val="20"/>
          <w:szCs w:val="20"/>
        </w:rPr>
      </w:pPr>
      <w:r w:rsidRPr="00C97145">
        <w:rPr>
          <w:rFonts w:ascii="Arial" w:hAnsi="Arial" w:cs="Arial"/>
          <w:sz w:val="20"/>
          <w:szCs w:val="20"/>
        </w:rPr>
        <w:t>Obseg zaposlenosti je bil v preteklosti v veliki meri povezan</w:t>
      </w:r>
      <w:r w:rsidR="005D0E47" w:rsidRPr="00C97145">
        <w:rPr>
          <w:rFonts w:ascii="Arial" w:hAnsi="Arial" w:cs="Arial"/>
          <w:sz w:val="20"/>
          <w:szCs w:val="20"/>
        </w:rPr>
        <w:t xml:space="preserve"> </w:t>
      </w:r>
      <w:r w:rsidRPr="00C97145">
        <w:rPr>
          <w:rFonts w:ascii="Arial" w:hAnsi="Arial" w:cs="Arial"/>
          <w:sz w:val="20"/>
          <w:szCs w:val="20"/>
        </w:rPr>
        <w:t>s spreminjanjem demografske strukture slovenskega prebivalstva, kar bo v tudi v prihodnje eden bistvenih dejavnikov, ki ga bo treba upoštevati  pri obsegu in strukturi zap</w:t>
      </w:r>
      <w:r w:rsidR="00357946" w:rsidRPr="00C97145">
        <w:rPr>
          <w:rFonts w:ascii="Arial" w:hAnsi="Arial" w:cs="Arial"/>
          <w:sz w:val="20"/>
          <w:szCs w:val="20"/>
        </w:rPr>
        <w:t>o</w:t>
      </w:r>
      <w:r w:rsidRPr="00C97145">
        <w:rPr>
          <w:rFonts w:ascii="Arial" w:hAnsi="Arial" w:cs="Arial"/>
          <w:sz w:val="20"/>
          <w:szCs w:val="20"/>
        </w:rPr>
        <w:t>slenih v javn</w:t>
      </w:r>
      <w:r w:rsidR="00357946" w:rsidRPr="00C97145">
        <w:rPr>
          <w:rFonts w:ascii="Arial" w:hAnsi="Arial" w:cs="Arial"/>
          <w:sz w:val="20"/>
          <w:szCs w:val="20"/>
        </w:rPr>
        <w:t>e</w:t>
      </w:r>
      <w:r w:rsidRPr="00C97145">
        <w:rPr>
          <w:rFonts w:ascii="Arial" w:hAnsi="Arial" w:cs="Arial"/>
          <w:sz w:val="20"/>
          <w:szCs w:val="20"/>
        </w:rPr>
        <w:t>m sekt</w:t>
      </w:r>
      <w:r w:rsidR="00357946" w:rsidRPr="00C97145">
        <w:rPr>
          <w:rFonts w:ascii="Arial" w:hAnsi="Arial" w:cs="Arial"/>
          <w:sz w:val="20"/>
          <w:szCs w:val="20"/>
        </w:rPr>
        <w:t>o</w:t>
      </w:r>
      <w:r w:rsidRPr="00C97145">
        <w:rPr>
          <w:rFonts w:ascii="Arial" w:hAnsi="Arial" w:cs="Arial"/>
          <w:sz w:val="20"/>
          <w:szCs w:val="20"/>
        </w:rPr>
        <w:t>rju.</w:t>
      </w:r>
    </w:p>
    <w:p w14:paraId="265D6858" w14:textId="15A7A767" w:rsidR="004B081F" w:rsidRPr="00C97145" w:rsidRDefault="004B081F" w:rsidP="004B081F">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t xml:space="preserve">Graf </w:t>
      </w:r>
      <w:r w:rsidR="001B6FC9">
        <w:rPr>
          <w:rFonts w:ascii="Arial" w:hAnsi="Arial" w:cs="Arial"/>
          <w:b/>
          <w:bCs/>
          <w:i w:val="0"/>
          <w:iCs w:val="0"/>
          <w:color w:val="auto"/>
          <w:sz w:val="20"/>
          <w:szCs w:val="20"/>
        </w:rPr>
        <w:fldChar w:fldCharType="begin"/>
      </w:r>
      <w:r w:rsidR="001B6FC9">
        <w:rPr>
          <w:rFonts w:ascii="Arial" w:hAnsi="Arial" w:cs="Arial"/>
          <w:b/>
          <w:bCs/>
          <w:i w:val="0"/>
          <w:iCs w:val="0"/>
          <w:color w:val="auto"/>
          <w:sz w:val="20"/>
          <w:szCs w:val="20"/>
        </w:rPr>
        <w:instrText xml:space="preserve"> SEQ Graf \* ARABIC </w:instrText>
      </w:r>
      <w:r w:rsidR="001B6FC9">
        <w:rPr>
          <w:rFonts w:ascii="Arial" w:hAnsi="Arial" w:cs="Arial"/>
          <w:b/>
          <w:bCs/>
          <w:i w:val="0"/>
          <w:iCs w:val="0"/>
          <w:color w:val="auto"/>
          <w:sz w:val="20"/>
          <w:szCs w:val="20"/>
        </w:rPr>
        <w:fldChar w:fldCharType="separate"/>
      </w:r>
      <w:r w:rsidR="001B6FC9">
        <w:rPr>
          <w:rFonts w:ascii="Arial" w:hAnsi="Arial" w:cs="Arial"/>
          <w:b/>
          <w:bCs/>
          <w:i w:val="0"/>
          <w:iCs w:val="0"/>
          <w:noProof/>
          <w:color w:val="auto"/>
          <w:sz w:val="20"/>
          <w:szCs w:val="20"/>
        </w:rPr>
        <w:t>9</w:t>
      </w:r>
      <w:r w:rsidR="001B6FC9">
        <w:rPr>
          <w:rFonts w:ascii="Arial" w:hAnsi="Arial" w:cs="Arial"/>
          <w:b/>
          <w:bCs/>
          <w:i w:val="0"/>
          <w:iCs w:val="0"/>
          <w:color w:val="auto"/>
          <w:sz w:val="20"/>
          <w:szCs w:val="20"/>
        </w:rPr>
        <w:fldChar w:fldCharType="end"/>
      </w:r>
      <w:r w:rsidRPr="00C97145">
        <w:rPr>
          <w:rFonts w:ascii="Arial" w:hAnsi="Arial" w:cs="Arial"/>
          <w:b/>
          <w:bCs/>
          <w:i w:val="0"/>
          <w:iCs w:val="0"/>
          <w:color w:val="auto"/>
          <w:sz w:val="20"/>
          <w:szCs w:val="20"/>
        </w:rPr>
        <w:t>: : Projekcija gibanja prebivalstva Slovenije</w:t>
      </w:r>
    </w:p>
    <w:p w14:paraId="2625B658" w14:textId="456CB91A" w:rsidR="00357946" w:rsidRPr="00C97145" w:rsidRDefault="00357946" w:rsidP="004226FF">
      <w:pPr>
        <w:jc w:val="both"/>
        <w:rPr>
          <w:rFonts w:ascii="Arial" w:hAnsi="Arial" w:cs="Arial"/>
          <w:sz w:val="20"/>
          <w:szCs w:val="20"/>
        </w:rPr>
      </w:pPr>
      <w:r w:rsidRPr="00C97145">
        <w:rPr>
          <w:rFonts w:ascii="Arial" w:hAnsi="Arial" w:cs="Arial"/>
          <w:noProof/>
          <w:sz w:val="20"/>
          <w:szCs w:val="20"/>
        </w:rPr>
        <w:drawing>
          <wp:inline distT="0" distB="0" distL="0" distR="0" wp14:anchorId="770603CB" wp14:editId="0B5B40E9">
            <wp:extent cx="5760720" cy="2943225"/>
            <wp:effectExtent l="0" t="0" r="0" b="0"/>
            <wp:docPr id="5" name="Picture 3" descr="Projekcija gibanja prebivalstva Slovenije">
              <a:extLst xmlns:a="http://schemas.openxmlformats.org/drawingml/2006/main">
                <a:ext uri="{FF2B5EF4-FFF2-40B4-BE49-F238E27FC236}">
                  <a16:creationId xmlns:a16="http://schemas.microsoft.com/office/drawing/2014/main" id="{C5228B0F-1421-42CB-934D-58FB6FA077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Projekcija gibanja prebivalstva Slovenije">
                      <a:extLst>
                        <a:ext uri="{FF2B5EF4-FFF2-40B4-BE49-F238E27FC236}">
                          <a16:creationId xmlns:a16="http://schemas.microsoft.com/office/drawing/2014/main" id="{C5228B0F-1421-42CB-934D-58FB6FA07716}"/>
                        </a:ext>
                      </a:extLst>
                    </pic:cNvPr>
                    <pic:cNvPicPr>
                      <a:picLocks noChangeAspect="1" noChangeArrowheads="1"/>
                    </pic:cNvPicPr>
                  </pic:nvPicPr>
                  <pic:blipFill>
                    <a:blip r:embed="rId17" cstate="print"/>
                    <a:srcRect/>
                    <a:stretch>
                      <a:fillRect/>
                    </a:stretch>
                  </pic:blipFill>
                  <pic:spPr bwMode="auto">
                    <a:xfrm>
                      <a:off x="0" y="0"/>
                      <a:ext cx="5760720" cy="2943225"/>
                    </a:xfrm>
                    <a:prstGeom prst="rect">
                      <a:avLst/>
                    </a:prstGeom>
                    <a:noFill/>
                    <a:ln>
                      <a:miter lim="800000"/>
                      <a:headEnd/>
                      <a:tailEnd/>
                    </a:ln>
                  </pic:spPr>
                </pic:pic>
              </a:graphicData>
            </a:graphic>
          </wp:inline>
        </w:drawing>
      </w:r>
    </w:p>
    <w:p w14:paraId="6840FAAE" w14:textId="2667B5EC" w:rsidR="001B6FC9" w:rsidRDefault="001B6FC9" w:rsidP="00357946">
      <w:pPr>
        <w:jc w:val="both"/>
        <w:rPr>
          <w:rFonts w:ascii="Arial" w:hAnsi="Arial" w:cs="Arial"/>
          <w:sz w:val="20"/>
          <w:szCs w:val="20"/>
        </w:rPr>
      </w:pPr>
      <w:r>
        <w:rPr>
          <w:rFonts w:ascii="Arial" w:hAnsi="Arial" w:cs="Arial"/>
          <w:sz w:val="20"/>
          <w:szCs w:val="20"/>
        </w:rPr>
        <w:t>Spreminjanje demografske strukture in hkrati neprivlačnost javnega sektorja za mlade pa se kaž</w:t>
      </w:r>
      <w:r w:rsidR="00902003">
        <w:rPr>
          <w:rFonts w:ascii="Arial" w:hAnsi="Arial" w:cs="Arial"/>
          <w:sz w:val="20"/>
          <w:szCs w:val="20"/>
        </w:rPr>
        <w:t>e</w:t>
      </w:r>
      <w:r>
        <w:rPr>
          <w:rFonts w:ascii="Arial" w:hAnsi="Arial" w:cs="Arial"/>
          <w:sz w:val="20"/>
          <w:szCs w:val="20"/>
        </w:rPr>
        <w:t xml:space="preserve"> tudi v spremembi starostne strukture zaposlenih v javnem sektorju.  </w:t>
      </w:r>
      <w:r w:rsidR="00DB158D">
        <w:rPr>
          <w:rFonts w:ascii="Arial" w:hAnsi="Arial" w:cs="Arial"/>
          <w:sz w:val="20"/>
          <w:szCs w:val="20"/>
        </w:rPr>
        <w:t>Od celotnega prirasta števila zaposlenih v obdobju 201</w:t>
      </w:r>
      <w:r w:rsidR="00902003">
        <w:rPr>
          <w:rFonts w:ascii="Arial" w:hAnsi="Arial" w:cs="Arial"/>
          <w:sz w:val="20"/>
          <w:szCs w:val="20"/>
        </w:rPr>
        <w:t>5</w:t>
      </w:r>
      <w:r w:rsidR="00DB158D">
        <w:rPr>
          <w:rFonts w:ascii="Arial" w:hAnsi="Arial" w:cs="Arial"/>
          <w:sz w:val="20"/>
          <w:szCs w:val="20"/>
        </w:rPr>
        <w:t xml:space="preserve">-2022, </w:t>
      </w:r>
      <w:proofErr w:type="spellStart"/>
      <w:r w:rsidR="00DB158D">
        <w:rPr>
          <w:rFonts w:ascii="Arial" w:hAnsi="Arial" w:cs="Arial"/>
          <w:sz w:val="20"/>
          <w:szCs w:val="20"/>
        </w:rPr>
        <w:t>t.j</w:t>
      </w:r>
      <w:proofErr w:type="spellEnd"/>
      <w:r w:rsidR="00DB158D">
        <w:rPr>
          <w:rFonts w:ascii="Arial" w:hAnsi="Arial" w:cs="Arial"/>
          <w:sz w:val="20"/>
          <w:szCs w:val="20"/>
        </w:rPr>
        <w:t xml:space="preserve"> </w:t>
      </w:r>
      <w:r w:rsidR="00DB158D" w:rsidRPr="00CF6953">
        <w:rPr>
          <w:rFonts w:ascii="Arial" w:hAnsi="Arial" w:cs="Arial"/>
          <w:sz w:val="20"/>
          <w:szCs w:val="20"/>
        </w:rPr>
        <w:t>21.356 več zaposlenih, jih je le 605 v starostni skupini 18-34 let, največji prirast pa je v skupini 55+.</w:t>
      </w:r>
    </w:p>
    <w:p w14:paraId="2D99965A" w14:textId="6E3F04D0" w:rsidR="001B6FC9" w:rsidRPr="00CF6953" w:rsidRDefault="001B6FC9" w:rsidP="00CF6953">
      <w:pPr>
        <w:pStyle w:val="Napis"/>
        <w:keepNext/>
        <w:jc w:val="both"/>
        <w:rPr>
          <w:rFonts w:ascii="Arial" w:hAnsi="Arial" w:cs="Arial"/>
          <w:b/>
          <w:bCs/>
          <w:i w:val="0"/>
          <w:iCs w:val="0"/>
          <w:color w:val="auto"/>
          <w:sz w:val="20"/>
          <w:szCs w:val="20"/>
        </w:rPr>
      </w:pPr>
      <w:r w:rsidRPr="00CF6953">
        <w:rPr>
          <w:rFonts w:ascii="Arial" w:hAnsi="Arial" w:cs="Arial"/>
          <w:b/>
          <w:bCs/>
          <w:i w:val="0"/>
          <w:iCs w:val="0"/>
          <w:color w:val="auto"/>
          <w:sz w:val="20"/>
          <w:szCs w:val="20"/>
        </w:rPr>
        <w:t xml:space="preserve">Graf </w:t>
      </w:r>
      <w:r w:rsidRPr="00CF6953">
        <w:rPr>
          <w:rFonts w:ascii="Arial" w:hAnsi="Arial" w:cs="Arial"/>
          <w:b/>
          <w:bCs/>
          <w:i w:val="0"/>
          <w:iCs w:val="0"/>
          <w:color w:val="auto"/>
          <w:sz w:val="20"/>
          <w:szCs w:val="20"/>
        </w:rPr>
        <w:fldChar w:fldCharType="begin"/>
      </w:r>
      <w:r w:rsidRPr="00CF6953">
        <w:rPr>
          <w:rFonts w:ascii="Arial" w:hAnsi="Arial" w:cs="Arial"/>
          <w:b/>
          <w:bCs/>
          <w:i w:val="0"/>
          <w:iCs w:val="0"/>
          <w:color w:val="auto"/>
          <w:sz w:val="20"/>
          <w:szCs w:val="20"/>
        </w:rPr>
        <w:instrText xml:space="preserve"> SEQ Graf \* ARABIC </w:instrText>
      </w:r>
      <w:r w:rsidRPr="00CF6953">
        <w:rPr>
          <w:rFonts w:ascii="Arial" w:hAnsi="Arial" w:cs="Arial"/>
          <w:b/>
          <w:bCs/>
          <w:i w:val="0"/>
          <w:iCs w:val="0"/>
          <w:color w:val="auto"/>
          <w:sz w:val="20"/>
          <w:szCs w:val="20"/>
        </w:rPr>
        <w:fldChar w:fldCharType="separate"/>
      </w:r>
      <w:r w:rsidRPr="00CF6953">
        <w:rPr>
          <w:rFonts w:ascii="Arial" w:hAnsi="Arial" w:cs="Arial"/>
          <w:b/>
          <w:bCs/>
          <w:i w:val="0"/>
          <w:iCs w:val="0"/>
          <w:color w:val="auto"/>
          <w:sz w:val="20"/>
          <w:szCs w:val="20"/>
        </w:rPr>
        <w:t>10</w:t>
      </w:r>
      <w:r w:rsidRPr="00CF6953">
        <w:rPr>
          <w:rFonts w:ascii="Arial" w:hAnsi="Arial" w:cs="Arial"/>
          <w:b/>
          <w:bCs/>
          <w:i w:val="0"/>
          <w:iCs w:val="0"/>
          <w:color w:val="auto"/>
          <w:sz w:val="20"/>
          <w:szCs w:val="20"/>
        </w:rPr>
        <w:fldChar w:fldCharType="end"/>
      </w:r>
      <w:r w:rsidRPr="00CF6953">
        <w:rPr>
          <w:rFonts w:ascii="Arial" w:hAnsi="Arial" w:cs="Arial"/>
          <w:b/>
          <w:bCs/>
          <w:i w:val="0"/>
          <w:iCs w:val="0"/>
          <w:color w:val="auto"/>
          <w:sz w:val="20"/>
          <w:szCs w:val="20"/>
        </w:rPr>
        <w:t>: Spreminjanje starostne strukture zaposlenih v javnem sektorju, 2015 do 2022</w:t>
      </w:r>
    </w:p>
    <w:p w14:paraId="1C416181" w14:textId="0EDE1632" w:rsidR="001B6FC9" w:rsidRDefault="001B6FC9" w:rsidP="00357946">
      <w:pPr>
        <w:jc w:val="both"/>
        <w:rPr>
          <w:rFonts w:ascii="Arial" w:hAnsi="Arial" w:cs="Arial"/>
          <w:sz w:val="20"/>
          <w:szCs w:val="20"/>
        </w:rPr>
      </w:pPr>
      <w:r w:rsidRPr="001B6FC9">
        <w:rPr>
          <w:rFonts w:ascii="Arial" w:hAnsi="Arial" w:cs="Arial"/>
          <w:noProof/>
          <w:sz w:val="20"/>
          <w:szCs w:val="20"/>
        </w:rPr>
        <w:drawing>
          <wp:inline distT="0" distB="0" distL="0" distR="0" wp14:anchorId="05B23965" wp14:editId="59B459A5">
            <wp:extent cx="5760720" cy="3257550"/>
            <wp:effectExtent l="0" t="0" r="0" b="0"/>
            <wp:docPr id="24" name="Slika 2" descr="Spreminjanje starostne strukture zaposlenih v javnem sektorju, 2015 do 2022">
              <a:extLst xmlns:a="http://schemas.openxmlformats.org/drawingml/2006/main">
                <a:ext uri="{FF2B5EF4-FFF2-40B4-BE49-F238E27FC236}">
                  <a16:creationId xmlns:a16="http://schemas.microsoft.com/office/drawing/2014/main" id="{B91D197C-EC7D-4A2C-9BB8-B386AA8A0E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 descr="Spreminjanje starostne strukture zaposlenih v javnem sektorju, 2015 do 2022">
                      <a:extLst>
                        <a:ext uri="{FF2B5EF4-FFF2-40B4-BE49-F238E27FC236}">
                          <a16:creationId xmlns:a16="http://schemas.microsoft.com/office/drawing/2014/main" id="{B91D197C-EC7D-4A2C-9BB8-B386AA8A0EE0}"/>
                        </a:ext>
                      </a:extLst>
                    </pic:cNvPr>
                    <pic:cNvPicPr>
                      <a:picLocks noChangeAspect="1"/>
                    </pic:cNvPicPr>
                  </pic:nvPicPr>
                  <pic:blipFill>
                    <a:blip r:embed="rId18"/>
                    <a:stretch>
                      <a:fillRect/>
                    </a:stretch>
                  </pic:blipFill>
                  <pic:spPr>
                    <a:xfrm>
                      <a:off x="0" y="0"/>
                      <a:ext cx="5760720" cy="3257550"/>
                    </a:xfrm>
                    <a:prstGeom prst="rect">
                      <a:avLst/>
                    </a:prstGeom>
                  </pic:spPr>
                </pic:pic>
              </a:graphicData>
            </a:graphic>
          </wp:inline>
        </w:drawing>
      </w:r>
    </w:p>
    <w:p w14:paraId="7B106ED2" w14:textId="53F3EFDD" w:rsidR="00DB158D" w:rsidRDefault="00DB158D" w:rsidP="00357946">
      <w:pPr>
        <w:jc w:val="both"/>
        <w:rPr>
          <w:rFonts w:ascii="Arial" w:hAnsi="Arial" w:cs="Arial"/>
          <w:sz w:val="20"/>
          <w:szCs w:val="20"/>
        </w:rPr>
      </w:pPr>
      <w:r>
        <w:rPr>
          <w:rFonts w:ascii="Arial" w:hAnsi="Arial" w:cs="Arial"/>
          <w:sz w:val="20"/>
          <w:szCs w:val="20"/>
        </w:rPr>
        <w:t>Vir: Modra zavarovalnica</w:t>
      </w:r>
    </w:p>
    <w:p w14:paraId="39E0C24D" w14:textId="1FDDD502" w:rsidR="00357946" w:rsidRPr="00C97145" w:rsidRDefault="001B6FC9" w:rsidP="00357946">
      <w:pPr>
        <w:jc w:val="both"/>
        <w:rPr>
          <w:rFonts w:ascii="Arial" w:hAnsi="Arial" w:cs="Arial"/>
          <w:sz w:val="20"/>
          <w:szCs w:val="20"/>
        </w:rPr>
      </w:pPr>
      <w:r>
        <w:rPr>
          <w:rFonts w:ascii="Arial" w:hAnsi="Arial" w:cs="Arial"/>
          <w:sz w:val="20"/>
          <w:szCs w:val="20"/>
        </w:rPr>
        <w:lastRenderedPageBreak/>
        <w:t xml:space="preserve"> </w:t>
      </w:r>
      <w:r w:rsidR="00357946" w:rsidRPr="00C97145">
        <w:rPr>
          <w:rFonts w:ascii="Arial" w:hAnsi="Arial" w:cs="Arial"/>
          <w:sz w:val="20"/>
          <w:szCs w:val="20"/>
        </w:rPr>
        <w:t>Napredovanje zaposlenih, spreminjanje sistemizacij in spremembe v uvrstitvah delovnih mest v plačne razrede (največkrat zaradi pritiskov po povečanju plač posameznih poklicnih skupin) so p</w:t>
      </w:r>
      <w:r w:rsidR="001B24D8" w:rsidRPr="00C97145">
        <w:rPr>
          <w:rFonts w:ascii="Arial" w:hAnsi="Arial" w:cs="Arial"/>
          <w:sz w:val="20"/>
          <w:szCs w:val="20"/>
        </w:rPr>
        <w:t>o</w:t>
      </w:r>
      <w:r w:rsidR="00357946" w:rsidRPr="00C97145">
        <w:rPr>
          <w:rFonts w:ascii="Arial" w:hAnsi="Arial" w:cs="Arial"/>
          <w:sz w:val="20"/>
          <w:szCs w:val="20"/>
        </w:rPr>
        <w:t>vzroči</w:t>
      </w:r>
      <w:r w:rsidR="001B24D8" w:rsidRPr="00C97145">
        <w:rPr>
          <w:rFonts w:ascii="Arial" w:hAnsi="Arial" w:cs="Arial"/>
          <w:sz w:val="20"/>
          <w:szCs w:val="20"/>
        </w:rPr>
        <w:t>le povečanje osnovnih plač, ki je bilo prav tako različno po posameznih plačnih podskupinah.</w:t>
      </w:r>
    </w:p>
    <w:p w14:paraId="21B2B34D" w14:textId="28933616" w:rsidR="004B081F" w:rsidRPr="00C97145" w:rsidRDefault="004B081F" w:rsidP="004B081F">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t xml:space="preserve">Graf </w:t>
      </w:r>
      <w:r w:rsidR="001B6FC9">
        <w:rPr>
          <w:rFonts w:ascii="Arial" w:hAnsi="Arial" w:cs="Arial"/>
          <w:b/>
          <w:bCs/>
          <w:i w:val="0"/>
          <w:iCs w:val="0"/>
          <w:color w:val="auto"/>
          <w:sz w:val="20"/>
          <w:szCs w:val="20"/>
        </w:rPr>
        <w:fldChar w:fldCharType="begin"/>
      </w:r>
      <w:r w:rsidR="001B6FC9">
        <w:rPr>
          <w:rFonts w:ascii="Arial" w:hAnsi="Arial" w:cs="Arial"/>
          <w:b/>
          <w:bCs/>
          <w:i w:val="0"/>
          <w:iCs w:val="0"/>
          <w:color w:val="auto"/>
          <w:sz w:val="20"/>
          <w:szCs w:val="20"/>
        </w:rPr>
        <w:instrText xml:space="preserve"> SEQ Graf \* ARABIC </w:instrText>
      </w:r>
      <w:r w:rsidR="001B6FC9">
        <w:rPr>
          <w:rFonts w:ascii="Arial" w:hAnsi="Arial" w:cs="Arial"/>
          <w:b/>
          <w:bCs/>
          <w:i w:val="0"/>
          <w:iCs w:val="0"/>
          <w:color w:val="auto"/>
          <w:sz w:val="20"/>
          <w:szCs w:val="20"/>
        </w:rPr>
        <w:fldChar w:fldCharType="separate"/>
      </w:r>
      <w:r w:rsidR="001B6FC9">
        <w:rPr>
          <w:rFonts w:ascii="Arial" w:hAnsi="Arial" w:cs="Arial"/>
          <w:b/>
          <w:bCs/>
          <w:i w:val="0"/>
          <w:iCs w:val="0"/>
          <w:noProof/>
          <w:color w:val="auto"/>
          <w:sz w:val="20"/>
          <w:szCs w:val="20"/>
        </w:rPr>
        <w:t>11</w:t>
      </w:r>
      <w:r w:rsidR="001B6FC9">
        <w:rPr>
          <w:rFonts w:ascii="Arial" w:hAnsi="Arial" w:cs="Arial"/>
          <w:b/>
          <w:bCs/>
          <w:i w:val="0"/>
          <w:iCs w:val="0"/>
          <w:color w:val="auto"/>
          <w:sz w:val="20"/>
          <w:szCs w:val="20"/>
        </w:rPr>
        <w:fldChar w:fldCharType="end"/>
      </w:r>
      <w:r w:rsidRPr="00C97145">
        <w:rPr>
          <w:rFonts w:ascii="Arial" w:hAnsi="Arial" w:cs="Arial"/>
          <w:b/>
          <w:bCs/>
          <w:i w:val="0"/>
          <w:iCs w:val="0"/>
          <w:color w:val="auto"/>
          <w:sz w:val="20"/>
          <w:szCs w:val="20"/>
        </w:rPr>
        <w:t>: Rast osnovnih plač plačnih podskupin v VII/2. TR, povečanje števila plačnih razredov, v obdobju 2015-2022</w:t>
      </w:r>
    </w:p>
    <w:p w14:paraId="4F75671C" w14:textId="070005DF" w:rsidR="00357946" w:rsidRPr="00C97145" w:rsidRDefault="00357946" w:rsidP="00357946">
      <w:pPr>
        <w:jc w:val="both"/>
        <w:rPr>
          <w:rFonts w:ascii="Arial" w:hAnsi="Arial" w:cs="Arial"/>
          <w:b/>
          <w:bCs/>
          <w:sz w:val="20"/>
          <w:szCs w:val="20"/>
        </w:rPr>
      </w:pPr>
      <w:r w:rsidRPr="00C97145">
        <w:rPr>
          <w:rFonts w:ascii="Arial" w:hAnsi="Arial" w:cs="Arial"/>
          <w:b/>
          <w:bCs/>
          <w:noProof/>
          <w:sz w:val="20"/>
          <w:szCs w:val="20"/>
        </w:rPr>
        <w:drawing>
          <wp:inline distT="0" distB="0" distL="0" distR="0" wp14:anchorId="66766F17" wp14:editId="4A020E8C">
            <wp:extent cx="5760720" cy="3123565"/>
            <wp:effectExtent l="0" t="0" r="11430" b="635"/>
            <wp:docPr id="6" name="Grafikon 6" descr="Rast osnovnih plač plačnih podskupin v VII/2. TR, povečanje števila plačnih razredov, v obdobju 2015-2022">
              <a:extLst xmlns:a="http://schemas.openxmlformats.org/drawingml/2006/main">
                <a:ext uri="{FF2B5EF4-FFF2-40B4-BE49-F238E27FC236}">
                  <a16:creationId xmlns:a16="http://schemas.microsoft.com/office/drawing/2014/main" id="{3FBD8FE8-CC3D-4D47-A368-CDF691366D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E8E80F8" w14:textId="77777777" w:rsidR="009F05AF" w:rsidRPr="00C97145" w:rsidRDefault="009F05AF" w:rsidP="009F05AF">
      <w:pPr>
        <w:jc w:val="both"/>
        <w:rPr>
          <w:rFonts w:ascii="Arial" w:hAnsi="Arial" w:cs="Arial"/>
          <w:sz w:val="20"/>
          <w:szCs w:val="20"/>
        </w:rPr>
      </w:pPr>
      <w:r w:rsidRPr="00C97145">
        <w:rPr>
          <w:rFonts w:ascii="Arial" w:hAnsi="Arial" w:cs="Arial"/>
          <w:sz w:val="20"/>
          <w:szCs w:val="20"/>
        </w:rPr>
        <w:t>Vir: ISPAP</w:t>
      </w:r>
    </w:p>
    <w:p w14:paraId="1B92C0E9" w14:textId="328EA290" w:rsidR="004B081F" w:rsidRPr="00C97145" w:rsidRDefault="004B081F" w:rsidP="004B081F">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t xml:space="preserve">Graf </w:t>
      </w:r>
      <w:r w:rsidR="001B6FC9">
        <w:rPr>
          <w:rFonts w:ascii="Arial" w:hAnsi="Arial" w:cs="Arial"/>
          <w:b/>
          <w:bCs/>
          <w:i w:val="0"/>
          <w:iCs w:val="0"/>
          <w:color w:val="auto"/>
          <w:sz w:val="20"/>
          <w:szCs w:val="20"/>
        </w:rPr>
        <w:fldChar w:fldCharType="begin"/>
      </w:r>
      <w:r w:rsidR="001B6FC9">
        <w:rPr>
          <w:rFonts w:ascii="Arial" w:hAnsi="Arial" w:cs="Arial"/>
          <w:b/>
          <w:bCs/>
          <w:i w:val="0"/>
          <w:iCs w:val="0"/>
          <w:color w:val="auto"/>
          <w:sz w:val="20"/>
          <w:szCs w:val="20"/>
        </w:rPr>
        <w:instrText xml:space="preserve"> SEQ Graf \* ARABIC </w:instrText>
      </w:r>
      <w:r w:rsidR="001B6FC9">
        <w:rPr>
          <w:rFonts w:ascii="Arial" w:hAnsi="Arial" w:cs="Arial"/>
          <w:b/>
          <w:bCs/>
          <w:i w:val="0"/>
          <w:iCs w:val="0"/>
          <w:color w:val="auto"/>
          <w:sz w:val="20"/>
          <w:szCs w:val="20"/>
        </w:rPr>
        <w:fldChar w:fldCharType="separate"/>
      </w:r>
      <w:r w:rsidR="001B6FC9">
        <w:rPr>
          <w:rFonts w:ascii="Arial" w:hAnsi="Arial" w:cs="Arial"/>
          <w:b/>
          <w:bCs/>
          <w:i w:val="0"/>
          <w:iCs w:val="0"/>
          <w:noProof/>
          <w:color w:val="auto"/>
          <w:sz w:val="20"/>
          <w:szCs w:val="20"/>
        </w:rPr>
        <w:t>12</w:t>
      </w:r>
      <w:r w:rsidR="001B6FC9">
        <w:rPr>
          <w:rFonts w:ascii="Arial" w:hAnsi="Arial" w:cs="Arial"/>
          <w:b/>
          <w:bCs/>
          <w:i w:val="0"/>
          <w:iCs w:val="0"/>
          <w:color w:val="auto"/>
          <w:sz w:val="20"/>
          <w:szCs w:val="20"/>
        </w:rPr>
        <w:fldChar w:fldCharType="end"/>
      </w:r>
      <w:r w:rsidRPr="00C97145">
        <w:rPr>
          <w:rFonts w:ascii="Arial" w:hAnsi="Arial" w:cs="Arial"/>
          <w:b/>
          <w:bCs/>
          <w:i w:val="0"/>
          <w:iCs w:val="0"/>
          <w:color w:val="auto"/>
          <w:sz w:val="20"/>
          <w:szCs w:val="20"/>
        </w:rPr>
        <w:t xml:space="preserve">: Rast osnovnih plač plačnih podskupin v </w:t>
      </w:r>
      <w:proofErr w:type="spellStart"/>
      <w:r w:rsidRPr="00C97145">
        <w:rPr>
          <w:rFonts w:ascii="Arial" w:hAnsi="Arial" w:cs="Arial"/>
          <w:b/>
          <w:bCs/>
          <w:i w:val="0"/>
          <w:iCs w:val="0"/>
          <w:color w:val="auto"/>
          <w:sz w:val="20"/>
          <w:szCs w:val="20"/>
        </w:rPr>
        <w:t>V</w:t>
      </w:r>
      <w:proofErr w:type="spellEnd"/>
      <w:r w:rsidRPr="00C97145">
        <w:rPr>
          <w:rFonts w:ascii="Arial" w:hAnsi="Arial" w:cs="Arial"/>
          <w:b/>
          <w:bCs/>
          <w:i w:val="0"/>
          <w:iCs w:val="0"/>
          <w:color w:val="auto"/>
          <w:sz w:val="20"/>
          <w:szCs w:val="20"/>
        </w:rPr>
        <w:t>. TR , povečanje števila plačnih razredov, v obdobju 2015-2022</w:t>
      </w:r>
    </w:p>
    <w:p w14:paraId="735DC25E" w14:textId="2DC3C61B" w:rsidR="001B24D8" w:rsidRPr="00C97145" w:rsidRDefault="001B24D8" w:rsidP="00357946">
      <w:pPr>
        <w:jc w:val="both"/>
        <w:rPr>
          <w:rFonts w:ascii="Arial" w:hAnsi="Arial" w:cs="Arial"/>
          <w:b/>
          <w:bCs/>
          <w:sz w:val="20"/>
          <w:szCs w:val="20"/>
        </w:rPr>
      </w:pPr>
      <w:r w:rsidRPr="00C97145">
        <w:rPr>
          <w:rFonts w:ascii="Arial" w:hAnsi="Arial" w:cs="Arial"/>
          <w:b/>
          <w:bCs/>
          <w:noProof/>
          <w:sz w:val="20"/>
          <w:szCs w:val="20"/>
        </w:rPr>
        <w:drawing>
          <wp:inline distT="0" distB="0" distL="0" distR="0" wp14:anchorId="4A93C197" wp14:editId="3E24D4DB">
            <wp:extent cx="5760720" cy="3112770"/>
            <wp:effectExtent l="0" t="0" r="11430" b="11430"/>
            <wp:docPr id="9" name="Grafikon 9" descr="Rast osnovnih plač plačnih podskupin v V. TR , povečanje števila plačnih razredov, v obdobju 2015-2022">
              <a:extLst xmlns:a="http://schemas.openxmlformats.org/drawingml/2006/main">
                <a:ext uri="{FF2B5EF4-FFF2-40B4-BE49-F238E27FC236}">
                  <a16:creationId xmlns:a16="http://schemas.microsoft.com/office/drawing/2014/main" id="{B41DAC97-E9A8-48C7-8F3E-4EF2133808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7E4860A" w14:textId="77777777" w:rsidR="00C97145" w:rsidRDefault="003B34D7" w:rsidP="00FA0033">
      <w:pPr>
        <w:rPr>
          <w:rFonts w:ascii="Arial" w:eastAsia="Times New Roman" w:hAnsi="Arial" w:cs="Arial"/>
          <w:b/>
          <w:bCs/>
          <w:sz w:val="20"/>
          <w:szCs w:val="20"/>
          <w:lang w:eastAsia="sl-SI"/>
        </w:rPr>
      </w:pPr>
      <w:r w:rsidRPr="00C97145">
        <w:rPr>
          <w:rFonts w:ascii="Arial" w:eastAsia="Times New Roman" w:hAnsi="Arial" w:cs="Arial"/>
          <w:sz w:val="20"/>
          <w:szCs w:val="20"/>
          <w:lang w:eastAsia="sl-SI"/>
        </w:rPr>
        <w:t xml:space="preserve">Opomba:  Podatki za plačni podskupini E4* (prehod dela zaposlenih iz J2 in J3 v E4 novembra 2021) in C3** (preglednica spodaj) niso reprezentativni. Če v C3 opazujemo zaposlene v </w:t>
      </w:r>
      <w:proofErr w:type="spellStart"/>
      <w:r w:rsidRPr="00C97145">
        <w:rPr>
          <w:rFonts w:ascii="Arial" w:eastAsia="Times New Roman" w:hAnsi="Arial" w:cs="Arial"/>
          <w:sz w:val="20"/>
          <w:szCs w:val="20"/>
          <w:lang w:eastAsia="sl-SI"/>
        </w:rPr>
        <w:t>V</w:t>
      </w:r>
      <w:proofErr w:type="spellEnd"/>
      <w:r w:rsidRPr="00C97145">
        <w:rPr>
          <w:rFonts w:ascii="Arial" w:eastAsia="Times New Roman" w:hAnsi="Arial" w:cs="Arial"/>
          <w:sz w:val="20"/>
          <w:szCs w:val="20"/>
          <w:lang w:eastAsia="sl-SI"/>
        </w:rPr>
        <w:t>. in VI. TR, je razlika v povprečnem PR 6,3 PR</w:t>
      </w:r>
      <w:r w:rsidRPr="00C97145">
        <w:rPr>
          <w:rFonts w:ascii="Arial" w:eastAsia="Times New Roman" w:hAnsi="Arial" w:cs="Arial"/>
          <w:b/>
          <w:bCs/>
          <w:sz w:val="20"/>
          <w:szCs w:val="20"/>
          <w:lang w:eastAsia="sl-SI"/>
        </w:rPr>
        <w:t xml:space="preserve"> </w:t>
      </w:r>
    </w:p>
    <w:p w14:paraId="1E784C8D" w14:textId="282E6BA6" w:rsidR="00B20E61" w:rsidRPr="00C97145" w:rsidRDefault="003B34D7" w:rsidP="00FA0033">
      <w:pPr>
        <w:rPr>
          <w:rFonts w:ascii="Arial" w:eastAsia="Times New Roman" w:hAnsi="Arial" w:cs="Arial"/>
          <w:sz w:val="20"/>
          <w:szCs w:val="20"/>
          <w:lang w:eastAsia="sl-SI"/>
        </w:rPr>
      </w:pPr>
      <w:r w:rsidRPr="00C97145">
        <w:rPr>
          <w:rFonts w:ascii="Arial" w:eastAsia="Times New Roman" w:hAnsi="Arial" w:cs="Arial"/>
          <w:noProof/>
          <w:sz w:val="20"/>
          <w:szCs w:val="20"/>
          <w:lang w:eastAsia="sl-SI"/>
        </w:rPr>
        <w:lastRenderedPageBreak/>
        <w:drawing>
          <wp:inline distT="0" distB="0" distL="0" distR="0" wp14:anchorId="2179BEE7" wp14:editId="5AD55591">
            <wp:extent cx="5760720" cy="666115"/>
            <wp:effectExtent l="0" t="0" r="0" b="0"/>
            <wp:docPr id="7" name="Slika 2" descr="Število zaposlenih V, TR in število zaposlenih VI, TR januarja 2015 in junija 2022">
              <a:extLst xmlns:a="http://schemas.openxmlformats.org/drawingml/2006/main">
                <a:ext uri="{FF2B5EF4-FFF2-40B4-BE49-F238E27FC236}">
                  <a16:creationId xmlns:a16="http://schemas.microsoft.com/office/drawing/2014/main" id="{410A84BF-C0FA-4406-8784-F84A531654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2" descr="Število zaposlenih V, TR in število zaposlenih VI, TR januarja 2015 in junija 2022">
                      <a:extLst>
                        <a:ext uri="{FF2B5EF4-FFF2-40B4-BE49-F238E27FC236}">
                          <a16:creationId xmlns:a16="http://schemas.microsoft.com/office/drawing/2014/main" id="{410A84BF-C0FA-4406-8784-F84A5316545A}"/>
                        </a:ext>
                      </a:extLst>
                    </pic:cNvPr>
                    <pic:cNvPicPr>
                      <a:picLocks noChangeAspect="1"/>
                    </pic:cNvPicPr>
                  </pic:nvPicPr>
                  <pic:blipFill>
                    <a:blip r:embed="rId21"/>
                    <a:stretch>
                      <a:fillRect/>
                    </a:stretch>
                  </pic:blipFill>
                  <pic:spPr>
                    <a:xfrm>
                      <a:off x="0" y="0"/>
                      <a:ext cx="5760720" cy="666115"/>
                    </a:xfrm>
                    <a:prstGeom prst="rect">
                      <a:avLst/>
                    </a:prstGeom>
                  </pic:spPr>
                </pic:pic>
              </a:graphicData>
            </a:graphic>
          </wp:inline>
        </w:drawing>
      </w:r>
    </w:p>
    <w:p w14:paraId="5341675C" w14:textId="78D009A4" w:rsidR="00FA0033" w:rsidRPr="00C97145" w:rsidRDefault="00FA0033" w:rsidP="00FA0033">
      <w:pPr>
        <w:rPr>
          <w:rFonts w:ascii="Arial" w:eastAsia="Times New Roman" w:hAnsi="Arial" w:cs="Arial"/>
          <w:sz w:val="20"/>
          <w:szCs w:val="20"/>
          <w:lang w:eastAsia="sl-SI"/>
        </w:rPr>
      </w:pPr>
      <w:r w:rsidRPr="00C97145">
        <w:rPr>
          <w:rFonts w:ascii="Arial" w:eastAsia="Times New Roman" w:hAnsi="Arial" w:cs="Arial"/>
          <w:sz w:val="20"/>
          <w:szCs w:val="20"/>
          <w:lang w:eastAsia="sl-SI"/>
        </w:rPr>
        <w:t xml:space="preserve">Dodatno so </w:t>
      </w:r>
      <w:r w:rsidR="009D0576" w:rsidRPr="00C97145">
        <w:rPr>
          <w:rFonts w:ascii="Arial" w:eastAsia="Times New Roman" w:hAnsi="Arial" w:cs="Arial"/>
          <w:sz w:val="20"/>
          <w:szCs w:val="20"/>
          <w:lang w:eastAsia="sl-SI"/>
        </w:rPr>
        <w:t xml:space="preserve">na </w:t>
      </w:r>
      <w:r w:rsidRPr="00C97145">
        <w:rPr>
          <w:rFonts w:ascii="Arial" w:eastAsia="Times New Roman" w:hAnsi="Arial" w:cs="Arial"/>
          <w:sz w:val="20"/>
          <w:szCs w:val="20"/>
          <w:lang w:eastAsia="sl-SI"/>
        </w:rPr>
        <w:t>razlike v gibanju plač v</w:t>
      </w:r>
      <w:r w:rsidR="009D0576" w:rsidRPr="00C97145">
        <w:rPr>
          <w:rFonts w:ascii="Arial" w:eastAsia="Times New Roman" w:hAnsi="Arial" w:cs="Arial"/>
          <w:sz w:val="20"/>
          <w:szCs w:val="20"/>
          <w:lang w:eastAsia="sl-SI"/>
        </w:rPr>
        <w:t>p</w:t>
      </w:r>
      <w:r w:rsidRPr="00C97145">
        <w:rPr>
          <w:rFonts w:ascii="Arial" w:eastAsia="Times New Roman" w:hAnsi="Arial" w:cs="Arial"/>
          <w:sz w:val="20"/>
          <w:szCs w:val="20"/>
          <w:lang w:eastAsia="sl-SI"/>
        </w:rPr>
        <w:t xml:space="preserve">livali tudi različni dodatki in drugi </w:t>
      </w:r>
      <w:r w:rsidRPr="00C97145">
        <w:rPr>
          <w:rFonts w:ascii="Arial" w:eastAsia="Times New Roman" w:hAnsi="Arial" w:cs="Arial"/>
          <w:color w:val="000000" w:themeColor="text1"/>
          <w:sz w:val="20"/>
          <w:szCs w:val="20"/>
          <w:lang w:eastAsia="sl-SI"/>
        </w:rPr>
        <w:t xml:space="preserve">načini </w:t>
      </w:r>
      <w:r w:rsidRPr="00C97145">
        <w:rPr>
          <w:rFonts w:ascii="Arial" w:eastAsia="Times New Roman" w:hAnsi="Arial" w:cs="Arial"/>
          <w:sz w:val="20"/>
          <w:szCs w:val="20"/>
          <w:lang w:eastAsia="sl-SI"/>
        </w:rPr>
        <w:t>za povečevanje p</w:t>
      </w:r>
      <w:r w:rsidR="00310E1A" w:rsidRPr="00C97145">
        <w:rPr>
          <w:rFonts w:ascii="Arial" w:eastAsia="Times New Roman" w:hAnsi="Arial" w:cs="Arial"/>
          <w:sz w:val="20"/>
          <w:szCs w:val="20"/>
          <w:lang w:eastAsia="sl-SI"/>
        </w:rPr>
        <w:t>l</w:t>
      </w:r>
      <w:r w:rsidRPr="00C97145">
        <w:rPr>
          <w:rFonts w:ascii="Arial" w:eastAsia="Times New Roman" w:hAnsi="Arial" w:cs="Arial"/>
          <w:sz w:val="20"/>
          <w:szCs w:val="20"/>
          <w:lang w:eastAsia="sl-SI"/>
        </w:rPr>
        <w:t>ač</w:t>
      </w:r>
      <w:r w:rsidR="00C97145" w:rsidRPr="00C97145">
        <w:rPr>
          <w:rFonts w:ascii="Arial" w:eastAsia="Times New Roman" w:hAnsi="Arial" w:cs="Arial"/>
          <w:sz w:val="20"/>
          <w:szCs w:val="20"/>
          <w:lang w:eastAsia="sl-SI"/>
        </w:rPr>
        <w:t>:</w:t>
      </w:r>
      <w:r w:rsidRPr="00C97145">
        <w:rPr>
          <w:rFonts w:ascii="Arial" w:eastAsia="Times New Roman" w:hAnsi="Arial" w:cs="Arial"/>
          <w:sz w:val="20"/>
          <w:szCs w:val="20"/>
          <w:lang w:eastAsia="sl-SI"/>
        </w:rPr>
        <w:t xml:space="preserve"> </w:t>
      </w:r>
    </w:p>
    <w:tbl>
      <w:tblPr>
        <w:tblStyle w:val="Tabelamrea"/>
        <w:tblW w:w="0" w:type="auto"/>
        <w:tblLook w:val="04A0" w:firstRow="1" w:lastRow="0" w:firstColumn="1" w:lastColumn="0" w:noHBand="0" w:noVBand="1"/>
      </w:tblPr>
      <w:tblGrid>
        <w:gridCol w:w="9062"/>
      </w:tblGrid>
      <w:tr w:rsidR="00FA0033" w:rsidRPr="00C97145" w14:paraId="691B8958" w14:textId="77777777" w:rsidTr="002470F7">
        <w:tc>
          <w:tcPr>
            <w:tcW w:w="9062" w:type="dxa"/>
          </w:tcPr>
          <w:p w14:paraId="0F271349" w14:textId="77777777" w:rsidR="00FA0033" w:rsidRPr="00C97145" w:rsidRDefault="00FA0033" w:rsidP="002470F7">
            <w:pPr>
              <w:rPr>
                <w:rFonts w:ascii="Arial" w:hAnsi="Arial" w:cs="Arial"/>
                <w:b/>
                <w:bCs/>
                <w:sz w:val="20"/>
                <w:szCs w:val="20"/>
                <w:u w:val="single"/>
              </w:rPr>
            </w:pPr>
            <w:r w:rsidRPr="00C97145">
              <w:rPr>
                <w:rFonts w:ascii="Arial" w:eastAsia="Times New Roman" w:hAnsi="Arial" w:cs="Arial"/>
                <w:b/>
                <w:bCs/>
                <w:sz w:val="20"/>
                <w:szCs w:val="20"/>
                <w:u w:val="single"/>
                <w:lang w:eastAsia="sl-SI"/>
              </w:rPr>
              <w:t>PLAČNA PODSKUPINA C1 – Uradniki v drugih državnih organih</w:t>
            </w:r>
          </w:p>
        </w:tc>
      </w:tr>
      <w:tr w:rsidR="00FA0033" w:rsidRPr="00C97145" w14:paraId="6746D87E" w14:textId="77777777" w:rsidTr="002470F7">
        <w:tc>
          <w:tcPr>
            <w:tcW w:w="9062" w:type="dxa"/>
          </w:tcPr>
          <w:p w14:paraId="6070ED27" w14:textId="77777777" w:rsidR="00FA0033" w:rsidRPr="00C97145" w:rsidRDefault="00FA0033" w:rsidP="002470F7">
            <w:pPr>
              <w:rPr>
                <w:rFonts w:ascii="Arial" w:eastAsia="Times New Roman" w:hAnsi="Arial" w:cs="Arial"/>
                <w:sz w:val="20"/>
                <w:szCs w:val="20"/>
                <w:lang w:eastAsia="sl-SI"/>
              </w:rPr>
            </w:pPr>
            <w:r w:rsidRPr="00C97145">
              <w:rPr>
                <w:rFonts w:ascii="Arial" w:eastAsia="Times New Roman" w:hAnsi="Arial" w:cs="Arial"/>
                <w:sz w:val="20"/>
                <w:szCs w:val="20"/>
                <w:lang w:eastAsia="sl-SI"/>
              </w:rPr>
              <w:t>a) uvrščanje delovnih mest in nazivov v plačne razrede s svojimi akti (tretji odstavek 13. člena ZPSJS)</w:t>
            </w:r>
          </w:p>
        </w:tc>
      </w:tr>
      <w:tr w:rsidR="00FA0033" w:rsidRPr="00C97145" w14:paraId="3A4ADFC4" w14:textId="77777777" w:rsidTr="002470F7">
        <w:tc>
          <w:tcPr>
            <w:tcW w:w="9062" w:type="dxa"/>
          </w:tcPr>
          <w:p w14:paraId="23EC461F" w14:textId="225C09E2" w:rsidR="00FA0033" w:rsidRPr="00C97145" w:rsidRDefault="00FA0033" w:rsidP="002470F7">
            <w:pPr>
              <w:spacing w:after="0" w:line="240" w:lineRule="auto"/>
              <w:rPr>
                <w:rFonts w:ascii="Arial" w:hAnsi="Arial" w:cs="Arial"/>
                <w:sz w:val="20"/>
                <w:szCs w:val="20"/>
              </w:rPr>
            </w:pPr>
            <w:r w:rsidRPr="00C97145">
              <w:rPr>
                <w:rFonts w:ascii="Arial" w:eastAsia="Times New Roman" w:hAnsi="Arial" w:cs="Arial"/>
                <w:sz w:val="20"/>
                <w:szCs w:val="20"/>
                <w:lang w:eastAsia="sl-SI"/>
              </w:rPr>
              <w:t xml:space="preserve">b) </w:t>
            </w:r>
            <w:r w:rsidRPr="00C97145">
              <w:rPr>
                <w:rFonts w:ascii="Arial" w:hAnsi="Arial" w:cs="Arial"/>
                <w:sz w:val="20"/>
                <w:szCs w:val="20"/>
              </w:rPr>
              <w:t xml:space="preserve">dodatek v službi poslanske skupine: </w:t>
            </w:r>
            <w:r w:rsidRPr="00EE4C2B">
              <w:rPr>
                <w:rFonts w:ascii="Arial" w:hAnsi="Arial" w:cs="Arial"/>
                <w:sz w:val="20"/>
                <w:szCs w:val="20"/>
                <w:lang w:eastAsia="sl-SI"/>
              </w:rPr>
              <w:t>v višini 12</w:t>
            </w:r>
            <w:r w:rsidR="00B560C2" w:rsidRPr="00EE4C2B">
              <w:rPr>
                <w:rFonts w:ascii="Arial" w:hAnsi="Arial" w:cs="Arial"/>
                <w:sz w:val="20"/>
                <w:szCs w:val="20"/>
                <w:lang w:eastAsia="sl-SI"/>
              </w:rPr>
              <w:t xml:space="preserve"> odstotkov</w:t>
            </w:r>
            <w:r w:rsidRPr="00EE4C2B">
              <w:rPr>
                <w:rFonts w:ascii="Arial" w:hAnsi="Arial" w:cs="Arial"/>
                <w:sz w:val="20"/>
                <w:szCs w:val="20"/>
                <w:lang w:eastAsia="sl-SI"/>
              </w:rPr>
              <w:t xml:space="preserve"> osnovne plače</w:t>
            </w:r>
            <w:r w:rsidRPr="00C97145">
              <w:rPr>
                <w:rFonts w:ascii="Arial" w:hAnsi="Arial" w:cs="Arial"/>
                <w:sz w:val="20"/>
                <w:szCs w:val="20"/>
                <w:lang w:eastAsia="sl-SI"/>
              </w:rPr>
              <w:t xml:space="preserve"> javnega uslužbenca</w:t>
            </w:r>
            <w:r w:rsidR="00B457BD" w:rsidRPr="00C97145">
              <w:rPr>
                <w:rFonts w:ascii="Arial" w:hAnsi="Arial" w:cs="Arial"/>
                <w:sz w:val="20"/>
                <w:szCs w:val="20"/>
                <w:lang w:eastAsia="sl-SI"/>
              </w:rPr>
              <w:t xml:space="preserve">, pri sklenitvi pogodbe o zaposlitvi za določen čas </w:t>
            </w:r>
            <w:r w:rsidR="00535DB4" w:rsidRPr="00C97145">
              <w:rPr>
                <w:rFonts w:ascii="Arial" w:hAnsi="Arial" w:cs="Arial"/>
                <w:sz w:val="20"/>
                <w:szCs w:val="20"/>
                <w:lang w:eastAsia="sl-SI"/>
              </w:rPr>
              <w:t>(prvi odstavek 16. člena Zakona o Državnem zboru)</w:t>
            </w:r>
          </w:p>
        </w:tc>
      </w:tr>
    </w:tbl>
    <w:p w14:paraId="65772723" w14:textId="77777777" w:rsidR="00FA0033" w:rsidRPr="00C97145" w:rsidRDefault="00FA0033" w:rsidP="00FA0033">
      <w:pPr>
        <w:rPr>
          <w:rFonts w:ascii="Arial" w:hAnsi="Arial" w:cs="Arial"/>
          <w:sz w:val="20"/>
          <w:szCs w:val="20"/>
        </w:rPr>
      </w:pPr>
    </w:p>
    <w:tbl>
      <w:tblPr>
        <w:tblStyle w:val="Tabelamrea"/>
        <w:tblW w:w="0" w:type="auto"/>
        <w:tblLook w:val="04A0" w:firstRow="1" w:lastRow="0" w:firstColumn="1" w:lastColumn="0" w:noHBand="0" w:noVBand="1"/>
      </w:tblPr>
      <w:tblGrid>
        <w:gridCol w:w="9062"/>
      </w:tblGrid>
      <w:tr w:rsidR="00FA0033" w:rsidRPr="00C97145" w14:paraId="5C3E6904" w14:textId="77777777" w:rsidTr="002470F7">
        <w:tc>
          <w:tcPr>
            <w:tcW w:w="9062" w:type="dxa"/>
          </w:tcPr>
          <w:p w14:paraId="272547C0" w14:textId="055115AD" w:rsidR="00FA0033" w:rsidRPr="00C97145" w:rsidRDefault="00FA0033" w:rsidP="002470F7">
            <w:pPr>
              <w:rPr>
                <w:rFonts w:ascii="Arial" w:eastAsia="Times New Roman" w:hAnsi="Arial" w:cs="Arial"/>
                <w:b/>
                <w:bCs/>
                <w:sz w:val="20"/>
                <w:szCs w:val="20"/>
                <w:u w:val="single"/>
                <w:lang w:eastAsia="sl-SI"/>
              </w:rPr>
            </w:pPr>
            <w:r w:rsidRPr="00C97145">
              <w:rPr>
                <w:rFonts w:ascii="Arial" w:eastAsia="Times New Roman" w:hAnsi="Arial" w:cs="Arial"/>
                <w:b/>
                <w:bCs/>
                <w:sz w:val="20"/>
                <w:szCs w:val="20"/>
                <w:u w:val="single"/>
                <w:lang w:eastAsia="sl-SI"/>
              </w:rPr>
              <w:t xml:space="preserve">PLAČNA PODSKUPINA C3 -  </w:t>
            </w:r>
            <w:r w:rsidR="00924955" w:rsidRPr="00C97145">
              <w:rPr>
                <w:rFonts w:ascii="Arial" w:eastAsia="Times New Roman" w:hAnsi="Arial" w:cs="Arial"/>
                <w:b/>
                <w:bCs/>
                <w:sz w:val="20"/>
                <w:szCs w:val="20"/>
                <w:u w:val="single"/>
                <w:lang w:eastAsia="sl-SI"/>
              </w:rPr>
              <w:t>P</w:t>
            </w:r>
            <w:r w:rsidRPr="00C97145">
              <w:rPr>
                <w:rFonts w:ascii="Arial" w:eastAsia="Times New Roman" w:hAnsi="Arial" w:cs="Arial"/>
                <w:b/>
                <w:bCs/>
                <w:sz w:val="20"/>
                <w:szCs w:val="20"/>
                <w:u w:val="single"/>
                <w:lang w:eastAsia="sl-SI"/>
              </w:rPr>
              <w:t>olicisti</w:t>
            </w:r>
          </w:p>
        </w:tc>
      </w:tr>
      <w:tr w:rsidR="00FA0033" w:rsidRPr="00C97145" w14:paraId="456A08BA" w14:textId="77777777" w:rsidTr="002470F7">
        <w:tc>
          <w:tcPr>
            <w:tcW w:w="9062" w:type="dxa"/>
          </w:tcPr>
          <w:p w14:paraId="614F973E" w14:textId="23F770D2" w:rsidR="00FA0033" w:rsidRPr="00C97145" w:rsidRDefault="00FA0033" w:rsidP="002470F7">
            <w:pPr>
              <w:jc w:val="both"/>
              <w:rPr>
                <w:rFonts w:ascii="Arial" w:hAnsi="Arial" w:cs="Arial"/>
                <w:sz w:val="20"/>
                <w:szCs w:val="20"/>
              </w:rPr>
            </w:pPr>
            <w:r w:rsidRPr="00C97145">
              <w:rPr>
                <w:rFonts w:ascii="Arial" w:hAnsi="Arial" w:cs="Arial"/>
                <w:sz w:val="20"/>
                <w:szCs w:val="20"/>
              </w:rPr>
              <w:t xml:space="preserve">a) </w:t>
            </w:r>
            <w:r w:rsidR="00535DB4" w:rsidRPr="00C97145">
              <w:rPr>
                <w:rFonts w:ascii="Arial" w:hAnsi="Arial" w:cs="Arial"/>
                <w:sz w:val="20"/>
                <w:szCs w:val="20"/>
              </w:rPr>
              <w:t>u</w:t>
            </w:r>
            <w:r w:rsidRPr="00C97145">
              <w:rPr>
                <w:rFonts w:ascii="Arial" w:hAnsi="Arial" w:cs="Arial"/>
                <w:sz w:val="20"/>
                <w:szCs w:val="20"/>
              </w:rPr>
              <w:t>vrščanje delovnih mest in nazivov s svojim splošnim aktom: delovna mesta in nazivi v obveščevalnih in varnostnih službah</w:t>
            </w:r>
            <w:r w:rsidR="00C97145">
              <w:rPr>
                <w:rFonts w:ascii="Arial" w:hAnsi="Arial" w:cs="Arial"/>
                <w:sz w:val="20"/>
                <w:szCs w:val="20"/>
              </w:rPr>
              <w:t xml:space="preserve"> (npr. NPU)</w:t>
            </w:r>
            <w:r w:rsidRPr="00C97145">
              <w:rPr>
                <w:rFonts w:ascii="Arial" w:hAnsi="Arial" w:cs="Arial"/>
                <w:sz w:val="20"/>
                <w:szCs w:val="20"/>
              </w:rPr>
              <w:t xml:space="preserve"> </w:t>
            </w:r>
            <w:r w:rsidR="00716B88" w:rsidRPr="00C97145">
              <w:rPr>
                <w:rFonts w:ascii="Arial" w:hAnsi="Arial" w:cs="Arial"/>
                <w:sz w:val="20"/>
                <w:szCs w:val="20"/>
              </w:rPr>
              <w:t>(šesti odstavek 13. člena ZSPJS)</w:t>
            </w:r>
          </w:p>
        </w:tc>
      </w:tr>
      <w:tr w:rsidR="00FA0033" w:rsidRPr="00C97145" w14:paraId="475A6A3A" w14:textId="77777777" w:rsidTr="002470F7">
        <w:tc>
          <w:tcPr>
            <w:tcW w:w="9062" w:type="dxa"/>
          </w:tcPr>
          <w:p w14:paraId="0FDDB44B" w14:textId="77777777" w:rsidR="00FA0033" w:rsidRPr="00C97145" w:rsidRDefault="00FA0033" w:rsidP="002470F7">
            <w:pPr>
              <w:rPr>
                <w:rFonts w:ascii="Arial" w:hAnsi="Arial" w:cs="Arial"/>
                <w:sz w:val="20"/>
                <w:szCs w:val="20"/>
              </w:rPr>
            </w:pPr>
            <w:r w:rsidRPr="00C97145">
              <w:rPr>
                <w:rFonts w:ascii="Arial" w:hAnsi="Arial" w:cs="Arial"/>
                <w:sz w:val="20"/>
                <w:szCs w:val="20"/>
              </w:rPr>
              <w:t>b) dodatki</w:t>
            </w:r>
          </w:p>
        </w:tc>
      </w:tr>
      <w:tr w:rsidR="00FA0033" w:rsidRPr="00C97145" w14:paraId="00455DC1" w14:textId="77777777" w:rsidTr="002470F7">
        <w:tc>
          <w:tcPr>
            <w:tcW w:w="9062" w:type="dxa"/>
          </w:tcPr>
          <w:p w14:paraId="72AA09C2" w14:textId="634ABCF6" w:rsidR="00FA0033" w:rsidRPr="00C97145" w:rsidRDefault="00924955" w:rsidP="002470F7">
            <w:pPr>
              <w:jc w:val="both"/>
              <w:rPr>
                <w:rFonts w:ascii="Arial" w:eastAsia="Times New Roman" w:hAnsi="Arial" w:cs="Arial"/>
                <w:sz w:val="20"/>
                <w:szCs w:val="20"/>
                <w:lang w:eastAsia="sl-SI"/>
              </w:rPr>
            </w:pPr>
            <w:r w:rsidRPr="00C97145">
              <w:rPr>
                <w:rFonts w:ascii="Arial" w:eastAsia="Times New Roman" w:hAnsi="Arial" w:cs="Arial"/>
                <w:sz w:val="20"/>
                <w:szCs w:val="20"/>
                <w:lang w:eastAsia="sl-SI"/>
              </w:rPr>
              <w:t>-</w:t>
            </w:r>
            <w:r w:rsidR="00FA0033" w:rsidRPr="00C97145">
              <w:rPr>
                <w:rFonts w:ascii="Arial" w:hAnsi="Arial" w:cs="Arial"/>
                <w:sz w:val="20"/>
                <w:szCs w:val="20"/>
              </w:rPr>
              <w:t xml:space="preserve"> </w:t>
            </w:r>
            <w:r w:rsidR="00FA0033" w:rsidRPr="00C97145">
              <w:rPr>
                <w:rFonts w:ascii="Arial" w:eastAsia="Times New Roman" w:hAnsi="Arial" w:cs="Arial"/>
                <w:sz w:val="20"/>
                <w:szCs w:val="20"/>
                <w:lang w:eastAsia="sl-SI"/>
              </w:rPr>
              <w:t xml:space="preserve">dodatek za stalnost: </w:t>
            </w:r>
            <w:r w:rsidR="00716B88" w:rsidRPr="00C97145">
              <w:rPr>
                <w:rFonts w:ascii="Arial" w:hAnsi="Arial" w:cs="Arial"/>
                <w:sz w:val="20"/>
                <w:szCs w:val="20"/>
                <w:lang w:eastAsia="sl-SI"/>
              </w:rPr>
              <w:t>0,33</w:t>
            </w:r>
            <w:r w:rsidR="00410F5C">
              <w:rPr>
                <w:rFonts w:ascii="Arial" w:hAnsi="Arial" w:cs="Arial"/>
                <w:sz w:val="20"/>
                <w:szCs w:val="20"/>
                <w:lang w:eastAsia="sl-SI"/>
              </w:rPr>
              <w:t xml:space="preserve"> odstotka </w:t>
            </w:r>
            <w:r w:rsidR="00716B88" w:rsidRPr="00C97145">
              <w:rPr>
                <w:rFonts w:ascii="Arial" w:hAnsi="Arial" w:cs="Arial"/>
                <w:sz w:val="20"/>
                <w:szCs w:val="20"/>
                <w:lang w:eastAsia="sl-SI"/>
              </w:rPr>
              <w:t>osnovne plače (</w:t>
            </w:r>
            <w:r w:rsidR="00FA0033" w:rsidRPr="00C97145">
              <w:rPr>
                <w:rFonts w:ascii="Arial" w:hAnsi="Arial" w:cs="Arial"/>
                <w:sz w:val="20"/>
                <w:szCs w:val="20"/>
                <w:lang w:eastAsia="sl-SI"/>
              </w:rPr>
              <w:t>86. člen Zakona o policiji</w:t>
            </w:r>
            <w:r w:rsidR="00716B88" w:rsidRPr="00C97145">
              <w:rPr>
                <w:rFonts w:ascii="Arial" w:hAnsi="Arial" w:cs="Arial"/>
                <w:sz w:val="20"/>
                <w:szCs w:val="20"/>
                <w:lang w:eastAsia="sl-SI"/>
              </w:rPr>
              <w:t>)</w:t>
            </w:r>
          </w:p>
        </w:tc>
      </w:tr>
      <w:tr w:rsidR="00FA0033" w:rsidRPr="00C97145" w14:paraId="731B5BA2" w14:textId="77777777" w:rsidTr="002470F7">
        <w:tc>
          <w:tcPr>
            <w:tcW w:w="9062" w:type="dxa"/>
          </w:tcPr>
          <w:p w14:paraId="002A5569" w14:textId="042E93A0" w:rsidR="00FA0033" w:rsidRPr="00C97145" w:rsidRDefault="00FA0033" w:rsidP="002470F7">
            <w:pPr>
              <w:rPr>
                <w:rFonts w:ascii="Arial" w:hAnsi="Arial" w:cs="Arial"/>
                <w:sz w:val="20"/>
                <w:szCs w:val="20"/>
                <w:lang w:eastAsia="sl-SI"/>
              </w:rPr>
            </w:pPr>
            <w:r w:rsidRPr="00C97145">
              <w:rPr>
                <w:rFonts w:ascii="Arial" w:eastAsia="Times New Roman" w:hAnsi="Arial" w:cs="Arial"/>
                <w:sz w:val="20"/>
                <w:szCs w:val="20"/>
                <w:lang w:eastAsia="sl-SI"/>
              </w:rPr>
              <w:t>- dodatek zaradi prepovedi stavke:</w:t>
            </w:r>
            <w:r w:rsidRPr="00C97145">
              <w:rPr>
                <w:rFonts w:ascii="Arial" w:hAnsi="Arial" w:cs="Arial"/>
                <w:sz w:val="20"/>
                <w:szCs w:val="20"/>
                <w:lang w:eastAsia="sl-SI"/>
              </w:rPr>
              <w:t xml:space="preserve"> </w:t>
            </w:r>
            <w:r w:rsidR="00B457BD" w:rsidRPr="00C97145">
              <w:rPr>
                <w:rFonts w:ascii="Arial" w:eastAsia="Times New Roman" w:hAnsi="Arial" w:cs="Arial"/>
                <w:sz w:val="20"/>
                <w:szCs w:val="20"/>
                <w:lang w:eastAsia="sl-SI"/>
              </w:rPr>
              <w:t xml:space="preserve">za čas, ko nimajo pravice do stavke </w:t>
            </w:r>
            <w:r w:rsidR="00B457BD" w:rsidRPr="00C97145">
              <w:rPr>
                <w:rFonts w:ascii="Arial" w:hAnsi="Arial" w:cs="Arial"/>
                <w:sz w:val="20"/>
                <w:szCs w:val="20"/>
              </w:rPr>
              <w:t xml:space="preserve">(v času naravnih in drugih nesreč velikega obsega in drugih izjemnih okoliščinah, krizi, vojnem ali izrednem stanju): </w:t>
            </w:r>
            <w:r w:rsidRPr="00C97145">
              <w:rPr>
                <w:rFonts w:ascii="Arial" w:hAnsi="Arial" w:cs="Arial"/>
                <w:sz w:val="20"/>
                <w:szCs w:val="20"/>
                <w:lang w:eastAsia="sl-SI"/>
              </w:rPr>
              <w:t>2</w:t>
            </w:r>
            <w:r w:rsidR="00B560C2" w:rsidRPr="00C97145">
              <w:rPr>
                <w:rFonts w:ascii="Arial" w:hAnsi="Arial" w:cs="Arial"/>
                <w:sz w:val="20"/>
                <w:szCs w:val="20"/>
                <w:lang w:eastAsia="sl-SI"/>
              </w:rPr>
              <w:t xml:space="preserve"> odstotka</w:t>
            </w:r>
            <w:r w:rsidRPr="00C97145">
              <w:rPr>
                <w:rFonts w:ascii="Arial" w:hAnsi="Arial" w:cs="Arial"/>
                <w:sz w:val="20"/>
                <w:szCs w:val="20"/>
                <w:lang w:eastAsia="sl-SI"/>
              </w:rPr>
              <w:t xml:space="preserve"> povprečne zadnje mesečne bruto plače v RS</w:t>
            </w:r>
            <w:r w:rsidR="00716B88" w:rsidRPr="00C97145">
              <w:rPr>
                <w:rFonts w:ascii="Arial" w:hAnsi="Arial" w:cs="Arial"/>
                <w:sz w:val="20"/>
                <w:szCs w:val="20"/>
                <w:lang w:eastAsia="sl-SI"/>
              </w:rPr>
              <w:t xml:space="preserve"> (76. člen </w:t>
            </w:r>
            <w:r w:rsidR="00716B88" w:rsidRPr="00C97145">
              <w:rPr>
                <w:rFonts w:ascii="Arial" w:hAnsi="Arial" w:cs="Arial"/>
                <w:sz w:val="20"/>
                <w:szCs w:val="20"/>
              </w:rPr>
              <w:t>Zakona o organiziranosti in delu v policiji)</w:t>
            </w:r>
          </w:p>
        </w:tc>
      </w:tr>
      <w:tr w:rsidR="00FA0033" w:rsidRPr="00C97145" w14:paraId="77037919" w14:textId="77777777" w:rsidTr="002470F7">
        <w:tc>
          <w:tcPr>
            <w:tcW w:w="9062" w:type="dxa"/>
          </w:tcPr>
          <w:p w14:paraId="7B9750CB" w14:textId="77777777" w:rsidR="00FA0033" w:rsidRPr="00C97145" w:rsidRDefault="00FA0033" w:rsidP="002470F7">
            <w:pPr>
              <w:rPr>
                <w:rFonts w:ascii="Arial" w:hAnsi="Arial" w:cs="Arial"/>
                <w:sz w:val="20"/>
                <w:szCs w:val="20"/>
              </w:rPr>
            </w:pPr>
            <w:r w:rsidRPr="00C97145">
              <w:rPr>
                <w:rFonts w:ascii="Arial" w:hAnsi="Arial" w:cs="Arial"/>
                <w:sz w:val="20"/>
                <w:szCs w:val="20"/>
              </w:rPr>
              <w:t>c) delovna uspešnost</w:t>
            </w:r>
          </w:p>
        </w:tc>
      </w:tr>
      <w:tr w:rsidR="00FA0033" w:rsidRPr="00C97145" w14:paraId="34EF6DC5" w14:textId="77777777" w:rsidTr="002470F7">
        <w:tc>
          <w:tcPr>
            <w:tcW w:w="9062" w:type="dxa"/>
          </w:tcPr>
          <w:p w14:paraId="5B49AFF0" w14:textId="09E21D85" w:rsidR="00FA0033" w:rsidRPr="00C97145" w:rsidRDefault="00FA0033" w:rsidP="002470F7">
            <w:pPr>
              <w:spacing w:line="240" w:lineRule="atLeast"/>
              <w:jc w:val="both"/>
              <w:rPr>
                <w:rFonts w:ascii="Arial" w:hAnsi="Arial" w:cs="Arial"/>
                <w:sz w:val="20"/>
                <w:szCs w:val="20"/>
              </w:rPr>
            </w:pPr>
            <w:r w:rsidRPr="00C97145">
              <w:rPr>
                <w:rFonts w:ascii="Arial" w:hAnsi="Arial" w:cs="Arial"/>
                <w:sz w:val="20"/>
                <w:szCs w:val="20"/>
              </w:rPr>
              <w:t xml:space="preserve">- delovna uspešnost zaradi povečanega obsega dela in posebnih obremenitev - </w:t>
            </w:r>
            <w:r w:rsidR="00716B88" w:rsidRPr="00C97145">
              <w:rPr>
                <w:rFonts w:ascii="Arial" w:hAnsi="Arial" w:cs="Arial"/>
                <w:sz w:val="20"/>
                <w:szCs w:val="20"/>
              </w:rPr>
              <w:t>100-150  € bruto, zneski se usklajujejo z rastjo cen življenjskih potrebščin</w:t>
            </w:r>
            <w:r w:rsidRPr="00C97145">
              <w:rPr>
                <w:rFonts w:ascii="Arial" w:hAnsi="Arial" w:cs="Arial"/>
                <w:sz w:val="20"/>
                <w:szCs w:val="20"/>
              </w:rPr>
              <w:t xml:space="preserve"> </w:t>
            </w:r>
            <w:r w:rsidR="00716B88" w:rsidRPr="00C97145">
              <w:rPr>
                <w:rFonts w:ascii="Arial" w:hAnsi="Arial" w:cs="Arial"/>
                <w:sz w:val="20"/>
                <w:szCs w:val="20"/>
              </w:rPr>
              <w:t>(</w:t>
            </w:r>
            <w:r w:rsidRPr="00C97145">
              <w:rPr>
                <w:rFonts w:ascii="Arial" w:hAnsi="Arial" w:cs="Arial"/>
                <w:sz w:val="20"/>
                <w:szCs w:val="20"/>
              </w:rPr>
              <w:t>74.a člen Zakona o organiziranosti in delu v policiji</w:t>
            </w:r>
            <w:r w:rsidR="00716B88" w:rsidRPr="00C97145">
              <w:rPr>
                <w:rFonts w:ascii="Arial" w:hAnsi="Arial" w:cs="Arial"/>
                <w:sz w:val="20"/>
                <w:szCs w:val="20"/>
              </w:rPr>
              <w:t>)</w:t>
            </w:r>
            <w:r w:rsidRPr="00C97145">
              <w:rPr>
                <w:rFonts w:ascii="Arial" w:hAnsi="Arial" w:cs="Arial"/>
                <w:sz w:val="20"/>
                <w:szCs w:val="20"/>
              </w:rPr>
              <w:t xml:space="preserve"> </w:t>
            </w:r>
          </w:p>
        </w:tc>
      </w:tr>
      <w:tr w:rsidR="00FA0033" w:rsidRPr="00C97145" w14:paraId="669E0727" w14:textId="77777777" w:rsidTr="002470F7">
        <w:tc>
          <w:tcPr>
            <w:tcW w:w="9062" w:type="dxa"/>
          </w:tcPr>
          <w:p w14:paraId="6052E167" w14:textId="1C9B98A0" w:rsidR="00FA0033" w:rsidRPr="00C97145" w:rsidRDefault="00FA0033" w:rsidP="002470F7">
            <w:pPr>
              <w:spacing w:line="240" w:lineRule="auto"/>
              <w:jc w:val="both"/>
              <w:rPr>
                <w:rFonts w:ascii="Arial" w:hAnsi="Arial" w:cs="Arial"/>
                <w:sz w:val="20"/>
                <w:szCs w:val="20"/>
                <w:u w:val="single"/>
              </w:rPr>
            </w:pPr>
            <w:r w:rsidRPr="00C97145">
              <w:rPr>
                <w:rFonts w:ascii="Arial" w:hAnsi="Arial" w:cs="Arial"/>
                <w:sz w:val="20"/>
                <w:szCs w:val="20"/>
              </w:rPr>
              <w:t xml:space="preserve">- delovna uspešnost zaradi povečanega obsega dela - </w:t>
            </w:r>
            <w:r w:rsidR="00716B88" w:rsidRPr="00EE4C2B">
              <w:rPr>
                <w:rFonts w:ascii="Arial" w:hAnsi="Arial" w:cs="Arial"/>
                <w:sz w:val="20"/>
                <w:szCs w:val="20"/>
              </w:rPr>
              <w:t>do 0,43 odstotka osnovne plače</w:t>
            </w:r>
            <w:r w:rsidR="00EE4C2B">
              <w:rPr>
                <w:rFonts w:ascii="Arial" w:hAnsi="Arial" w:cs="Arial"/>
                <w:sz w:val="20"/>
                <w:szCs w:val="20"/>
              </w:rPr>
              <w:t xml:space="preserve"> </w:t>
            </w:r>
            <w:r w:rsidR="00716B88" w:rsidRPr="00C97145">
              <w:rPr>
                <w:rFonts w:ascii="Arial" w:hAnsi="Arial" w:cs="Arial"/>
                <w:sz w:val="20"/>
                <w:szCs w:val="20"/>
                <w:u w:val="single"/>
              </w:rPr>
              <w:t>(</w:t>
            </w:r>
            <w:r w:rsidRPr="00C97145">
              <w:rPr>
                <w:rFonts w:ascii="Arial" w:hAnsi="Arial" w:cs="Arial"/>
                <w:sz w:val="20"/>
                <w:szCs w:val="20"/>
              </w:rPr>
              <w:t>tretji odstavek 74. člena Zakon o organiziranosti in delu v policiji</w:t>
            </w:r>
            <w:r w:rsidR="00B457BD" w:rsidRPr="00C97145">
              <w:rPr>
                <w:rFonts w:ascii="Arial" w:hAnsi="Arial" w:cs="Arial"/>
                <w:sz w:val="20"/>
                <w:szCs w:val="20"/>
              </w:rPr>
              <w:t>, Uredba o določitvi višine dodatnega plačila policistom, ki jim je odrejeno opravljanje dela v skladu s prvim odstavkom 73. člena Zakona o organiziranosti in delu v policiji</w:t>
            </w:r>
            <w:r w:rsidR="00716B88" w:rsidRPr="00C97145">
              <w:rPr>
                <w:rFonts w:ascii="Arial" w:hAnsi="Arial" w:cs="Arial"/>
                <w:sz w:val="20"/>
                <w:szCs w:val="20"/>
              </w:rPr>
              <w:t>)</w:t>
            </w:r>
            <w:r w:rsidRPr="00C97145">
              <w:rPr>
                <w:rFonts w:ascii="Arial" w:hAnsi="Arial" w:cs="Arial"/>
                <w:sz w:val="20"/>
                <w:szCs w:val="20"/>
              </w:rPr>
              <w:t xml:space="preserve"> </w:t>
            </w:r>
          </w:p>
        </w:tc>
      </w:tr>
    </w:tbl>
    <w:p w14:paraId="57856218" w14:textId="77777777" w:rsidR="00FA0033" w:rsidRPr="00C97145" w:rsidRDefault="00FA0033" w:rsidP="00FA0033">
      <w:pPr>
        <w:spacing w:line="240" w:lineRule="auto"/>
        <w:jc w:val="both"/>
        <w:rPr>
          <w:rFonts w:ascii="Arial" w:eastAsia="Times New Roman" w:hAnsi="Arial" w:cs="Arial"/>
          <w:b/>
          <w:bCs/>
          <w:sz w:val="20"/>
          <w:szCs w:val="20"/>
          <w:u w:val="single"/>
          <w:lang w:eastAsia="sl-SI"/>
        </w:rPr>
      </w:pPr>
    </w:p>
    <w:tbl>
      <w:tblPr>
        <w:tblStyle w:val="Tabelamrea"/>
        <w:tblW w:w="0" w:type="auto"/>
        <w:tblLook w:val="04A0" w:firstRow="1" w:lastRow="0" w:firstColumn="1" w:lastColumn="0" w:noHBand="0" w:noVBand="1"/>
      </w:tblPr>
      <w:tblGrid>
        <w:gridCol w:w="9062"/>
      </w:tblGrid>
      <w:tr w:rsidR="00FA0033" w:rsidRPr="00C97145" w14:paraId="3420AD53" w14:textId="77777777" w:rsidTr="002470F7">
        <w:tc>
          <w:tcPr>
            <w:tcW w:w="9062" w:type="dxa"/>
          </w:tcPr>
          <w:p w14:paraId="33112762" w14:textId="77777777" w:rsidR="00FA0033" w:rsidRPr="00C97145" w:rsidRDefault="00FA0033" w:rsidP="002470F7">
            <w:pPr>
              <w:spacing w:line="240" w:lineRule="auto"/>
              <w:jc w:val="both"/>
              <w:rPr>
                <w:rFonts w:ascii="Arial" w:eastAsia="Times New Roman" w:hAnsi="Arial" w:cs="Arial"/>
                <w:b/>
                <w:bCs/>
                <w:sz w:val="20"/>
                <w:szCs w:val="20"/>
                <w:u w:val="single"/>
                <w:lang w:eastAsia="sl-SI"/>
              </w:rPr>
            </w:pPr>
            <w:r w:rsidRPr="00C97145">
              <w:rPr>
                <w:rFonts w:ascii="Arial" w:eastAsia="Times New Roman" w:hAnsi="Arial" w:cs="Arial"/>
                <w:b/>
                <w:bCs/>
                <w:sz w:val="20"/>
                <w:szCs w:val="20"/>
                <w:u w:val="single"/>
                <w:lang w:eastAsia="sl-SI"/>
              </w:rPr>
              <w:t>PLAČNA PODSKUPINA C4 – Vojaki</w:t>
            </w:r>
          </w:p>
        </w:tc>
      </w:tr>
      <w:tr w:rsidR="00FA0033" w:rsidRPr="00C97145" w14:paraId="51E75AFC" w14:textId="77777777" w:rsidTr="002470F7">
        <w:tc>
          <w:tcPr>
            <w:tcW w:w="9062" w:type="dxa"/>
          </w:tcPr>
          <w:p w14:paraId="64A61102" w14:textId="35D07382" w:rsidR="00FA0033" w:rsidRPr="00C97145" w:rsidRDefault="00C97145" w:rsidP="002470F7">
            <w:pPr>
              <w:spacing w:line="240" w:lineRule="auto"/>
              <w:jc w:val="both"/>
              <w:rPr>
                <w:rFonts w:ascii="Arial" w:hAnsi="Arial" w:cs="Arial"/>
                <w:iCs/>
                <w:sz w:val="20"/>
                <w:szCs w:val="20"/>
              </w:rPr>
            </w:pPr>
            <w:r w:rsidRPr="00C97145">
              <w:rPr>
                <w:rFonts w:ascii="Arial" w:eastAsia="Times New Roman" w:hAnsi="Arial" w:cs="Arial"/>
                <w:sz w:val="20"/>
                <w:szCs w:val="20"/>
                <w:lang w:eastAsia="sl-SI"/>
              </w:rPr>
              <w:t>a) zvišanje osnovne plače: do 20 odstotkov osnovne plače (drugi odstavek 59. člena Zakona o službi v Slovenski vojski):</w:t>
            </w:r>
          </w:p>
        </w:tc>
      </w:tr>
      <w:tr w:rsidR="00FA0033" w:rsidRPr="00C97145" w14:paraId="73A2289B" w14:textId="77777777" w:rsidTr="002470F7">
        <w:tc>
          <w:tcPr>
            <w:tcW w:w="9062" w:type="dxa"/>
          </w:tcPr>
          <w:p w14:paraId="1C012982" w14:textId="4920C5E3" w:rsidR="00FA0033" w:rsidRPr="00C97145" w:rsidRDefault="00C97145" w:rsidP="002470F7">
            <w:pPr>
              <w:spacing w:after="0" w:line="240" w:lineRule="auto"/>
              <w:rPr>
                <w:rFonts w:ascii="Arial" w:eastAsia="Times New Roman" w:hAnsi="Arial" w:cs="Arial"/>
                <w:sz w:val="20"/>
                <w:szCs w:val="20"/>
                <w:lang w:eastAsia="sl-SI"/>
              </w:rPr>
            </w:pPr>
            <w:r w:rsidRPr="00C97145">
              <w:rPr>
                <w:rFonts w:ascii="Arial" w:eastAsia="Times New Roman" w:hAnsi="Arial" w:cs="Arial"/>
                <w:sz w:val="20"/>
                <w:szCs w:val="20"/>
                <w:lang w:eastAsia="sl-SI"/>
              </w:rPr>
              <w:t>b</w:t>
            </w:r>
            <w:r w:rsidR="00FA0033" w:rsidRPr="00C97145">
              <w:rPr>
                <w:rFonts w:ascii="Arial" w:eastAsia="Times New Roman" w:hAnsi="Arial" w:cs="Arial"/>
                <w:sz w:val="20"/>
                <w:szCs w:val="20"/>
                <w:lang w:eastAsia="sl-SI"/>
              </w:rPr>
              <w:t>) dodatki</w:t>
            </w:r>
          </w:p>
        </w:tc>
      </w:tr>
      <w:tr w:rsidR="00FA0033" w:rsidRPr="00C97145" w14:paraId="15A4F27F" w14:textId="77777777" w:rsidTr="002470F7">
        <w:tc>
          <w:tcPr>
            <w:tcW w:w="9062" w:type="dxa"/>
          </w:tcPr>
          <w:p w14:paraId="7D46868E" w14:textId="09547B4C" w:rsidR="00FA0033" w:rsidRPr="00C97145" w:rsidRDefault="00FA0033" w:rsidP="002470F7">
            <w:pPr>
              <w:spacing w:line="240" w:lineRule="auto"/>
              <w:jc w:val="both"/>
              <w:rPr>
                <w:rFonts w:ascii="Arial" w:hAnsi="Arial" w:cs="Arial"/>
                <w:sz w:val="20"/>
                <w:szCs w:val="20"/>
              </w:rPr>
            </w:pPr>
            <w:r w:rsidRPr="00C97145">
              <w:rPr>
                <w:rFonts w:ascii="Arial" w:hAnsi="Arial" w:cs="Arial"/>
                <w:sz w:val="20"/>
                <w:szCs w:val="20"/>
              </w:rPr>
              <w:t>- dodatek zaradi prepovedi stavke: 4</w:t>
            </w:r>
            <w:r w:rsidR="00B560C2" w:rsidRPr="00C97145">
              <w:rPr>
                <w:rFonts w:ascii="Arial" w:hAnsi="Arial" w:cs="Arial"/>
                <w:sz w:val="20"/>
                <w:szCs w:val="20"/>
              </w:rPr>
              <w:t xml:space="preserve"> odstotke</w:t>
            </w:r>
            <w:r w:rsidRPr="00C97145">
              <w:rPr>
                <w:rFonts w:ascii="Arial" w:hAnsi="Arial" w:cs="Arial"/>
                <w:sz w:val="20"/>
                <w:szCs w:val="20"/>
              </w:rPr>
              <w:t xml:space="preserve"> povprečne zadnje mesečne bruto plače v RS</w:t>
            </w:r>
            <w:r w:rsidR="004C44D6" w:rsidRPr="00C97145">
              <w:rPr>
                <w:rFonts w:ascii="Arial" w:hAnsi="Arial" w:cs="Arial"/>
                <w:sz w:val="20"/>
                <w:szCs w:val="20"/>
              </w:rPr>
              <w:t xml:space="preserve"> (peti odstavek 58. člen Zakona o službi v Slovenski vojski)</w:t>
            </w:r>
          </w:p>
        </w:tc>
      </w:tr>
      <w:tr w:rsidR="005F1D2B" w:rsidRPr="00C97145" w14:paraId="46D4E715" w14:textId="77777777" w:rsidTr="002470F7">
        <w:tc>
          <w:tcPr>
            <w:tcW w:w="9062" w:type="dxa"/>
          </w:tcPr>
          <w:p w14:paraId="6563F5AD" w14:textId="1C4A43B8" w:rsidR="005F1D2B" w:rsidRPr="005F1D2B" w:rsidRDefault="005F1D2B" w:rsidP="005F1D2B">
            <w:pPr>
              <w:spacing w:line="240" w:lineRule="auto"/>
              <w:rPr>
                <w:rFonts w:ascii="Arial" w:eastAsiaTheme="minorHAnsi" w:hAnsi="Arial" w:cs="Arial"/>
                <w:sz w:val="20"/>
                <w:szCs w:val="20"/>
              </w:rPr>
            </w:pPr>
            <w:r>
              <w:rPr>
                <w:rFonts w:ascii="Arial" w:hAnsi="Arial" w:cs="Arial"/>
                <w:sz w:val="20"/>
                <w:szCs w:val="20"/>
                <w:lang w:eastAsia="sl-SI"/>
              </w:rPr>
              <w:t>- dodatek za stalnost: 0,33 odstotka osnovne plače (98.f člen Zakona o obrambi)</w:t>
            </w:r>
          </w:p>
        </w:tc>
      </w:tr>
      <w:tr w:rsidR="00FA0033" w:rsidRPr="00C97145" w14:paraId="7D6E5727" w14:textId="77777777" w:rsidTr="002470F7">
        <w:tc>
          <w:tcPr>
            <w:tcW w:w="9062" w:type="dxa"/>
          </w:tcPr>
          <w:p w14:paraId="73F79DD1" w14:textId="090AC052" w:rsidR="00FA0033" w:rsidRPr="00C97145" w:rsidRDefault="00FA0033" w:rsidP="002470F7">
            <w:pPr>
              <w:spacing w:line="240" w:lineRule="auto"/>
              <w:jc w:val="both"/>
              <w:rPr>
                <w:rFonts w:ascii="Arial" w:hAnsi="Arial" w:cs="Arial"/>
                <w:sz w:val="20"/>
                <w:szCs w:val="20"/>
              </w:rPr>
            </w:pPr>
            <w:r w:rsidRPr="00C97145">
              <w:rPr>
                <w:rFonts w:ascii="Arial" w:hAnsi="Arial" w:cs="Arial"/>
                <w:sz w:val="20"/>
                <w:szCs w:val="20"/>
              </w:rPr>
              <w:t xml:space="preserve">- dodatek za dosegljivost – </w:t>
            </w:r>
            <w:r w:rsidR="004C44D6" w:rsidRPr="00C97145">
              <w:rPr>
                <w:rFonts w:ascii="Arial" w:hAnsi="Arial" w:cs="Arial"/>
                <w:sz w:val="20"/>
                <w:szCs w:val="20"/>
              </w:rPr>
              <w:t>višino določi Vlada RS (</w:t>
            </w:r>
            <w:r w:rsidRPr="00C97145">
              <w:rPr>
                <w:rFonts w:ascii="Arial" w:hAnsi="Arial" w:cs="Arial"/>
                <w:sz w:val="20"/>
                <w:szCs w:val="20"/>
              </w:rPr>
              <w:t>55. člen Zakona o službi v S</w:t>
            </w:r>
            <w:r w:rsidR="004C44D6" w:rsidRPr="00C97145">
              <w:rPr>
                <w:rFonts w:ascii="Arial" w:hAnsi="Arial" w:cs="Arial"/>
                <w:sz w:val="20"/>
                <w:szCs w:val="20"/>
              </w:rPr>
              <w:t>lovenski vojski)</w:t>
            </w:r>
          </w:p>
        </w:tc>
      </w:tr>
      <w:tr w:rsidR="00FA0033" w:rsidRPr="00C97145" w14:paraId="18D24A66" w14:textId="77777777" w:rsidTr="002470F7">
        <w:tc>
          <w:tcPr>
            <w:tcW w:w="9062" w:type="dxa"/>
          </w:tcPr>
          <w:p w14:paraId="0D1279AB" w14:textId="27A35B51" w:rsidR="00FA0033" w:rsidRPr="00C97145" w:rsidRDefault="00C97145" w:rsidP="002470F7">
            <w:pPr>
              <w:spacing w:line="240" w:lineRule="auto"/>
              <w:jc w:val="both"/>
              <w:rPr>
                <w:rFonts w:ascii="Arial" w:eastAsia="Times New Roman" w:hAnsi="Arial" w:cs="Arial"/>
                <w:sz w:val="20"/>
                <w:szCs w:val="20"/>
                <w:lang w:eastAsia="sl-SI"/>
              </w:rPr>
            </w:pPr>
            <w:r w:rsidRPr="00C97145">
              <w:rPr>
                <w:rFonts w:ascii="Arial" w:hAnsi="Arial" w:cs="Arial"/>
                <w:sz w:val="20"/>
                <w:szCs w:val="20"/>
                <w:lang w:eastAsia="sl-SI"/>
              </w:rPr>
              <w:t>c</w:t>
            </w:r>
            <w:r w:rsidR="00FA0033" w:rsidRPr="00C97145">
              <w:rPr>
                <w:rFonts w:ascii="Arial" w:hAnsi="Arial" w:cs="Arial"/>
                <w:sz w:val="20"/>
                <w:szCs w:val="20"/>
                <w:lang w:eastAsia="sl-SI"/>
              </w:rPr>
              <w:t xml:space="preserve">) </w:t>
            </w:r>
            <w:r w:rsidR="00EE4C2B">
              <w:rPr>
                <w:rFonts w:ascii="Arial" w:hAnsi="Arial" w:cs="Arial"/>
                <w:sz w:val="20"/>
                <w:szCs w:val="20"/>
                <w:lang w:eastAsia="sl-SI"/>
              </w:rPr>
              <w:t>d</w:t>
            </w:r>
            <w:r w:rsidR="00FA0033" w:rsidRPr="00C97145">
              <w:rPr>
                <w:rFonts w:ascii="Arial" w:hAnsi="Arial" w:cs="Arial"/>
                <w:sz w:val="20"/>
                <w:szCs w:val="20"/>
                <w:lang w:eastAsia="sl-SI"/>
              </w:rPr>
              <w:t>elovna uspešnost</w:t>
            </w:r>
            <w:r w:rsidR="00FA0033" w:rsidRPr="00C97145">
              <w:rPr>
                <w:rFonts w:ascii="Arial" w:eastAsia="Times New Roman" w:hAnsi="Arial" w:cs="Arial"/>
                <w:sz w:val="20"/>
                <w:szCs w:val="20"/>
                <w:lang w:eastAsia="sl-SI"/>
              </w:rPr>
              <w:t xml:space="preserve"> -– </w:t>
            </w:r>
            <w:r w:rsidR="00FA0033" w:rsidRPr="00C97145">
              <w:rPr>
                <w:rFonts w:ascii="Arial" w:hAnsi="Arial" w:cs="Arial"/>
                <w:sz w:val="20"/>
                <w:szCs w:val="20"/>
              </w:rPr>
              <w:t>10 odstotkov osnovne plače</w:t>
            </w:r>
            <w:r w:rsidR="004C44D6" w:rsidRPr="00C97145">
              <w:rPr>
                <w:rFonts w:ascii="Arial" w:eastAsia="Times New Roman" w:hAnsi="Arial" w:cs="Arial"/>
                <w:sz w:val="20"/>
                <w:szCs w:val="20"/>
                <w:lang w:eastAsia="sl-SI"/>
              </w:rPr>
              <w:t xml:space="preserve"> (drugi  odstavek 59. člena Zakona o službi v Slovenski vojski)</w:t>
            </w:r>
            <w:r w:rsidR="00FA0033" w:rsidRPr="00C97145">
              <w:rPr>
                <w:rFonts w:ascii="Arial" w:hAnsi="Arial" w:cs="Arial"/>
                <w:sz w:val="20"/>
                <w:szCs w:val="20"/>
              </w:rPr>
              <w:t>, 19 odstotkov osnovne plače</w:t>
            </w:r>
            <w:r w:rsidR="004C44D6" w:rsidRPr="00C97145">
              <w:rPr>
                <w:rFonts w:ascii="Arial" w:eastAsia="Times New Roman" w:hAnsi="Arial" w:cs="Arial"/>
                <w:sz w:val="20"/>
                <w:szCs w:val="20"/>
                <w:lang w:eastAsia="sl-SI"/>
              </w:rPr>
              <w:t xml:space="preserve"> (tretji odstavek 59. člena ZSSloV)</w:t>
            </w:r>
            <w:r w:rsidR="00FA0033" w:rsidRPr="00C97145">
              <w:rPr>
                <w:rFonts w:ascii="Arial" w:hAnsi="Arial" w:cs="Arial"/>
                <w:sz w:val="20"/>
                <w:szCs w:val="20"/>
              </w:rPr>
              <w:t>.</w:t>
            </w:r>
          </w:p>
        </w:tc>
      </w:tr>
    </w:tbl>
    <w:p w14:paraId="567CE426" w14:textId="77777777" w:rsidR="00FA0033" w:rsidRPr="00C97145" w:rsidRDefault="00FA0033" w:rsidP="00FA0033">
      <w:pPr>
        <w:spacing w:line="240" w:lineRule="auto"/>
        <w:jc w:val="both"/>
        <w:rPr>
          <w:rFonts w:ascii="Arial" w:eastAsia="Times New Roman" w:hAnsi="Arial" w:cs="Arial"/>
          <w:b/>
          <w:bCs/>
          <w:sz w:val="20"/>
          <w:szCs w:val="20"/>
          <w:u w:val="single"/>
          <w:lang w:eastAsia="sl-SI"/>
        </w:rPr>
      </w:pPr>
    </w:p>
    <w:tbl>
      <w:tblPr>
        <w:tblStyle w:val="Tabelamrea"/>
        <w:tblW w:w="0" w:type="auto"/>
        <w:tblLook w:val="04A0" w:firstRow="1" w:lastRow="0" w:firstColumn="1" w:lastColumn="0" w:noHBand="0" w:noVBand="1"/>
      </w:tblPr>
      <w:tblGrid>
        <w:gridCol w:w="9062"/>
      </w:tblGrid>
      <w:tr w:rsidR="00FA0033" w:rsidRPr="00C97145" w14:paraId="6C42B374" w14:textId="77777777" w:rsidTr="002470F7">
        <w:tc>
          <w:tcPr>
            <w:tcW w:w="9062" w:type="dxa"/>
          </w:tcPr>
          <w:p w14:paraId="10496F62" w14:textId="77777777" w:rsidR="00FA0033" w:rsidRPr="00C97145" w:rsidRDefault="00FA0033" w:rsidP="002470F7">
            <w:pPr>
              <w:spacing w:line="240" w:lineRule="auto"/>
              <w:jc w:val="both"/>
              <w:rPr>
                <w:rFonts w:ascii="Arial" w:eastAsia="Times New Roman" w:hAnsi="Arial" w:cs="Arial"/>
                <w:b/>
                <w:bCs/>
                <w:sz w:val="20"/>
                <w:szCs w:val="20"/>
                <w:lang w:eastAsia="sl-SI"/>
              </w:rPr>
            </w:pPr>
            <w:r w:rsidRPr="00C97145">
              <w:rPr>
                <w:rFonts w:ascii="Arial" w:eastAsia="Times New Roman" w:hAnsi="Arial" w:cs="Arial"/>
                <w:b/>
                <w:bCs/>
                <w:sz w:val="20"/>
                <w:szCs w:val="20"/>
                <w:u w:val="single"/>
                <w:lang w:eastAsia="sl-SI"/>
              </w:rPr>
              <w:t>PLAČNA PODSKUPINA C5 – Uradniki finančne uprave</w:t>
            </w:r>
            <w:r w:rsidRPr="00C97145">
              <w:rPr>
                <w:rFonts w:ascii="Arial" w:eastAsia="Times New Roman" w:hAnsi="Arial" w:cs="Arial"/>
                <w:b/>
                <w:bCs/>
                <w:sz w:val="20"/>
                <w:szCs w:val="20"/>
                <w:lang w:eastAsia="sl-SI"/>
              </w:rPr>
              <w:t xml:space="preserve"> </w:t>
            </w:r>
          </w:p>
        </w:tc>
      </w:tr>
      <w:tr w:rsidR="00FA0033" w:rsidRPr="00C97145" w14:paraId="3FEDCC7B" w14:textId="77777777" w:rsidTr="002470F7">
        <w:tc>
          <w:tcPr>
            <w:tcW w:w="9062" w:type="dxa"/>
          </w:tcPr>
          <w:p w14:paraId="55EB5376" w14:textId="52F93B10" w:rsidR="00FA0033" w:rsidRPr="00C97145" w:rsidRDefault="00FA0033" w:rsidP="002470F7">
            <w:pPr>
              <w:spacing w:line="240" w:lineRule="auto"/>
              <w:jc w:val="both"/>
              <w:rPr>
                <w:rFonts w:ascii="Arial" w:eastAsia="Times New Roman" w:hAnsi="Arial" w:cs="Arial"/>
                <w:sz w:val="20"/>
                <w:szCs w:val="20"/>
                <w:lang w:eastAsia="sl-SI"/>
              </w:rPr>
            </w:pPr>
            <w:r w:rsidRPr="00C97145">
              <w:rPr>
                <w:rFonts w:ascii="Arial" w:eastAsia="Times New Roman" w:hAnsi="Arial" w:cs="Arial"/>
                <w:sz w:val="20"/>
                <w:szCs w:val="20"/>
                <w:lang w:eastAsia="sl-SI"/>
              </w:rPr>
              <w:lastRenderedPageBreak/>
              <w:t xml:space="preserve">- dodatek za stalnost: </w:t>
            </w:r>
            <w:r w:rsidR="00B5693F" w:rsidRPr="00C97145">
              <w:rPr>
                <w:rFonts w:ascii="Arial" w:hAnsi="Arial" w:cs="Arial"/>
                <w:sz w:val="20"/>
                <w:szCs w:val="20"/>
                <w:lang w:eastAsia="sl-SI"/>
              </w:rPr>
              <w:t xml:space="preserve">0,33 </w:t>
            </w:r>
            <w:r w:rsidR="00410F5C">
              <w:rPr>
                <w:rFonts w:ascii="Arial" w:hAnsi="Arial" w:cs="Arial"/>
                <w:sz w:val="20"/>
                <w:szCs w:val="20"/>
                <w:lang w:eastAsia="sl-SI"/>
              </w:rPr>
              <w:t xml:space="preserve">odstotka </w:t>
            </w:r>
            <w:r w:rsidR="00B5693F" w:rsidRPr="00C97145">
              <w:rPr>
                <w:rFonts w:ascii="Arial" w:hAnsi="Arial" w:cs="Arial"/>
                <w:sz w:val="20"/>
                <w:szCs w:val="20"/>
                <w:lang w:eastAsia="sl-SI"/>
              </w:rPr>
              <w:t>osnovne plače (</w:t>
            </w:r>
            <w:r w:rsidRPr="00C97145">
              <w:rPr>
                <w:rFonts w:ascii="Arial" w:hAnsi="Arial" w:cs="Arial"/>
                <w:sz w:val="20"/>
                <w:szCs w:val="20"/>
                <w:lang w:eastAsia="sl-SI"/>
              </w:rPr>
              <w:t>šesti odstavek 105. člena Zakona o finančni upravi, prvi odstavek 59. člena Zakona o carinski službi</w:t>
            </w:r>
            <w:r w:rsidR="00B5693F" w:rsidRPr="00C97145">
              <w:rPr>
                <w:rFonts w:ascii="Arial" w:hAnsi="Arial" w:cs="Arial"/>
                <w:sz w:val="20"/>
                <w:szCs w:val="20"/>
                <w:lang w:eastAsia="sl-SI"/>
              </w:rPr>
              <w:t>)</w:t>
            </w:r>
          </w:p>
        </w:tc>
      </w:tr>
    </w:tbl>
    <w:p w14:paraId="0CD5F901" w14:textId="77777777" w:rsidR="00FA0033" w:rsidRPr="00C97145" w:rsidRDefault="00FA0033" w:rsidP="00FA0033">
      <w:pPr>
        <w:spacing w:line="240" w:lineRule="auto"/>
        <w:jc w:val="both"/>
        <w:rPr>
          <w:rFonts w:ascii="Arial" w:eastAsia="Times New Roman" w:hAnsi="Arial" w:cs="Arial"/>
          <w:b/>
          <w:bCs/>
          <w:sz w:val="20"/>
          <w:szCs w:val="20"/>
          <w:u w:val="single"/>
          <w:lang w:eastAsia="sl-SI"/>
        </w:rPr>
      </w:pPr>
    </w:p>
    <w:tbl>
      <w:tblPr>
        <w:tblStyle w:val="Tabelamrea"/>
        <w:tblW w:w="0" w:type="auto"/>
        <w:tblLook w:val="04A0" w:firstRow="1" w:lastRow="0" w:firstColumn="1" w:lastColumn="0" w:noHBand="0" w:noVBand="1"/>
      </w:tblPr>
      <w:tblGrid>
        <w:gridCol w:w="9062"/>
      </w:tblGrid>
      <w:tr w:rsidR="00FA0033" w:rsidRPr="00C97145" w14:paraId="2D75A22A" w14:textId="77777777" w:rsidTr="002470F7">
        <w:tc>
          <w:tcPr>
            <w:tcW w:w="9062" w:type="dxa"/>
          </w:tcPr>
          <w:p w14:paraId="07BE6000" w14:textId="77777777" w:rsidR="00FA0033" w:rsidRPr="00C97145" w:rsidRDefault="00FA0033" w:rsidP="002470F7">
            <w:pPr>
              <w:spacing w:line="240" w:lineRule="auto"/>
              <w:jc w:val="both"/>
              <w:rPr>
                <w:rFonts w:ascii="Arial" w:eastAsia="Times New Roman" w:hAnsi="Arial" w:cs="Arial"/>
                <w:b/>
                <w:bCs/>
                <w:sz w:val="20"/>
                <w:szCs w:val="20"/>
                <w:u w:val="single"/>
                <w:lang w:eastAsia="sl-SI"/>
              </w:rPr>
            </w:pPr>
            <w:r w:rsidRPr="00C97145">
              <w:rPr>
                <w:rFonts w:ascii="Arial" w:eastAsia="Times New Roman" w:hAnsi="Arial" w:cs="Arial"/>
                <w:b/>
                <w:bCs/>
                <w:sz w:val="20"/>
                <w:szCs w:val="20"/>
                <w:u w:val="single"/>
                <w:lang w:eastAsia="sl-SI"/>
              </w:rPr>
              <w:t xml:space="preserve">PLAČNA PODSKUPINA C6 – Inšpektorji, pravosodni policisti in drugi uradniki s posebnimi pooblastili </w:t>
            </w:r>
          </w:p>
        </w:tc>
      </w:tr>
      <w:tr w:rsidR="00C97145" w:rsidRPr="00C97145" w14:paraId="7582B0FD" w14:textId="77777777" w:rsidTr="002470F7">
        <w:tc>
          <w:tcPr>
            <w:tcW w:w="9062" w:type="dxa"/>
          </w:tcPr>
          <w:p w14:paraId="524D2B4B" w14:textId="15AEB415" w:rsidR="00C97145" w:rsidRPr="00C97145" w:rsidRDefault="00C97145" w:rsidP="002470F7">
            <w:pPr>
              <w:spacing w:line="240" w:lineRule="auto"/>
              <w:jc w:val="both"/>
              <w:rPr>
                <w:rFonts w:ascii="Arial" w:eastAsia="Times New Roman" w:hAnsi="Arial" w:cs="Arial"/>
                <w:sz w:val="20"/>
                <w:szCs w:val="20"/>
                <w:lang w:eastAsia="sl-SI"/>
              </w:rPr>
            </w:pPr>
            <w:r w:rsidRPr="00C97145">
              <w:rPr>
                <w:rFonts w:ascii="Arial" w:hAnsi="Arial" w:cs="Arial"/>
                <w:sz w:val="20"/>
                <w:szCs w:val="20"/>
              </w:rPr>
              <w:t>a) uvrščanje delovnih mest in nazivov s svojim splošnim aktom: delovna mesta in nazivi v obveščevalno varnostni službi MORS (šesti odstavek 13. člena ZSPJS)</w:t>
            </w:r>
          </w:p>
        </w:tc>
      </w:tr>
      <w:tr w:rsidR="00FA0033" w:rsidRPr="00C97145" w14:paraId="2CF57C3C" w14:textId="77777777" w:rsidTr="002470F7">
        <w:tc>
          <w:tcPr>
            <w:tcW w:w="9062" w:type="dxa"/>
          </w:tcPr>
          <w:p w14:paraId="14DAE7A6" w14:textId="1E41B941" w:rsidR="00FA0033" w:rsidRPr="00C97145" w:rsidRDefault="00EE4C2B" w:rsidP="002470F7">
            <w:pPr>
              <w:spacing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b)</w:t>
            </w:r>
            <w:r w:rsidR="00FA0033" w:rsidRPr="00C97145">
              <w:rPr>
                <w:rFonts w:ascii="Arial" w:eastAsia="Times New Roman" w:hAnsi="Arial" w:cs="Arial"/>
                <w:sz w:val="20"/>
                <w:szCs w:val="20"/>
                <w:lang w:eastAsia="sl-SI"/>
              </w:rPr>
              <w:t xml:space="preserve"> dodatek za stalnost</w:t>
            </w:r>
            <w:r w:rsidR="00B5693F" w:rsidRPr="00C97145">
              <w:rPr>
                <w:rFonts w:ascii="Arial" w:eastAsia="Times New Roman" w:hAnsi="Arial" w:cs="Arial"/>
                <w:sz w:val="20"/>
                <w:szCs w:val="20"/>
                <w:lang w:eastAsia="sl-SI"/>
              </w:rPr>
              <w:t xml:space="preserve">: </w:t>
            </w:r>
            <w:r w:rsidR="00B5693F" w:rsidRPr="00C97145">
              <w:rPr>
                <w:rFonts w:ascii="Arial" w:hAnsi="Arial" w:cs="Arial"/>
                <w:sz w:val="20"/>
                <w:szCs w:val="20"/>
                <w:lang w:eastAsia="sl-SI"/>
              </w:rPr>
              <w:t>0,33</w:t>
            </w:r>
            <w:r w:rsidR="00B46A1D">
              <w:rPr>
                <w:rFonts w:ascii="Arial" w:hAnsi="Arial" w:cs="Arial"/>
                <w:sz w:val="20"/>
                <w:szCs w:val="20"/>
                <w:lang w:eastAsia="sl-SI"/>
              </w:rPr>
              <w:t xml:space="preserve"> odstotka </w:t>
            </w:r>
            <w:r w:rsidR="00B5693F" w:rsidRPr="00C97145">
              <w:rPr>
                <w:rFonts w:ascii="Arial" w:hAnsi="Arial" w:cs="Arial"/>
                <w:sz w:val="20"/>
                <w:szCs w:val="20"/>
                <w:lang w:eastAsia="sl-SI"/>
              </w:rPr>
              <w:t>osnovne plače</w:t>
            </w:r>
            <w:r>
              <w:rPr>
                <w:rFonts w:ascii="Arial" w:hAnsi="Arial" w:cs="Arial"/>
                <w:sz w:val="20"/>
                <w:szCs w:val="20"/>
                <w:lang w:eastAsia="sl-SI"/>
              </w:rPr>
              <w:t xml:space="preserve"> </w:t>
            </w:r>
            <w:r w:rsidR="00B5693F" w:rsidRPr="00C97145">
              <w:rPr>
                <w:rFonts w:ascii="Arial" w:eastAsia="Times New Roman" w:hAnsi="Arial" w:cs="Arial"/>
                <w:sz w:val="20"/>
                <w:szCs w:val="20"/>
                <w:lang w:eastAsia="sl-SI"/>
              </w:rPr>
              <w:t>(</w:t>
            </w:r>
            <w:r w:rsidR="00FA0033" w:rsidRPr="00C97145">
              <w:rPr>
                <w:rFonts w:ascii="Arial" w:eastAsia="Times New Roman" w:hAnsi="Arial" w:cs="Arial"/>
                <w:sz w:val="20"/>
                <w:szCs w:val="20"/>
                <w:lang w:eastAsia="sl-SI"/>
              </w:rPr>
              <w:t>221. člen Z</w:t>
            </w:r>
            <w:r w:rsidR="00B5693F" w:rsidRPr="00C97145">
              <w:rPr>
                <w:rFonts w:ascii="Arial" w:eastAsia="Times New Roman" w:hAnsi="Arial" w:cs="Arial"/>
                <w:sz w:val="20"/>
                <w:szCs w:val="20"/>
                <w:lang w:eastAsia="sl-SI"/>
              </w:rPr>
              <w:t>akona o izvrševanju kazenskih sankcij)</w:t>
            </w:r>
            <w:r w:rsidR="00FA0033" w:rsidRPr="00C97145">
              <w:rPr>
                <w:rFonts w:ascii="Arial" w:eastAsia="Times New Roman" w:hAnsi="Arial" w:cs="Arial"/>
                <w:sz w:val="20"/>
                <w:szCs w:val="20"/>
                <w:lang w:eastAsia="sl-SI"/>
              </w:rPr>
              <w:t xml:space="preserve"> </w:t>
            </w:r>
          </w:p>
        </w:tc>
      </w:tr>
      <w:tr w:rsidR="00FA0033" w:rsidRPr="00C97145" w14:paraId="3B0CAFA0" w14:textId="77777777" w:rsidTr="002470F7">
        <w:tc>
          <w:tcPr>
            <w:tcW w:w="9062" w:type="dxa"/>
          </w:tcPr>
          <w:p w14:paraId="60ABD4B9" w14:textId="637B3099" w:rsidR="00FA0033" w:rsidRPr="00C97145" w:rsidRDefault="00EE4C2B" w:rsidP="002470F7">
            <w:pPr>
              <w:spacing w:line="240" w:lineRule="auto"/>
              <w:jc w:val="both"/>
              <w:rPr>
                <w:rFonts w:ascii="Arial" w:hAnsi="Arial" w:cs="Arial"/>
                <w:sz w:val="20"/>
                <w:szCs w:val="20"/>
              </w:rPr>
            </w:pPr>
            <w:r>
              <w:rPr>
                <w:rFonts w:ascii="Arial" w:hAnsi="Arial" w:cs="Arial"/>
                <w:sz w:val="20"/>
                <w:szCs w:val="20"/>
              </w:rPr>
              <w:t>c) d</w:t>
            </w:r>
            <w:r w:rsidR="00FA0033" w:rsidRPr="00C97145">
              <w:rPr>
                <w:rFonts w:ascii="Arial" w:hAnsi="Arial" w:cs="Arial"/>
                <w:sz w:val="20"/>
                <w:szCs w:val="20"/>
              </w:rPr>
              <w:t xml:space="preserve">elovna uspešnost iz naslova posebnega vladnega projekta - </w:t>
            </w:r>
            <w:r w:rsidR="00FA0033" w:rsidRPr="00C97145">
              <w:rPr>
                <w:rFonts w:ascii="Arial" w:hAnsi="Arial" w:cs="Arial"/>
                <w:color w:val="000000" w:themeColor="text1"/>
                <w:sz w:val="20"/>
                <w:szCs w:val="20"/>
              </w:rPr>
              <w:t xml:space="preserve">»Reševanje kadrovskih težav v  Upravi Republike Slovenije za izvrševanje kazenskih sankcij« </w:t>
            </w:r>
          </w:p>
        </w:tc>
      </w:tr>
    </w:tbl>
    <w:p w14:paraId="70BA4E9C" w14:textId="77777777" w:rsidR="00FA0033" w:rsidRPr="00C97145" w:rsidRDefault="00FA0033" w:rsidP="00FA0033">
      <w:pPr>
        <w:spacing w:line="260" w:lineRule="exact"/>
        <w:jc w:val="both"/>
        <w:rPr>
          <w:rFonts w:ascii="Arial" w:eastAsia="Times New Roman" w:hAnsi="Arial" w:cs="Arial"/>
          <w:b/>
          <w:bCs/>
          <w:sz w:val="20"/>
          <w:szCs w:val="20"/>
          <w:u w:val="single"/>
          <w:lang w:eastAsia="sl-SI"/>
        </w:rPr>
      </w:pPr>
    </w:p>
    <w:tbl>
      <w:tblPr>
        <w:tblStyle w:val="Tabelamrea"/>
        <w:tblW w:w="0" w:type="auto"/>
        <w:tblLook w:val="04A0" w:firstRow="1" w:lastRow="0" w:firstColumn="1" w:lastColumn="0" w:noHBand="0" w:noVBand="1"/>
      </w:tblPr>
      <w:tblGrid>
        <w:gridCol w:w="9062"/>
      </w:tblGrid>
      <w:tr w:rsidR="00FA0033" w:rsidRPr="00C97145" w14:paraId="1C18516B" w14:textId="77777777" w:rsidTr="002470F7">
        <w:tc>
          <w:tcPr>
            <w:tcW w:w="9062" w:type="dxa"/>
          </w:tcPr>
          <w:p w14:paraId="3666AD6F" w14:textId="57A3F8CB" w:rsidR="00FA0033" w:rsidRPr="00C97145" w:rsidRDefault="00FA0033" w:rsidP="002470F7">
            <w:pPr>
              <w:spacing w:line="240" w:lineRule="auto"/>
              <w:jc w:val="both"/>
              <w:rPr>
                <w:rFonts w:ascii="Arial" w:eastAsia="Times New Roman" w:hAnsi="Arial" w:cs="Arial"/>
                <w:b/>
                <w:bCs/>
                <w:sz w:val="20"/>
                <w:szCs w:val="20"/>
                <w:u w:val="single"/>
                <w:lang w:eastAsia="sl-SI"/>
              </w:rPr>
            </w:pPr>
            <w:r w:rsidRPr="00C97145">
              <w:rPr>
                <w:rFonts w:ascii="Arial" w:eastAsia="Times New Roman" w:hAnsi="Arial" w:cs="Arial"/>
                <w:b/>
                <w:bCs/>
                <w:sz w:val="20"/>
                <w:szCs w:val="20"/>
                <w:u w:val="single"/>
                <w:lang w:eastAsia="sl-SI"/>
              </w:rPr>
              <w:t>PLAČNA PODSKUPINA  I1 -</w:t>
            </w:r>
            <w:r w:rsidR="00924955" w:rsidRPr="00C97145">
              <w:rPr>
                <w:rFonts w:ascii="Arial" w:eastAsia="Times New Roman" w:hAnsi="Arial" w:cs="Arial"/>
                <w:b/>
                <w:bCs/>
                <w:sz w:val="20"/>
                <w:szCs w:val="20"/>
                <w:u w:val="single"/>
                <w:lang w:eastAsia="sl-SI"/>
              </w:rPr>
              <w:t xml:space="preserve"> G</w:t>
            </w:r>
            <w:r w:rsidRPr="00C97145">
              <w:rPr>
                <w:rFonts w:ascii="Arial" w:eastAsia="Times New Roman" w:hAnsi="Arial" w:cs="Arial"/>
                <w:b/>
                <w:bCs/>
                <w:sz w:val="20"/>
                <w:szCs w:val="20"/>
                <w:u w:val="single"/>
                <w:lang w:eastAsia="sl-SI"/>
              </w:rPr>
              <w:t>asilci</w:t>
            </w:r>
          </w:p>
        </w:tc>
      </w:tr>
      <w:tr w:rsidR="00FA0033" w:rsidRPr="00C97145" w14:paraId="2E64BE52" w14:textId="77777777" w:rsidTr="002470F7">
        <w:tc>
          <w:tcPr>
            <w:tcW w:w="9062" w:type="dxa"/>
          </w:tcPr>
          <w:p w14:paraId="6BF84465" w14:textId="6E7523EE" w:rsidR="00FA0033" w:rsidRPr="00EE4C2B" w:rsidRDefault="00FA0033" w:rsidP="002470F7">
            <w:pPr>
              <w:spacing w:line="240" w:lineRule="auto"/>
              <w:jc w:val="both"/>
              <w:rPr>
                <w:rFonts w:ascii="Arial" w:eastAsia="Times New Roman" w:hAnsi="Arial" w:cs="Arial"/>
                <w:sz w:val="20"/>
                <w:szCs w:val="20"/>
                <w:lang w:eastAsia="sl-SI"/>
              </w:rPr>
            </w:pPr>
            <w:r w:rsidRPr="00EE4C2B">
              <w:rPr>
                <w:rFonts w:ascii="Arial" w:eastAsia="Times New Roman" w:hAnsi="Arial" w:cs="Arial"/>
                <w:sz w:val="20"/>
                <w:szCs w:val="20"/>
                <w:lang w:eastAsia="sl-SI"/>
              </w:rPr>
              <w:t>- dodatek za stalnost</w:t>
            </w:r>
            <w:r w:rsidR="00B5693F" w:rsidRPr="00EE4C2B">
              <w:rPr>
                <w:rFonts w:ascii="Arial" w:eastAsia="Times New Roman" w:hAnsi="Arial" w:cs="Arial"/>
                <w:sz w:val="20"/>
                <w:szCs w:val="20"/>
                <w:lang w:eastAsia="sl-SI"/>
              </w:rPr>
              <w:t xml:space="preserve"> </w:t>
            </w:r>
            <w:r w:rsidRPr="00EE4C2B">
              <w:rPr>
                <w:rFonts w:ascii="Arial" w:eastAsia="Times New Roman" w:hAnsi="Arial" w:cs="Arial"/>
                <w:sz w:val="20"/>
                <w:szCs w:val="20"/>
                <w:lang w:eastAsia="sl-SI"/>
              </w:rPr>
              <w:t xml:space="preserve">- </w:t>
            </w:r>
            <w:r w:rsidR="00B5693F" w:rsidRPr="00EE4C2B">
              <w:rPr>
                <w:rFonts w:ascii="Arial" w:hAnsi="Arial" w:cs="Arial"/>
                <w:sz w:val="20"/>
                <w:szCs w:val="20"/>
                <w:lang w:eastAsia="sl-SI"/>
              </w:rPr>
              <w:t>0,33</w:t>
            </w:r>
            <w:r w:rsidR="00BA722B">
              <w:rPr>
                <w:rFonts w:ascii="Arial" w:hAnsi="Arial" w:cs="Arial"/>
                <w:sz w:val="20"/>
                <w:szCs w:val="20"/>
                <w:lang w:eastAsia="sl-SI"/>
              </w:rPr>
              <w:t xml:space="preserve"> odstotka</w:t>
            </w:r>
            <w:r w:rsidR="00B5693F" w:rsidRPr="00EE4C2B">
              <w:rPr>
                <w:rFonts w:ascii="Arial" w:hAnsi="Arial" w:cs="Arial"/>
                <w:sz w:val="20"/>
                <w:szCs w:val="20"/>
                <w:lang w:eastAsia="sl-SI"/>
              </w:rPr>
              <w:t xml:space="preserve"> osnovne plače (</w:t>
            </w:r>
            <w:r w:rsidRPr="00EE4C2B">
              <w:rPr>
                <w:rFonts w:ascii="Arial" w:eastAsia="Times New Roman" w:hAnsi="Arial" w:cs="Arial"/>
                <w:sz w:val="20"/>
                <w:szCs w:val="20"/>
                <w:lang w:eastAsia="sl-SI"/>
              </w:rPr>
              <w:t>14. č člen Zakona o gasilstvu</w:t>
            </w:r>
            <w:r w:rsidR="00B5693F" w:rsidRPr="00EE4C2B">
              <w:rPr>
                <w:rFonts w:ascii="Arial" w:eastAsia="Times New Roman" w:hAnsi="Arial" w:cs="Arial"/>
                <w:sz w:val="20"/>
                <w:szCs w:val="20"/>
                <w:lang w:eastAsia="sl-SI"/>
              </w:rPr>
              <w:t>)</w:t>
            </w:r>
          </w:p>
        </w:tc>
      </w:tr>
    </w:tbl>
    <w:p w14:paraId="69E60B5B" w14:textId="77777777" w:rsidR="00FA0033" w:rsidRPr="00C97145" w:rsidRDefault="00FA0033" w:rsidP="00FA0033">
      <w:pPr>
        <w:spacing w:line="260" w:lineRule="exact"/>
        <w:jc w:val="both"/>
        <w:rPr>
          <w:rFonts w:ascii="Arial" w:eastAsia="Times New Roman" w:hAnsi="Arial" w:cs="Arial"/>
          <w:b/>
          <w:bCs/>
          <w:sz w:val="20"/>
          <w:szCs w:val="20"/>
          <w:u w:val="single"/>
          <w:lang w:eastAsia="sl-SI"/>
        </w:rPr>
      </w:pPr>
    </w:p>
    <w:tbl>
      <w:tblPr>
        <w:tblStyle w:val="Tabelamrea"/>
        <w:tblW w:w="0" w:type="auto"/>
        <w:tblLook w:val="04A0" w:firstRow="1" w:lastRow="0" w:firstColumn="1" w:lastColumn="0" w:noHBand="0" w:noVBand="1"/>
      </w:tblPr>
      <w:tblGrid>
        <w:gridCol w:w="9062"/>
      </w:tblGrid>
      <w:tr w:rsidR="00FA0033" w:rsidRPr="00C97145" w14:paraId="1546FD76" w14:textId="77777777" w:rsidTr="002470F7">
        <w:tc>
          <w:tcPr>
            <w:tcW w:w="9062" w:type="dxa"/>
          </w:tcPr>
          <w:p w14:paraId="394E8B69" w14:textId="77777777" w:rsidR="00FA0033" w:rsidRPr="00C97145" w:rsidRDefault="00FA0033" w:rsidP="002470F7">
            <w:pPr>
              <w:spacing w:line="240" w:lineRule="auto"/>
              <w:jc w:val="both"/>
              <w:rPr>
                <w:rFonts w:ascii="Arial" w:hAnsi="Arial" w:cs="Arial"/>
                <w:b/>
                <w:bCs/>
                <w:sz w:val="20"/>
                <w:szCs w:val="20"/>
                <w:u w:val="single"/>
              </w:rPr>
            </w:pPr>
            <w:r w:rsidRPr="00C97145">
              <w:rPr>
                <w:rFonts w:ascii="Arial" w:eastAsia="Times New Roman" w:hAnsi="Arial" w:cs="Arial"/>
                <w:b/>
                <w:bCs/>
                <w:sz w:val="20"/>
                <w:szCs w:val="20"/>
                <w:u w:val="single"/>
                <w:lang w:eastAsia="sl-SI"/>
              </w:rPr>
              <w:t>PLAČNA SKUPINA</w:t>
            </w:r>
            <w:r w:rsidRPr="00C97145">
              <w:rPr>
                <w:rFonts w:ascii="Arial" w:hAnsi="Arial" w:cs="Arial"/>
                <w:b/>
                <w:bCs/>
                <w:sz w:val="20"/>
                <w:szCs w:val="20"/>
                <w:u w:val="single"/>
              </w:rPr>
              <w:t xml:space="preserve"> E (ZDRAVSTVO):</w:t>
            </w:r>
          </w:p>
        </w:tc>
      </w:tr>
      <w:tr w:rsidR="00FA0033" w:rsidRPr="00C97145" w14:paraId="56C83110" w14:textId="77777777" w:rsidTr="002470F7">
        <w:tc>
          <w:tcPr>
            <w:tcW w:w="9062" w:type="dxa"/>
          </w:tcPr>
          <w:p w14:paraId="5F7641D3" w14:textId="64CD58B7" w:rsidR="00FA0033" w:rsidRPr="00C97145" w:rsidRDefault="00FA0033" w:rsidP="002470F7">
            <w:pPr>
              <w:spacing w:line="240" w:lineRule="auto"/>
              <w:jc w:val="both"/>
              <w:rPr>
                <w:rFonts w:ascii="Arial" w:hAnsi="Arial" w:cs="Arial"/>
                <w:sz w:val="20"/>
                <w:szCs w:val="20"/>
              </w:rPr>
            </w:pPr>
            <w:r w:rsidRPr="00C97145">
              <w:rPr>
                <w:rFonts w:ascii="Arial" w:hAnsi="Arial" w:cs="Arial"/>
                <w:sz w:val="20"/>
                <w:szCs w:val="20"/>
              </w:rPr>
              <w:t xml:space="preserve">- </w:t>
            </w:r>
            <w:r w:rsidR="00EE4C2B">
              <w:rPr>
                <w:rFonts w:ascii="Arial" w:hAnsi="Arial" w:cs="Arial"/>
                <w:sz w:val="20"/>
                <w:szCs w:val="20"/>
              </w:rPr>
              <w:t>d</w:t>
            </w:r>
            <w:r w:rsidRPr="00C97145">
              <w:rPr>
                <w:rFonts w:ascii="Arial" w:hAnsi="Arial" w:cs="Arial"/>
                <w:sz w:val="20"/>
                <w:szCs w:val="20"/>
              </w:rPr>
              <w:t>odatek zaradi začasne razporeditve</w:t>
            </w:r>
            <w:r w:rsidR="00B5693F" w:rsidRPr="00C97145">
              <w:rPr>
                <w:rFonts w:ascii="Arial" w:hAnsi="Arial" w:cs="Arial"/>
                <w:sz w:val="20"/>
                <w:szCs w:val="20"/>
              </w:rPr>
              <w:t>:</w:t>
            </w:r>
            <w:r w:rsidR="00EE4C2B">
              <w:rPr>
                <w:rFonts w:ascii="Arial" w:hAnsi="Arial" w:cs="Arial"/>
                <w:sz w:val="20"/>
                <w:szCs w:val="20"/>
              </w:rPr>
              <w:t xml:space="preserve"> </w:t>
            </w:r>
            <w:r w:rsidRPr="00C97145">
              <w:rPr>
                <w:rFonts w:ascii="Arial" w:hAnsi="Arial" w:cs="Arial"/>
                <w:sz w:val="20"/>
                <w:szCs w:val="20"/>
              </w:rPr>
              <w:t>20 odstotkov urne postavke osnovne plače delavca</w:t>
            </w:r>
            <w:r w:rsidR="00B5693F" w:rsidRPr="00C97145">
              <w:rPr>
                <w:rFonts w:ascii="Arial" w:hAnsi="Arial" w:cs="Arial"/>
                <w:sz w:val="20"/>
                <w:szCs w:val="20"/>
              </w:rPr>
              <w:t xml:space="preserve"> (33. člen Zakona o nujnih ukrepih za zajezitev širjenja in blaženja posledic nalezljive bolezni COVID-19 na področju zdravstva)</w:t>
            </w:r>
            <w:r w:rsidRPr="00C97145">
              <w:rPr>
                <w:rFonts w:ascii="Arial" w:hAnsi="Arial" w:cs="Arial"/>
                <w:sz w:val="20"/>
                <w:szCs w:val="20"/>
              </w:rPr>
              <w:t xml:space="preserve"> </w:t>
            </w:r>
          </w:p>
        </w:tc>
      </w:tr>
      <w:tr w:rsidR="00FA0033" w:rsidRPr="00C97145" w14:paraId="3505AA92" w14:textId="77777777" w:rsidTr="002470F7">
        <w:tc>
          <w:tcPr>
            <w:tcW w:w="9062" w:type="dxa"/>
          </w:tcPr>
          <w:p w14:paraId="590F24DA" w14:textId="6760CF93" w:rsidR="00FA0033" w:rsidRPr="00C97145" w:rsidRDefault="00FA0033" w:rsidP="002470F7">
            <w:pPr>
              <w:jc w:val="both"/>
              <w:rPr>
                <w:rFonts w:ascii="Arial" w:hAnsi="Arial" w:cs="Arial"/>
                <w:sz w:val="20"/>
                <w:szCs w:val="20"/>
              </w:rPr>
            </w:pPr>
            <w:r w:rsidRPr="00C97145">
              <w:rPr>
                <w:rFonts w:ascii="Arial" w:hAnsi="Arial" w:cs="Arial"/>
                <w:sz w:val="20"/>
                <w:szCs w:val="20"/>
              </w:rPr>
              <w:t xml:space="preserve">- </w:t>
            </w:r>
            <w:r w:rsidR="00EE4C2B">
              <w:rPr>
                <w:rFonts w:ascii="Arial" w:hAnsi="Arial" w:cs="Arial"/>
                <w:sz w:val="20"/>
                <w:szCs w:val="20"/>
              </w:rPr>
              <w:t>d</w:t>
            </w:r>
            <w:r w:rsidRPr="00C97145">
              <w:rPr>
                <w:rFonts w:ascii="Arial" w:hAnsi="Arial" w:cs="Arial"/>
                <w:sz w:val="20"/>
                <w:szCs w:val="20"/>
              </w:rPr>
              <w:t>odatek za neposredno delo s pacienti oziroma uporabniki, obolelimi za COVID-19</w:t>
            </w:r>
            <w:r w:rsidR="00EE4C2B">
              <w:rPr>
                <w:rFonts w:ascii="Arial" w:hAnsi="Arial" w:cs="Arial"/>
                <w:sz w:val="20"/>
                <w:szCs w:val="20"/>
              </w:rPr>
              <w:t>:</w:t>
            </w:r>
            <w:r w:rsidRPr="00C97145">
              <w:rPr>
                <w:rFonts w:ascii="Arial" w:hAnsi="Arial" w:cs="Arial"/>
                <w:sz w:val="20"/>
                <w:szCs w:val="20"/>
              </w:rPr>
              <w:t xml:space="preserve"> </w:t>
            </w:r>
            <w:r w:rsidR="00B5693F" w:rsidRPr="00C97145">
              <w:rPr>
                <w:rFonts w:ascii="Arial" w:hAnsi="Arial" w:cs="Arial"/>
                <w:sz w:val="20"/>
                <w:szCs w:val="20"/>
              </w:rPr>
              <w:t>do 900 eur bruto mesečno (36. člen Zakona o nujnih ukrepih za zajezitev širjenja in blaženja posledic nalezljive bolezni COVID-19 na področju zdravstva)</w:t>
            </w:r>
          </w:p>
        </w:tc>
      </w:tr>
      <w:tr w:rsidR="00FA0033" w:rsidRPr="00C97145" w14:paraId="4049245B" w14:textId="77777777" w:rsidTr="002470F7">
        <w:tc>
          <w:tcPr>
            <w:tcW w:w="9062" w:type="dxa"/>
          </w:tcPr>
          <w:p w14:paraId="356D61AE" w14:textId="08081EBC" w:rsidR="00FA0033" w:rsidRPr="00C97145" w:rsidRDefault="00FA0033" w:rsidP="002470F7">
            <w:pPr>
              <w:jc w:val="both"/>
              <w:rPr>
                <w:rFonts w:ascii="Arial" w:hAnsi="Arial" w:cs="Arial"/>
                <w:sz w:val="20"/>
                <w:szCs w:val="20"/>
              </w:rPr>
            </w:pPr>
            <w:r w:rsidRPr="00C97145">
              <w:rPr>
                <w:rFonts w:ascii="Arial" w:hAnsi="Arial" w:cs="Arial"/>
                <w:sz w:val="20"/>
                <w:szCs w:val="20"/>
              </w:rPr>
              <w:t xml:space="preserve">- </w:t>
            </w:r>
            <w:r w:rsidR="00EE4C2B">
              <w:rPr>
                <w:rFonts w:ascii="Arial" w:hAnsi="Arial" w:cs="Arial"/>
                <w:sz w:val="20"/>
                <w:szCs w:val="20"/>
              </w:rPr>
              <w:t>d</w:t>
            </w:r>
            <w:r w:rsidRPr="00C97145">
              <w:rPr>
                <w:rFonts w:ascii="Arial" w:hAnsi="Arial" w:cs="Arial"/>
                <w:sz w:val="20"/>
                <w:szCs w:val="20"/>
              </w:rPr>
              <w:t xml:space="preserve">odatek za izbiro specializacije iz družinske medicine </w:t>
            </w:r>
            <w:r w:rsidR="00B5693F" w:rsidRPr="00C97145">
              <w:rPr>
                <w:rFonts w:ascii="Arial" w:hAnsi="Arial" w:cs="Arial"/>
                <w:sz w:val="20"/>
                <w:szCs w:val="20"/>
              </w:rPr>
              <w:t>–</w:t>
            </w:r>
            <w:r w:rsidRPr="00C97145">
              <w:rPr>
                <w:rFonts w:ascii="Arial" w:hAnsi="Arial" w:cs="Arial"/>
                <w:sz w:val="20"/>
                <w:szCs w:val="20"/>
              </w:rPr>
              <w:t xml:space="preserve"> </w:t>
            </w:r>
            <w:r w:rsidR="00B5693F" w:rsidRPr="00C97145">
              <w:rPr>
                <w:rFonts w:ascii="Arial" w:hAnsi="Arial" w:cs="Arial"/>
                <w:sz w:val="20"/>
                <w:szCs w:val="20"/>
              </w:rPr>
              <w:t xml:space="preserve">odobritev specializacija v letu 2023: v višini 1000 eurov bruto mesečno (35. člen Zakona o nujnih ukrepih za zajezitev širjenja in blaženja posledic nalezljive bolezni COVID-19 na področju zdravstva), odobritev specializacije v letih 2021 in 2022: v višini </w:t>
            </w:r>
            <w:r w:rsidR="00507975" w:rsidRPr="00C97145">
              <w:rPr>
                <w:rFonts w:ascii="Arial" w:hAnsi="Arial" w:cs="Arial"/>
                <w:sz w:val="20"/>
                <w:szCs w:val="20"/>
              </w:rPr>
              <w:t>20 odstotkov urne postavke osnovne plače</w:t>
            </w:r>
            <w:r w:rsidR="00EE4C2B">
              <w:rPr>
                <w:rFonts w:ascii="Arial" w:hAnsi="Arial" w:cs="Arial"/>
                <w:sz w:val="20"/>
                <w:szCs w:val="20"/>
              </w:rPr>
              <w:t xml:space="preserve"> </w:t>
            </w:r>
            <w:r w:rsidR="00B5693F" w:rsidRPr="00C97145">
              <w:rPr>
                <w:rFonts w:ascii="Arial" w:hAnsi="Arial" w:cs="Arial"/>
                <w:sz w:val="20"/>
                <w:szCs w:val="20"/>
              </w:rPr>
              <w:t>(prvi odstavek 24. člena Zakona o nujnih ukrepih na področju zdravstva)</w:t>
            </w:r>
            <w:r w:rsidR="00507975" w:rsidRPr="00C97145">
              <w:rPr>
                <w:rFonts w:ascii="Arial" w:hAnsi="Arial" w:cs="Arial"/>
                <w:sz w:val="20"/>
                <w:szCs w:val="20"/>
              </w:rPr>
              <w:t>.</w:t>
            </w:r>
          </w:p>
        </w:tc>
      </w:tr>
      <w:tr w:rsidR="00FA0033" w:rsidRPr="00C97145" w14:paraId="0FBAA7C8" w14:textId="77777777" w:rsidTr="002470F7">
        <w:tc>
          <w:tcPr>
            <w:tcW w:w="9062" w:type="dxa"/>
          </w:tcPr>
          <w:p w14:paraId="7F739226" w14:textId="1A0F1F21" w:rsidR="00FA0033" w:rsidRPr="00C97145" w:rsidRDefault="00FA0033" w:rsidP="002470F7">
            <w:pPr>
              <w:jc w:val="both"/>
              <w:rPr>
                <w:rFonts w:ascii="Arial" w:hAnsi="Arial" w:cs="Arial"/>
                <w:sz w:val="20"/>
                <w:szCs w:val="20"/>
              </w:rPr>
            </w:pPr>
            <w:r w:rsidRPr="00C97145">
              <w:rPr>
                <w:rFonts w:ascii="Arial" w:hAnsi="Arial" w:cs="Arial"/>
                <w:sz w:val="20"/>
                <w:szCs w:val="20"/>
              </w:rPr>
              <w:t xml:space="preserve">- </w:t>
            </w:r>
            <w:r w:rsidR="00EE4C2B">
              <w:rPr>
                <w:rFonts w:ascii="Arial" w:hAnsi="Arial" w:cs="Arial"/>
                <w:sz w:val="20"/>
                <w:szCs w:val="20"/>
              </w:rPr>
              <w:t>d</w:t>
            </w:r>
            <w:r w:rsidRPr="00C97145">
              <w:rPr>
                <w:rFonts w:ascii="Arial" w:hAnsi="Arial" w:cs="Arial"/>
                <w:sz w:val="20"/>
                <w:szCs w:val="20"/>
              </w:rPr>
              <w:t xml:space="preserve">odatek za povečan obseg dela za posebne obremenitve - v ambulantah na primarni ravni zdravstvene dejavnosti, do 2000 eurov mesečno za polni delovni čas </w:t>
            </w:r>
            <w:r w:rsidR="00B5693F" w:rsidRPr="00C97145">
              <w:rPr>
                <w:rFonts w:ascii="Arial" w:hAnsi="Arial" w:cs="Arial"/>
                <w:sz w:val="20"/>
                <w:szCs w:val="20"/>
              </w:rPr>
              <w:t>(16. člen Zakona o nujnih ukrepih za zagotovitev stabilnosti zdravstvenega sistema)</w:t>
            </w:r>
          </w:p>
        </w:tc>
      </w:tr>
      <w:tr w:rsidR="00FA0033" w:rsidRPr="00C97145" w14:paraId="0D7CD5D7" w14:textId="77777777" w:rsidTr="002470F7">
        <w:tc>
          <w:tcPr>
            <w:tcW w:w="9062" w:type="dxa"/>
          </w:tcPr>
          <w:p w14:paraId="06C34D65" w14:textId="5151BD2F" w:rsidR="00507975" w:rsidRPr="00C97145" w:rsidRDefault="00FA0033" w:rsidP="00C97145">
            <w:pPr>
              <w:jc w:val="both"/>
              <w:rPr>
                <w:rFonts w:ascii="Arial" w:hAnsi="Arial" w:cs="Arial"/>
                <w:sz w:val="20"/>
                <w:szCs w:val="20"/>
              </w:rPr>
            </w:pPr>
            <w:r w:rsidRPr="00C97145">
              <w:rPr>
                <w:rFonts w:ascii="Arial" w:hAnsi="Arial" w:cs="Arial"/>
                <w:sz w:val="20"/>
                <w:szCs w:val="20"/>
              </w:rPr>
              <w:t xml:space="preserve">- </w:t>
            </w:r>
            <w:r w:rsidR="00EE4C2B">
              <w:rPr>
                <w:rFonts w:ascii="Arial" w:hAnsi="Arial" w:cs="Arial"/>
                <w:sz w:val="20"/>
                <w:szCs w:val="20"/>
              </w:rPr>
              <w:t>d</w:t>
            </w:r>
            <w:r w:rsidRPr="00C97145">
              <w:rPr>
                <w:rFonts w:ascii="Arial" w:hAnsi="Arial" w:cs="Arial"/>
                <w:sz w:val="20"/>
                <w:szCs w:val="20"/>
              </w:rPr>
              <w:t>odatek</w:t>
            </w:r>
            <w:r w:rsidR="00924955" w:rsidRPr="00C97145">
              <w:rPr>
                <w:rFonts w:ascii="Arial" w:hAnsi="Arial" w:cs="Arial"/>
                <w:sz w:val="20"/>
                <w:szCs w:val="20"/>
              </w:rPr>
              <w:t xml:space="preserve"> </w:t>
            </w:r>
            <w:r w:rsidRPr="00C97145">
              <w:rPr>
                <w:rFonts w:ascii="Arial" w:eastAsia="Times New Roman" w:hAnsi="Arial" w:cs="Arial"/>
                <w:sz w:val="20"/>
                <w:szCs w:val="20"/>
                <w:lang w:eastAsia="sl-SI"/>
              </w:rPr>
              <w:t>za posebne pogoje dela na območjih občin z nižjo razvitostjo -</w:t>
            </w:r>
            <w:r w:rsidRPr="00C97145">
              <w:rPr>
                <w:rFonts w:ascii="Arial" w:hAnsi="Arial" w:cs="Arial"/>
                <w:sz w:val="20"/>
                <w:szCs w:val="20"/>
              </w:rPr>
              <w:t xml:space="preserve"> do 500 eurov mesečno za polni delovni čas </w:t>
            </w:r>
            <w:r w:rsidR="00E4361D" w:rsidRPr="00C97145">
              <w:rPr>
                <w:rFonts w:ascii="Arial" w:hAnsi="Arial" w:cs="Arial"/>
                <w:sz w:val="20"/>
                <w:szCs w:val="20"/>
              </w:rPr>
              <w:t>(16. člen Zakona o nujnih ukrepih za zagotovitev stabilnosti zdravstvenega sistema)</w:t>
            </w:r>
          </w:p>
        </w:tc>
      </w:tr>
      <w:tr w:rsidR="005E0869" w:rsidRPr="00C97145" w14:paraId="1EAFAFC4" w14:textId="77777777" w:rsidTr="005E0869">
        <w:tc>
          <w:tcPr>
            <w:tcW w:w="9062" w:type="dxa"/>
          </w:tcPr>
          <w:p w14:paraId="46BEBEEF" w14:textId="1B87A9B5" w:rsidR="005E0869" w:rsidRPr="00C97145" w:rsidRDefault="00337638" w:rsidP="00C97145">
            <w:pPr>
              <w:jc w:val="both"/>
              <w:rPr>
                <w:rFonts w:ascii="Arial" w:hAnsi="Arial" w:cs="Arial"/>
                <w:sz w:val="20"/>
                <w:szCs w:val="20"/>
              </w:rPr>
            </w:pPr>
            <w:r w:rsidRPr="00C97145">
              <w:rPr>
                <w:rFonts w:ascii="Arial" w:hAnsi="Arial" w:cs="Arial"/>
                <w:sz w:val="20"/>
                <w:szCs w:val="20"/>
              </w:rPr>
              <w:t xml:space="preserve">- </w:t>
            </w:r>
            <w:r w:rsidR="00EE4C2B">
              <w:rPr>
                <w:rFonts w:ascii="Arial" w:hAnsi="Arial" w:cs="Arial"/>
                <w:sz w:val="20"/>
                <w:szCs w:val="20"/>
              </w:rPr>
              <w:t>d</w:t>
            </w:r>
            <w:r w:rsidR="005E0869" w:rsidRPr="00C97145">
              <w:rPr>
                <w:rFonts w:ascii="Arial" w:hAnsi="Arial" w:cs="Arial"/>
                <w:sz w:val="20"/>
                <w:szCs w:val="20"/>
              </w:rPr>
              <w:t>elovna uspešnost iz naslova posebnega vladnega projekta za plačno skupino J v dejavnosti zdravstva</w:t>
            </w:r>
            <w:r w:rsidR="00E4361D" w:rsidRPr="00C97145">
              <w:rPr>
                <w:rFonts w:ascii="Arial" w:hAnsi="Arial" w:cs="Arial"/>
                <w:sz w:val="20"/>
                <w:szCs w:val="20"/>
              </w:rPr>
              <w:t>: v višini do 150 evrov bruto za polni delovni čas</w:t>
            </w:r>
            <w:r w:rsidR="005E0869" w:rsidRPr="00C97145">
              <w:rPr>
                <w:rFonts w:ascii="Arial" w:hAnsi="Arial" w:cs="Arial"/>
                <w:sz w:val="20"/>
                <w:szCs w:val="20"/>
              </w:rPr>
              <w:t xml:space="preserve"> </w:t>
            </w:r>
          </w:p>
        </w:tc>
      </w:tr>
    </w:tbl>
    <w:p w14:paraId="09244AC9" w14:textId="77777777" w:rsidR="00FA0033" w:rsidRPr="00C97145" w:rsidRDefault="00FA0033" w:rsidP="00FA0033">
      <w:pPr>
        <w:spacing w:line="240" w:lineRule="auto"/>
        <w:jc w:val="both"/>
        <w:rPr>
          <w:rFonts w:ascii="Arial" w:hAnsi="Arial" w:cs="Arial"/>
          <w:b/>
          <w:bCs/>
          <w:sz w:val="20"/>
          <w:szCs w:val="20"/>
          <w:u w:val="single"/>
        </w:rPr>
      </w:pPr>
    </w:p>
    <w:tbl>
      <w:tblPr>
        <w:tblStyle w:val="Tabelamrea"/>
        <w:tblW w:w="0" w:type="auto"/>
        <w:tblLook w:val="04A0" w:firstRow="1" w:lastRow="0" w:firstColumn="1" w:lastColumn="0" w:noHBand="0" w:noVBand="1"/>
      </w:tblPr>
      <w:tblGrid>
        <w:gridCol w:w="9062"/>
      </w:tblGrid>
      <w:tr w:rsidR="00FA0033" w:rsidRPr="00C97145" w14:paraId="056FC17D" w14:textId="77777777" w:rsidTr="002470F7">
        <w:tc>
          <w:tcPr>
            <w:tcW w:w="9062" w:type="dxa"/>
          </w:tcPr>
          <w:p w14:paraId="5055C4E7" w14:textId="77777777" w:rsidR="00FA0033" w:rsidRPr="00C97145" w:rsidRDefault="00FA0033" w:rsidP="002470F7">
            <w:pPr>
              <w:spacing w:line="240" w:lineRule="auto"/>
              <w:jc w:val="both"/>
              <w:rPr>
                <w:rFonts w:ascii="Arial" w:hAnsi="Arial" w:cs="Arial"/>
                <w:b/>
                <w:bCs/>
                <w:sz w:val="20"/>
                <w:szCs w:val="20"/>
                <w:u w:val="single"/>
              </w:rPr>
            </w:pPr>
            <w:r w:rsidRPr="00C97145">
              <w:rPr>
                <w:rFonts w:ascii="Arial" w:hAnsi="Arial" w:cs="Arial"/>
                <w:b/>
                <w:bCs/>
                <w:sz w:val="20"/>
                <w:szCs w:val="20"/>
                <w:u w:val="single"/>
              </w:rPr>
              <w:t>PLAČNA SKUPINA F (SOCIALNO VARSTVO)</w:t>
            </w:r>
          </w:p>
        </w:tc>
      </w:tr>
      <w:tr w:rsidR="00FA0033" w:rsidRPr="00C97145" w14:paraId="67D2967C" w14:textId="77777777" w:rsidTr="002470F7">
        <w:tc>
          <w:tcPr>
            <w:tcW w:w="9062" w:type="dxa"/>
          </w:tcPr>
          <w:p w14:paraId="2B5E9DA5" w14:textId="3E7B5D5B" w:rsidR="00FA0033" w:rsidRPr="00C97145" w:rsidRDefault="00FA0033" w:rsidP="002470F7">
            <w:pPr>
              <w:spacing w:line="240" w:lineRule="auto"/>
              <w:jc w:val="both"/>
              <w:rPr>
                <w:rFonts w:ascii="Arial" w:hAnsi="Arial" w:cs="Arial"/>
                <w:sz w:val="20"/>
                <w:szCs w:val="20"/>
              </w:rPr>
            </w:pPr>
            <w:r w:rsidRPr="00C97145">
              <w:rPr>
                <w:rFonts w:ascii="Arial" w:hAnsi="Arial" w:cs="Arial"/>
                <w:sz w:val="20"/>
                <w:szCs w:val="20"/>
              </w:rPr>
              <w:t xml:space="preserve">- </w:t>
            </w:r>
            <w:r w:rsidR="00EE4C2B">
              <w:rPr>
                <w:rFonts w:ascii="Arial" w:hAnsi="Arial" w:cs="Arial"/>
                <w:sz w:val="20"/>
                <w:szCs w:val="20"/>
              </w:rPr>
              <w:t>d</w:t>
            </w:r>
            <w:r w:rsidRPr="00C97145">
              <w:rPr>
                <w:rFonts w:ascii="Arial" w:hAnsi="Arial" w:cs="Arial"/>
                <w:sz w:val="20"/>
                <w:szCs w:val="20"/>
              </w:rPr>
              <w:t xml:space="preserve">odatek zaradi začasne razporeditve - 20 odstotkov urne postavke osnovne plače delavca </w:t>
            </w:r>
            <w:r w:rsidR="00E4361D" w:rsidRPr="00C97145">
              <w:rPr>
                <w:rFonts w:ascii="Arial" w:hAnsi="Arial" w:cs="Arial"/>
                <w:sz w:val="20"/>
                <w:szCs w:val="20"/>
              </w:rPr>
              <w:t>(33. člen Zakona o nujnih ukrepih za zajezitev širjenja in blaženja posledic nalezljive bolezni COVID-19 na področju zdravstva)</w:t>
            </w:r>
          </w:p>
        </w:tc>
      </w:tr>
      <w:tr w:rsidR="00FA0033" w:rsidRPr="00C97145" w14:paraId="0A0E8F18" w14:textId="77777777" w:rsidTr="002470F7">
        <w:tc>
          <w:tcPr>
            <w:tcW w:w="9062" w:type="dxa"/>
          </w:tcPr>
          <w:p w14:paraId="14E40132" w14:textId="670082A1" w:rsidR="00FA0033" w:rsidRPr="00C97145" w:rsidRDefault="00FA0033" w:rsidP="002470F7">
            <w:pPr>
              <w:jc w:val="both"/>
              <w:rPr>
                <w:rFonts w:ascii="Arial" w:hAnsi="Arial" w:cs="Arial"/>
                <w:sz w:val="20"/>
                <w:szCs w:val="20"/>
              </w:rPr>
            </w:pPr>
            <w:r w:rsidRPr="00C97145">
              <w:rPr>
                <w:rFonts w:ascii="Arial" w:hAnsi="Arial" w:cs="Arial"/>
                <w:sz w:val="20"/>
                <w:szCs w:val="20"/>
              </w:rPr>
              <w:lastRenderedPageBreak/>
              <w:t xml:space="preserve">-  </w:t>
            </w:r>
            <w:r w:rsidR="00EE4C2B">
              <w:rPr>
                <w:rFonts w:ascii="Arial" w:hAnsi="Arial" w:cs="Arial"/>
                <w:sz w:val="20"/>
                <w:szCs w:val="20"/>
              </w:rPr>
              <w:t>d</w:t>
            </w:r>
            <w:r w:rsidRPr="00C97145">
              <w:rPr>
                <w:rFonts w:ascii="Arial" w:hAnsi="Arial" w:cs="Arial"/>
                <w:sz w:val="20"/>
                <w:szCs w:val="20"/>
              </w:rPr>
              <w:t xml:space="preserve">odatek za neposredno delo s pacienti oziroma uporabniki, obolelimi za COVID-19 - </w:t>
            </w:r>
            <w:r w:rsidR="00E4361D" w:rsidRPr="00C97145">
              <w:rPr>
                <w:rFonts w:ascii="Arial" w:hAnsi="Arial" w:cs="Arial"/>
                <w:sz w:val="20"/>
                <w:szCs w:val="20"/>
              </w:rPr>
              <w:t>do 900 eur bruto mesečno (36. člen Zakona o nujnih ukrepih za zajezitev širjenja in blaženja posledic nalezljive bolezni COVID-19 na področju zdravstva)</w:t>
            </w:r>
          </w:p>
        </w:tc>
      </w:tr>
      <w:tr w:rsidR="009A3575" w:rsidRPr="00C97145" w14:paraId="42759293" w14:textId="77777777" w:rsidTr="002470F7">
        <w:tc>
          <w:tcPr>
            <w:tcW w:w="9062" w:type="dxa"/>
          </w:tcPr>
          <w:p w14:paraId="22A581E9" w14:textId="3798EBEA" w:rsidR="009A3575" w:rsidRPr="00C97145" w:rsidRDefault="003B34D7" w:rsidP="003B34D7">
            <w:pPr>
              <w:suppressAutoHyphens/>
              <w:overflowPunct w:val="0"/>
              <w:autoSpaceDE w:val="0"/>
              <w:autoSpaceDN w:val="0"/>
              <w:adjustRightInd w:val="0"/>
              <w:jc w:val="both"/>
              <w:textAlignment w:val="baseline"/>
              <w:rPr>
                <w:rFonts w:ascii="Arial" w:hAnsi="Arial" w:cs="Arial"/>
                <w:sz w:val="20"/>
                <w:szCs w:val="20"/>
              </w:rPr>
            </w:pPr>
            <w:r w:rsidRPr="00C97145">
              <w:rPr>
                <w:rFonts w:ascii="Arial" w:hAnsi="Arial" w:cs="Arial"/>
                <w:sz w:val="20"/>
                <w:szCs w:val="20"/>
              </w:rPr>
              <w:t xml:space="preserve">- </w:t>
            </w:r>
            <w:r w:rsidR="00EE4C2B">
              <w:rPr>
                <w:rFonts w:ascii="Arial" w:hAnsi="Arial" w:cs="Arial"/>
                <w:sz w:val="20"/>
                <w:szCs w:val="20"/>
              </w:rPr>
              <w:t>d</w:t>
            </w:r>
            <w:r w:rsidR="009A3575" w:rsidRPr="00C97145">
              <w:rPr>
                <w:rFonts w:ascii="Arial" w:hAnsi="Arial" w:cs="Arial"/>
                <w:sz w:val="20"/>
                <w:szCs w:val="20"/>
              </w:rPr>
              <w:t xml:space="preserve">elovna uspešnost iz naslova posebnega vladnega projekta za plačno skupino J v dejavnosti </w:t>
            </w:r>
            <w:r w:rsidR="00B24D31" w:rsidRPr="00C97145">
              <w:rPr>
                <w:rFonts w:ascii="Arial" w:hAnsi="Arial" w:cs="Arial"/>
                <w:sz w:val="20"/>
                <w:szCs w:val="20"/>
              </w:rPr>
              <w:t>socialnega varstva</w:t>
            </w:r>
            <w:r w:rsidR="00E4361D" w:rsidRPr="00C97145">
              <w:rPr>
                <w:rFonts w:ascii="Arial" w:hAnsi="Arial" w:cs="Arial"/>
                <w:sz w:val="20"/>
                <w:szCs w:val="20"/>
              </w:rPr>
              <w:t>: v višini do 150 evrov bruto za polni delovni čas</w:t>
            </w:r>
          </w:p>
        </w:tc>
      </w:tr>
    </w:tbl>
    <w:p w14:paraId="6B943A79" w14:textId="77777777" w:rsidR="00FA0033" w:rsidRPr="00C97145" w:rsidRDefault="00FA0033" w:rsidP="00FA0033">
      <w:pPr>
        <w:jc w:val="both"/>
        <w:rPr>
          <w:rFonts w:ascii="Arial" w:hAnsi="Arial" w:cs="Arial"/>
          <w:b/>
          <w:bCs/>
          <w:sz w:val="20"/>
          <w:szCs w:val="20"/>
        </w:rPr>
      </w:pPr>
    </w:p>
    <w:tbl>
      <w:tblPr>
        <w:tblStyle w:val="Tabelamrea"/>
        <w:tblW w:w="0" w:type="auto"/>
        <w:tblLook w:val="04A0" w:firstRow="1" w:lastRow="0" w:firstColumn="1" w:lastColumn="0" w:noHBand="0" w:noVBand="1"/>
      </w:tblPr>
      <w:tblGrid>
        <w:gridCol w:w="9062"/>
      </w:tblGrid>
      <w:tr w:rsidR="00FA0033" w:rsidRPr="00C97145" w14:paraId="3CDC0618" w14:textId="77777777" w:rsidTr="002470F7">
        <w:tc>
          <w:tcPr>
            <w:tcW w:w="9062" w:type="dxa"/>
          </w:tcPr>
          <w:p w14:paraId="30941AFC" w14:textId="77777777" w:rsidR="00FA0033" w:rsidRPr="00C97145" w:rsidRDefault="00FA0033" w:rsidP="002470F7">
            <w:pPr>
              <w:spacing w:after="0" w:line="240" w:lineRule="auto"/>
              <w:rPr>
                <w:rFonts w:ascii="Arial" w:eastAsia="Times New Roman" w:hAnsi="Arial" w:cs="Arial"/>
                <w:sz w:val="20"/>
                <w:szCs w:val="20"/>
                <w:lang w:eastAsia="sl-SI"/>
              </w:rPr>
            </w:pPr>
            <w:r w:rsidRPr="00C97145">
              <w:rPr>
                <w:rFonts w:ascii="Arial" w:eastAsia="Times New Roman" w:hAnsi="Arial" w:cs="Arial"/>
                <w:b/>
                <w:bCs/>
                <w:sz w:val="20"/>
                <w:szCs w:val="20"/>
                <w:u w:val="single"/>
                <w:lang w:eastAsia="sl-SI"/>
              </w:rPr>
              <w:t xml:space="preserve">PLAČNA SKUPINA D </w:t>
            </w:r>
          </w:p>
        </w:tc>
      </w:tr>
      <w:tr w:rsidR="00FA0033" w:rsidRPr="00C97145" w14:paraId="15BA6E2A" w14:textId="77777777" w:rsidTr="002470F7">
        <w:tc>
          <w:tcPr>
            <w:tcW w:w="9062" w:type="dxa"/>
          </w:tcPr>
          <w:p w14:paraId="5FE2AAAC" w14:textId="0701628C" w:rsidR="00FA0033" w:rsidRPr="00EE4C2B" w:rsidRDefault="00EE4C2B" w:rsidP="00EE4C2B">
            <w:pPr>
              <w:spacing w:after="0" w:line="240" w:lineRule="auto"/>
              <w:rPr>
                <w:rFonts w:ascii="Arial" w:hAnsi="Arial" w:cs="Arial"/>
                <w:sz w:val="20"/>
                <w:szCs w:val="20"/>
                <w:lang w:eastAsia="sl-SI"/>
              </w:rPr>
            </w:pPr>
            <w:r>
              <w:rPr>
                <w:rFonts w:ascii="Arial" w:hAnsi="Arial" w:cs="Arial"/>
                <w:sz w:val="20"/>
                <w:szCs w:val="20"/>
                <w:lang w:eastAsia="sl-SI"/>
              </w:rPr>
              <w:t>- p</w:t>
            </w:r>
            <w:r w:rsidR="00FA0033" w:rsidRPr="00EE4C2B">
              <w:rPr>
                <w:rFonts w:ascii="Arial" w:hAnsi="Arial" w:cs="Arial"/>
                <w:sz w:val="20"/>
                <w:szCs w:val="20"/>
                <w:lang w:eastAsia="sl-SI"/>
              </w:rPr>
              <w:t>ovečana pedagoška in učna obveznost</w:t>
            </w:r>
            <w:r w:rsidR="00E4361D" w:rsidRPr="00EE4C2B">
              <w:rPr>
                <w:rFonts w:ascii="Arial" w:hAnsi="Arial" w:cs="Arial"/>
                <w:sz w:val="20"/>
                <w:szCs w:val="20"/>
                <w:lang w:eastAsia="sl-SI"/>
              </w:rPr>
              <w:t xml:space="preserve"> (faktorji, s katerimi se pomnoži bruto urna postavka so določeni v Uredbi o enotni metodologiji in obrazcih za obračun in izplačilo plač v javnem sektorju)</w:t>
            </w:r>
            <w:r>
              <w:rPr>
                <w:rFonts w:ascii="Arial" w:hAnsi="Arial" w:cs="Arial"/>
                <w:sz w:val="20"/>
                <w:szCs w:val="20"/>
                <w:lang w:eastAsia="sl-SI"/>
              </w:rPr>
              <w:t>:</w:t>
            </w:r>
          </w:p>
        </w:tc>
      </w:tr>
      <w:tr w:rsidR="00FA0033" w:rsidRPr="00C97145" w14:paraId="0A2561C5" w14:textId="77777777" w:rsidTr="002470F7">
        <w:tc>
          <w:tcPr>
            <w:tcW w:w="9062" w:type="dxa"/>
          </w:tcPr>
          <w:p w14:paraId="2C210764" w14:textId="77777777" w:rsidR="00FA0033" w:rsidRPr="00C97145" w:rsidRDefault="00FA0033" w:rsidP="002470F7">
            <w:pPr>
              <w:pStyle w:val="Odstavekseznama"/>
              <w:spacing w:before="100" w:beforeAutospacing="1" w:after="100" w:afterAutospacing="1" w:line="240" w:lineRule="auto"/>
              <w:ind w:left="0"/>
              <w:rPr>
                <w:rFonts w:ascii="Arial" w:eastAsia="Times New Roman" w:hAnsi="Arial" w:cs="Arial"/>
                <w:sz w:val="20"/>
                <w:szCs w:val="20"/>
                <w:lang w:eastAsia="sl-SI"/>
              </w:rPr>
            </w:pPr>
            <w:r w:rsidRPr="00C97145">
              <w:rPr>
                <w:rFonts w:ascii="Arial" w:hAnsi="Arial" w:cs="Arial"/>
                <w:sz w:val="20"/>
                <w:szCs w:val="20"/>
                <w:lang w:eastAsia="sl-SI"/>
              </w:rPr>
              <w:t xml:space="preserve"> - </w:t>
            </w:r>
            <w:r w:rsidRPr="00C97145">
              <w:rPr>
                <w:rFonts w:ascii="Arial" w:eastAsia="Times New Roman" w:hAnsi="Arial" w:cs="Arial"/>
                <w:sz w:val="20"/>
                <w:szCs w:val="20"/>
                <w:lang w:eastAsia="sl-SI"/>
              </w:rPr>
              <w:t xml:space="preserve"> za učitelje in druge strokovne delavce faktor od 1,00 do 1,30</w:t>
            </w:r>
          </w:p>
        </w:tc>
      </w:tr>
      <w:tr w:rsidR="00FA0033" w:rsidRPr="00C97145" w14:paraId="2E32E5C3" w14:textId="77777777" w:rsidTr="002470F7">
        <w:tc>
          <w:tcPr>
            <w:tcW w:w="9062" w:type="dxa"/>
          </w:tcPr>
          <w:p w14:paraId="57247F42" w14:textId="57F0F7EB" w:rsidR="00FA0033" w:rsidRPr="00C97145" w:rsidRDefault="00FA0033" w:rsidP="002470F7">
            <w:pPr>
              <w:pStyle w:val="Odstavekseznama"/>
              <w:spacing w:before="100" w:beforeAutospacing="1" w:after="100" w:afterAutospacing="1" w:line="240" w:lineRule="auto"/>
              <w:ind w:left="0"/>
              <w:rPr>
                <w:rFonts w:ascii="Arial" w:eastAsia="Times New Roman" w:hAnsi="Arial" w:cs="Arial"/>
                <w:sz w:val="20"/>
                <w:szCs w:val="20"/>
                <w:lang w:eastAsia="sl-SI"/>
              </w:rPr>
            </w:pPr>
            <w:r w:rsidRPr="00C97145">
              <w:rPr>
                <w:rFonts w:ascii="Arial" w:hAnsi="Arial" w:cs="Arial"/>
                <w:sz w:val="20"/>
                <w:szCs w:val="20"/>
                <w:lang w:eastAsia="sl-SI"/>
              </w:rPr>
              <w:t xml:space="preserve"> -</w:t>
            </w:r>
            <w:r w:rsidRPr="00C97145">
              <w:rPr>
                <w:rFonts w:ascii="Arial" w:eastAsia="Times New Roman" w:hAnsi="Arial" w:cs="Arial"/>
                <w:sz w:val="20"/>
                <w:szCs w:val="20"/>
                <w:lang w:eastAsia="sl-SI"/>
              </w:rPr>
              <w:t xml:space="preserve"> za visokošolske učitelje in sodelavce faktor od 2,65 do 3,00</w:t>
            </w:r>
          </w:p>
        </w:tc>
      </w:tr>
    </w:tbl>
    <w:p w14:paraId="07F0913F" w14:textId="1E972FA2" w:rsidR="001B24D8" w:rsidRPr="00C97145" w:rsidRDefault="001B24D8" w:rsidP="001B24D8">
      <w:pPr>
        <w:jc w:val="both"/>
        <w:rPr>
          <w:rFonts w:ascii="Arial" w:hAnsi="Arial" w:cs="Arial"/>
          <w:sz w:val="20"/>
          <w:szCs w:val="20"/>
        </w:rPr>
      </w:pPr>
    </w:p>
    <w:p w14:paraId="3A54C84D" w14:textId="1E0C051D" w:rsidR="00774F45" w:rsidRPr="00C97145" w:rsidRDefault="00774F45" w:rsidP="00774F45">
      <w:pPr>
        <w:jc w:val="both"/>
        <w:rPr>
          <w:rFonts w:ascii="Arial" w:hAnsi="Arial" w:cs="Arial"/>
          <w:sz w:val="20"/>
          <w:szCs w:val="20"/>
        </w:rPr>
      </w:pPr>
      <w:r w:rsidRPr="00C97145">
        <w:rPr>
          <w:rFonts w:ascii="Arial" w:hAnsi="Arial" w:cs="Arial"/>
          <w:sz w:val="20"/>
          <w:szCs w:val="20"/>
        </w:rPr>
        <w:t>Delež dodatkov in dela plače za delovno uspešnost v bruto plači se je zato od leta 2008 dalje povečal</w:t>
      </w:r>
      <w:r w:rsidR="002858A7">
        <w:rPr>
          <w:rFonts w:ascii="Arial" w:hAnsi="Arial" w:cs="Arial"/>
          <w:sz w:val="20"/>
          <w:szCs w:val="20"/>
        </w:rPr>
        <w:t>. Ke</w:t>
      </w:r>
      <w:r w:rsidRPr="00C97145">
        <w:rPr>
          <w:rFonts w:ascii="Arial" w:hAnsi="Arial" w:cs="Arial"/>
          <w:sz w:val="20"/>
          <w:szCs w:val="20"/>
        </w:rPr>
        <w:t>r je bilo to mnogokrat posledica zgoraj navedenih parcialnih ukrepov,</w:t>
      </w:r>
      <w:r w:rsidR="002858A7">
        <w:rPr>
          <w:rFonts w:ascii="Arial" w:hAnsi="Arial" w:cs="Arial"/>
          <w:sz w:val="20"/>
          <w:szCs w:val="20"/>
        </w:rPr>
        <w:t xml:space="preserve"> </w:t>
      </w:r>
      <w:r w:rsidRPr="00C97145">
        <w:rPr>
          <w:rFonts w:ascii="Arial" w:hAnsi="Arial" w:cs="Arial"/>
          <w:sz w:val="20"/>
          <w:szCs w:val="20"/>
        </w:rPr>
        <w:t>je bilo povečanje po plačnih podskupinah različno.</w:t>
      </w:r>
    </w:p>
    <w:p w14:paraId="5F678173" w14:textId="20DE0F17" w:rsidR="003F2C29" w:rsidRPr="00C97145" w:rsidRDefault="003F2C29" w:rsidP="00774F45">
      <w:pPr>
        <w:jc w:val="both"/>
        <w:rPr>
          <w:rFonts w:ascii="Arial" w:hAnsi="Arial" w:cs="Arial"/>
          <w:sz w:val="20"/>
          <w:szCs w:val="20"/>
        </w:rPr>
      </w:pPr>
    </w:p>
    <w:p w14:paraId="01F5B7EE" w14:textId="4A9DDF61" w:rsidR="003F2C29" w:rsidRPr="00C97145" w:rsidRDefault="003F2C29" w:rsidP="00774F45">
      <w:pPr>
        <w:jc w:val="both"/>
        <w:rPr>
          <w:rFonts w:ascii="Arial" w:hAnsi="Arial" w:cs="Arial"/>
          <w:sz w:val="20"/>
          <w:szCs w:val="20"/>
        </w:rPr>
      </w:pPr>
    </w:p>
    <w:p w14:paraId="258F75BE" w14:textId="0BA4BAEA" w:rsidR="003F2C29" w:rsidRPr="00C97145" w:rsidRDefault="003F2C29" w:rsidP="00774F45">
      <w:pPr>
        <w:jc w:val="both"/>
        <w:rPr>
          <w:rFonts w:ascii="Arial" w:hAnsi="Arial" w:cs="Arial"/>
          <w:sz w:val="20"/>
          <w:szCs w:val="20"/>
        </w:rPr>
      </w:pPr>
    </w:p>
    <w:p w14:paraId="49A36206" w14:textId="1BF450CE" w:rsidR="003F2C29" w:rsidRPr="00C97145" w:rsidRDefault="003F2C29" w:rsidP="00774F45">
      <w:pPr>
        <w:jc w:val="both"/>
        <w:rPr>
          <w:rFonts w:ascii="Arial" w:hAnsi="Arial" w:cs="Arial"/>
          <w:sz w:val="20"/>
          <w:szCs w:val="20"/>
        </w:rPr>
      </w:pPr>
    </w:p>
    <w:p w14:paraId="06CCB366" w14:textId="760B0B3F" w:rsidR="003F2C29" w:rsidRPr="00C97145" w:rsidRDefault="003F2C29" w:rsidP="00774F45">
      <w:pPr>
        <w:jc w:val="both"/>
        <w:rPr>
          <w:rFonts w:ascii="Arial" w:hAnsi="Arial" w:cs="Arial"/>
          <w:sz w:val="20"/>
          <w:szCs w:val="20"/>
        </w:rPr>
      </w:pPr>
    </w:p>
    <w:p w14:paraId="20BB5CC3" w14:textId="4EE25578" w:rsidR="003F2C29" w:rsidRPr="00C97145" w:rsidRDefault="003F2C29" w:rsidP="00774F45">
      <w:pPr>
        <w:jc w:val="both"/>
        <w:rPr>
          <w:rFonts w:ascii="Arial" w:hAnsi="Arial" w:cs="Arial"/>
          <w:sz w:val="20"/>
          <w:szCs w:val="20"/>
        </w:rPr>
      </w:pPr>
    </w:p>
    <w:p w14:paraId="5BF5B203" w14:textId="7BBAF99F" w:rsidR="003F2C29" w:rsidRPr="00C97145" w:rsidRDefault="003F2C29" w:rsidP="00774F45">
      <w:pPr>
        <w:jc w:val="both"/>
        <w:rPr>
          <w:rFonts w:ascii="Arial" w:hAnsi="Arial" w:cs="Arial"/>
          <w:sz w:val="20"/>
          <w:szCs w:val="20"/>
        </w:rPr>
      </w:pPr>
    </w:p>
    <w:p w14:paraId="4F07557A" w14:textId="676707F4" w:rsidR="003F2C29" w:rsidRPr="00C97145" w:rsidRDefault="003F2C29" w:rsidP="00774F45">
      <w:pPr>
        <w:jc w:val="both"/>
        <w:rPr>
          <w:rFonts w:ascii="Arial" w:hAnsi="Arial" w:cs="Arial"/>
          <w:sz w:val="20"/>
          <w:szCs w:val="20"/>
        </w:rPr>
      </w:pPr>
    </w:p>
    <w:p w14:paraId="500B867C" w14:textId="24FF4D79" w:rsidR="003F2C29" w:rsidRPr="00C97145" w:rsidRDefault="003F2C29" w:rsidP="003F2C29">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lastRenderedPageBreak/>
        <w:t xml:space="preserve">Graf </w:t>
      </w:r>
      <w:r w:rsidR="001B6FC9">
        <w:rPr>
          <w:rFonts w:ascii="Arial" w:hAnsi="Arial" w:cs="Arial"/>
          <w:b/>
          <w:bCs/>
          <w:i w:val="0"/>
          <w:iCs w:val="0"/>
          <w:color w:val="auto"/>
          <w:sz w:val="20"/>
          <w:szCs w:val="20"/>
        </w:rPr>
        <w:fldChar w:fldCharType="begin"/>
      </w:r>
      <w:r w:rsidR="001B6FC9">
        <w:rPr>
          <w:rFonts w:ascii="Arial" w:hAnsi="Arial" w:cs="Arial"/>
          <w:b/>
          <w:bCs/>
          <w:i w:val="0"/>
          <w:iCs w:val="0"/>
          <w:color w:val="auto"/>
          <w:sz w:val="20"/>
          <w:szCs w:val="20"/>
        </w:rPr>
        <w:instrText xml:space="preserve"> SEQ Graf \* ARABIC </w:instrText>
      </w:r>
      <w:r w:rsidR="001B6FC9">
        <w:rPr>
          <w:rFonts w:ascii="Arial" w:hAnsi="Arial" w:cs="Arial"/>
          <w:b/>
          <w:bCs/>
          <w:i w:val="0"/>
          <w:iCs w:val="0"/>
          <w:color w:val="auto"/>
          <w:sz w:val="20"/>
          <w:szCs w:val="20"/>
        </w:rPr>
        <w:fldChar w:fldCharType="separate"/>
      </w:r>
      <w:r w:rsidR="001B6FC9">
        <w:rPr>
          <w:rFonts w:ascii="Arial" w:hAnsi="Arial" w:cs="Arial"/>
          <w:b/>
          <w:bCs/>
          <w:i w:val="0"/>
          <w:iCs w:val="0"/>
          <w:noProof/>
          <w:color w:val="auto"/>
          <w:sz w:val="20"/>
          <w:szCs w:val="20"/>
        </w:rPr>
        <w:t>13</w:t>
      </w:r>
      <w:r w:rsidR="001B6FC9">
        <w:rPr>
          <w:rFonts w:ascii="Arial" w:hAnsi="Arial" w:cs="Arial"/>
          <w:b/>
          <w:bCs/>
          <w:i w:val="0"/>
          <w:iCs w:val="0"/>
          <w:color w:val="auto"/>
          <w:sz w:val="20"/>
          <w:szCs w:val="20"/>
        </w:rPr>
        <w:fldChar w:fldCharType="end"/>
      </w:r>
      <w:r w:rsidRPr="00C97145">
        <w:rPr>
          <w:rFonts w:ascii="Arial" w:hAnsi="Arial" w:cs="Arial"/>
          <w:b/>
          <w:bCs/>
          <w:i w:val="0"/>
          <w:iCs w:val="0"/>
          <w:color w:val="auto"/>
          <w:sz w:val="20"/>
          <w:szCs w:val="20"/>
        </w:rPr>
        <w:t>: Delež dodatkov in delovne uspešnosti v bruto plači</w:t>
      </w:r>
    </w:p>
    <w:p w14:paraId="65331FA8" w14:textId="77777777" w:rsidR="003F2C29" w:rsidRPr="00C97145" w:rsidRDefault="003F2C29" w:rsidP="003F2C29">
      <w:pPr>
        <w:jc w:val="both"/>
        <w:rPr>
          <w:rFonts w:ascii="Arial" w:hAnsi="Arial" w:cs="Arial"/>
          <w:sz w:val="20"/>
          <w:szCs w:val="20"/>
        </w:rPr>
      </w:pPr>
      <w:r w:rsidRPr="00C97145">
        <w:rPr>
          <w:rFonts w:ascii="Arial" w:hAnsi="Arial" w:cs="Arial"/>
          <w:noProof/>
          <w:sz w:val="20"/>
          <w:szCs w:val="20"/>
        </w:rPr>
        <w:drawing>
          <wp:inline distT="0" distB="0" distL="0" distR="0" wp14:anchorId="73D4200E" wp14:editId="64FB12FE">
            <wp:extent cx="6172200" cy="5629275"/>
            <wp:effectExtent l="0" t="0" r="0" b="9525"/>
            <wp:docPr id="11" name="Slika 2" descr="Delež dodatkov in delovne uspešnosti v bruto plači">
              <a:extLst xmlns:a="http://schemas.openxmlformats.org/drawingml/2006/main">
                <a:ext uri="{FF2B5EF4-FFF2-40B4-BE49-F238E27FC236}">
                  <a16:creationId xmlns:a16="http://schemas.microsoft.com/office/drawing/2014/main" id="{42499C7A-9098-4E45-8213-67232036BB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2" descr="Delež dodatkov in delovne uspešnosti v bruto plači">
                      <a:extLst>
                        <a:ext uri="{FF2B5EF4-FFF2-40B4-BE49-F238E27FC236}">
                          <a16:creationId xmlns:a16="http://schemas.microsoft.com/office/drawing/2014/main" id="{42499C7A-9098-4E45-8213-67232036BB9D}"/>
                        </a:ext>
                      </a:extLst>
                    </pic:cNvPr>
                    <pic:cNvPicPr>
                      <a:picLocks noChangeAspect="1"/>
                    </pic:cNvPicPr>
                  </pic:nvPicPr>
                  <pic:blipFill>
                    <a:blip r:embed="rId22"/>
                    <a:stretch>
                      <a:fillRect/>
                    </a:stretch>
                  </pic:blipFill>
                  <pic:spPr>
                    <a:xfrm>
                      <a:off x="0" y="0"/>
                      <a:ext cx="6172200" cy="5629275"/>
                    </a:xfrm>
                    <a:prstGeom prst="rect">
                      <a:avLst/>
                    </a:prstGeom>
                  </pic:spPr>
                </pic:pic>
              </a:graphicData>
            </a:graphic>
          </wp:inline>
        </w:drawing>
      </w:r>
    </w:p>
    <w:p w14:paraId="75525D59" w14:textId="77777777" w:rsidR="003F2C29" w:rsidRPr="00C97145" w:rsidRDefault="003F2C29" w:rsidP="003F2C29">
      <w:pPr>
        <w:jc w:val="both"/>
        <w:rPr>
          <w:rFonts w:ascii="Arial" w:hAnsi="Arial" w:cs="Arial"/>
          <w:sz w:val="20"/>
          <w:szCs w:val="20"/>
        </w:rPr>
      </w:pPr>
      <w:r w:rsidRPr="00C97145">
        <w:rPr>
          <w:rFonts w:ascii="Arial" w:hAnsi="Arial" w:cs="Arial"/>
          <w:sz w:val="20"/>
          <w:szCs w:val="20"/>
        </w:rPr>
        <w:t xml:space="preserve">Vir: </w:t>
      </w:r>
      <w:r w:rsidRPr="00C97145">
        <w:rPr>
          <w:rFonts w:ascii="Arial" w:hAnsi="Arial" w:cs="Arial"/>
          <w:sz w:val="20"/>
          <w:szCs w:val="20"/>
          <w:lang w:val="pl-PL"/>
        </w:rPr>
        <w:t>ISPAP</w:t>
      </w:r>
    </w:p>
    <w:p w14:paraId="0F6C0917" w14:textId="3EA57911" w:rsidR="003F2C29" w:rsidRPr="00C97145" w:rsidRDefault="003F2C29" w:rsidP="00774F45">
      <w:pPr>
        <w:jc w:val="both"/>
        <w:rPr>
          <w:rFonts w:ascii="Arial" w:hAnsi="Arial" w:cs="Arial"/>
          <w:sz w:val="20"/>
          <w:szCs w:val="20"/>
        </w:rPr>
      </w:pPr>
    </w:p>
    <w:p w14:paraId="6D22667A" w14:textId="5BC24656" w:rsidR="003F2C29" w:rsidRPr="00C97145" w:rsidRDefault="003F2C29" w:rsidP="00774F45">
      <w:pPr>
        <w:jc w:val="both"/>
        <w:rPr>
          <w:rFonts w:ascii="Arial" w:hAnsi="Arial" w:cs="Arial"/>
          <w:sz w:val="20"/>
          <w:szCs w:val="20"/>
        </w:rPr>
      </w:pPr>
    </w:p>
    <w:p w14:paraId="4711405C" w14:textId="7BDEF192" w:rsidR="003F2C29" w:rsidRPr="00C97145" w:rsidRDefault="003F2C29" w:rsidP="00774F45">
      <w:pPr>
        <w:jc w:val="both"/>
        <w:rPr>
          <w:rFonts w:ascii="Arial" w:hAnsi="Arial" w:cs="Arial"/>
          <w:sz w:val="20"/>
          <w:szCs w:val="20"/>
        </w:rPr>
      </w:pPr>
    </w:p>
    <w:p w14:paraId="32E65A50" w14:textId="4A2374AC" w:rsidR="003F2C29" w:rsidRPr="00C97145" w:rsidRDefault="003F2C29" w:rsidP="00774F45">
      <w:pPr>
        <w:jc w:val="both"/>
        <w:rPr>
          <w:rFonts w:ascii="Arial" w:hAnsi="Arial" w:cs="Arial"/>
          <w:sz w:val="20"/>
          <w:szCs w:val="20"/>
        </w:rPr>
      </w:pPr>
    </w:p>
    <w:p w14:paraId="4D3FBA82" w14:textId="20E2E6C5" w:rsidR="003F2C29" w:rsidRPr="00C97145" w:rsidRDefault="003F2C29" w:rsidP="00774F45">
      <w:pPr>
        <w:jc w:val="both"/>
        <w:rPr>
          <w:rFonts w:ascii="Arial" w:hAnsi="Arial" w:cs="Arial"/>
          <w:sz w:val="20"/>
          <w:szCs w:val="20"/>
        </w:rPr>
      </w:pPr>
    </w:p>
    <w:p w14:paraId="3BBBC95E" w14:textId="2E28DEA9" w:rsidR="003F2C29" w:rsidRPr="00C97145" w:rsidRDefault="003F2C29" w:rsidP="00774F45">
      <w:pPr>
        <w:jc w:val="both"/>
        <w:rPr>
          <w:rFonts w:ascii="Arial" w:hAnsi="Arial" w:cs="Arial"/>
          <w:sz w:val="20"/>
          <w:szCs w:val="20"/>
        </w:rPr>
      </w:pPr>
    </w:p>
    <w:p w14:paraId="70F2C61E" w14:textId="2CA76D1A" w:rsidR="003F2C29" w:rsidRPr="00C97145" w:rsidRDefault="003F2C29" w:rsidP="00774F45">
      <w:pPr>
        <w:jc w:val="both"/>
        <w:rPr>
          <w:rFonts w:ascii="Arial" w:hAnsi="Arial" w:cs="Arial"/>
          <w:sz w:val="20"/>
          <w:szCs w:val="20"/>
        </w:rPr>
      </w:pPr>
    </w:p>
    <w:p w14:paraId="2E115032" w14:textId="693E4828" w:rsidR="003F2C29" w:rsidRPr="00C97145" w:rsidRDefault="003F2C29" w:rsidP="00774F45">
      <w:pPr>
        <w:jc w:val="both"/>
        <w:rPr>
          <w:rFonts w:ascii="Arial" w:hAnsi="Arial" w:cs="Arial"/>
          <w:sz w:val="20"/>
          <w:szCs w:val="20"/>
        </w:rPr>
      </w:pPr>
    </w:p>
    <w:p w14:paraId="15631700" w14:textId="15762721" w:rsidR="003F2C29" w:rsidRPr="00C97145" w:rsidRDefault="003F2C29" w:rsidP="00774F45">
      <w:pPr>
        <w:jc w:val="both"/>
        <w:rPr>
          <w:rFonts w:ascii="Arial" w:hAnsi="Arial" w:cs="Arial"/>
          <w:sz w:val="20"/>
          <w:szCs w:val="20"/>
        </w:rPr>
      </w:pPr>
    </w:p>
    <w:p w14:paraId="70C7E571" w14:textId="3FBA12B1" w:rsidR="003F2C29" w:rsidRPr="00C97145" w:rsidRDefault="003F2C29" w:rsidP="00774F45">
      <w:pPr>
        <w:jc w:val="both"/>
        <w:rPr>
          <w:rFonts w:ascii="Arial" w:hAnsi="Arial" w:cs="Arial"/>
          <w:sz w:val="20"/>
          <w:szCs w:val="20"/>
        </w:rPr>
      </w:pPr>
    </w:p>
    <w:p w14:paraId="7300C997" w14:textId="16E18E77" w:rsidR="00DA3969" w:rsidRPr="00C97145" w:rsidRDefault="00DA3969" w:rsidP="00DA3969">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lastRenderedPageBreak/>
        <w:t xml:space="preserve">Graf </w:t>
      </w:r>
      <w:r w:rsidR="004B3F1D" w:rsidRPr="00C97145">
        <w:rPr>
          <w:rFonts w:ascii="Arial" w:hAnsi="Arial" w:cs="Arial"/>
          <w:b/>
          <w:bCs/>
          <w:i w:val="0"/>
          <w:iCs w:val="0"/>
          <w:color w:val="auto"/>
          <w:sz w:val="20"/>
          <w:szCs w:val="20"/>
        </w:rPr>
        <w:t>13</w:t>
      </w:r>
      <w:r w:rsidRPr="00C97145">
        <w:rPr>
          <w:rFonts w:ascii="Arial" w:hAnsi="Arial" w:cs="Arial"/>
          <w:b/>
          <w:bCs/>
          <w:i w:val="0"/>
          <w:iCs w:val="0"/>
          <w:color w:val="auto"/>
          <w:sz w:val="20"/>
          <w:szCs w:val="20"/>
        </w:rPr>
        <w:t>: Delež dodatkov v bruto plači</w:t>
      </w:r>
      <w:r w:rsidR="00D01F24" w:rsidRPr="00C97145">
        <w:rPr>
          <w:rFonts w:ascii="Arial" w:hAnsi="Arial" w:cs="Arial"/>
          <w:b/>
          <w:bCs/>
          <w:i w:val="0"/>
          <w:iCs w:val="0"/>
          <w:color w:val="auto"/>
          <w:sz w:val="20"/>
          <w:szCs w:val="20"/>
        </w:rPr>
        <w:t xml:space="preserve"> (brez nadur in dežurstev)</w:t>
      </w:r>
    </w:p>
    <w:p w14:paraId="0461C4C9" w14:textId="16925EEA" w:rsidR="00DA3969" w:rsidRPr="00C97145" w:rsidRDefault="00D01F24" w:rsidP="001B24D8">
      <w:pPr>
        <w:jc w:val="both"/>
        <w:rPr>
          <w:rFonts w:ascii="Arial" w:hAnsi="Arial" w:cs="Arial"/>
          <w:sz w:val="20"/>
          <w:szCs w:val="20"/>
        </w:rPr>
      </w:pPr>
      <w:r w:rsidRPr="00C97145">
        <w:rPr>
          <w:rFonts w:ascii="Arial" w:hAnsi="Arial" w:cs="Arial"/>
          <w:noProof/>
          <w:sz w:val="20"/>
          <w:szCs w:val="20"/>
        </w:rPr>
        <w:drawing>
          <wp:inline distT="0" distB="0" distL="0" distR="0" wp14:anchorId="5131967A" wp14:editId="518DD18C">
            <wp:extent cx="6345744" cy="3844800"/>
            <wp:effectExtent l="0" t="0" r="0" b="3810"/>
            <wp:docPr id="22" name="Slika 22" descr="Delež dodatkov v bruto plači (brez nadur in dežurst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2" descr="Delež dodatkov v bruto plači (brez nadur in dežurstev)"/>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93933" cy="3873997"/>
                    </a:xfrm>
                    <a:prstGeom prst="rect">
                      <a:avLst/>
                    </a:prstGeom>
                    <a:noFill/>
                  </pic:spPr>
                </pic:pic>
              </a:graphicData>
            </a:graphic>
          </wp:inline>
        </w:drawing>
      </w:r>
    </w:p>
    <w:p w14:paraId="2FAFCE53" w14:textId="62E1B007" w:rsidR="00774F45" w:rsidRPr="00C97145" w:rsidRDefault="00774F45" w:rsidP="00774F45">
      <w:pPr>
        <w:jc w:val="both"/>
        <w:rPr>
          <w:rFonts w:ascii="Arial" w:hAnsi="Arial" w:cs="Arial"/>
          <w:sz w:val="20"/>
          <w:szCs w:val="20"/>
        </w:rPr>
      </w:pPr>
      <w:r w:rsidRPr="00C97145">
        <w:rPr>
          <w:rFonts w:ascii="Arial" w:hAnsi="Arial" w:cs="Arial"/>
          <w:sz w:val="20"/>
          <w:szCs w:val="20"/>
        </w:rPr>
        <w:t>Vir: ISPAP</w:t>
      </w:r>
      <w:r w:rsidR="00D01F24" w:rsidRPr="00C97145">
        <w:rPr>
          <w:rFonts w:ascii="Arial" w:hAnsi="Arial" w:cs="Arial"/>
          <w:sz w:val="20"/>
          <w:szCs w:val="20"/>
        </w:rPr>
        <w:t xml:space="preserve"> (obdobje 12 mesecev, nov21 – okt22)</w:t>
      </w:r>
    </w:p>
    <w:p w14:paraId="25CC2911" w14:textId="073C7690" w:rsidR="00D01F24" w:rsidRPr="00C97145" w:rsidRDefault="00D01F24" w:rsidP="00D01F24">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t xml:space="preserve">Graf </w:t>
      </w:r>
      <w:r w:rsidR="004B3F1D" w:rsidRPr="00C97145">
        <w:rPr>
          <w:rFonts w:ascii="Arial" w:hAnsi="Arial" w:cs="Arial"/>
          <w:b/>
          <w:bCs/>
          <w:i w:val="0"/>
          <w:iCs w:val="0"/>
          <w:color w:val="auto"/>
          <w:sz w:val="20"/>
          <w:szCs w:val="20"/>
        </w:rPr>
        <w:t>14</w:t>
      </w:r>
      <w:r w:rsidRPr="00C97145">
        <w:rPr>
          <w:rFonts w:ascii="Arial" w:hAnsi="Arial" w:cs="Arial"/>
          <w:b/>
          <w:bCs/>
          <w:i w:val="0"/>
          <w:iCs w:val="0"/>
          <w:color w:val="auto"/>
          <w:sz w:val="20"/>
          <w:szCs w:val="20"/>
        </w:rPr>
        <w:t>: Delež delovne uspešnosti v bruto plači (brez nadur in dežurstev)</w:t>
      </w:r>
    </w:p>
    <w:p w14:paraId="39A0441A" w14:textId="1B422E1B" w:rsidR="00FA0033" w:rsidRPr="00C97145" w:rsidRDefault="00D01F24" w:rsidP="001B24D8">
      <w:pPr>
        <w:jc w:val="both"/>
        <w:rPr>
          <w:rFonts w:ascii="Arial" w:hAnsi="Arial" w:cs="Arial"/>
          <w:sz w:val="20"/>
          <w:szCs w:val="20"/>
        </w:rPr>
      </w:pPr>
      <w:r w:rsidRPr="00C97145">
        <w:rPr>
          <w:rFonts w:ascii="Arial" w:hAnsi="Arial" w:cs="Arial"/>
          <w:noProof/>
          <w:sz w:val="20"/>
          <w:szCs w:val="20"/>
        </w:rPr>
        <w:drawing>
          <wp:inline distT="0" distB="0" distL="0" distR="0" wp14:anchorId="113B819B" wp14:editId="1446D007">
            <wp:extent cx="6451912" cy="3708000"/>
            <wp:effectExtent l="0" t="0" r="6350" b="6985"/>
            <wp:docPr id="23" name="Slika 23" descr="Delež delovne uspešnosti v bruto plači (brez nadur in dežurst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descr="Delež delovne uspešnosti v bruto plači (brez nadur in dežurstev)"/>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02107" cy="3736848"/>
                    </a:xfrm>
                    <a:prstGeom prst="rect">
                      <a:avLst/>
                    </a:prstGeom>
                    <a:noFill/>
                  </pic:spPr>
                </pic:pic>
              </a:graphicData>
            </a:graphic>
          </wp:inline>
        </w:drawing>
      </w:r>
    </w:p>
    <w:p w14:paraId="79175D27" w14:textId="76BEDDFE" w:rsidR="00D01F24" w:rsidRPr="00C97145" w:rsidRDefault="00D01F24" w:rsidP="00D01F24">
      <w:pPr>
        <w:jc w:val="both"/>
        <w:rPr>
          <w:rFonts w:ascii="Arial" w:hAnsi="Arial" w:cs="Arial"/>
          <w:sz w:val="20"/>
          <w:szCs w:val="20"/>
        </w:rPr>
      </w:pPr>
      <w:r w:rsidRPr="00C97145">
        <w:rPr>
          <w:rFonts w:ascii="Arial" w:hAnsi="Arial" w:cs="Arial"/>
          <w:sz w:val="20"/>
          <w:szCs w:val="20"/>
        </w:rPr>
        <w:t>Vir: ISPAP (obdobje 12 mesecev, nov21 – okt22)</w:t>
      </w:r>
    </w:p>
    <w:p w14:paraId="58B348B0" w14:textId="13018AB8" w:rsidR="001B24D8" w:rsidRPr="00C97145" w:rsidRDefault="001B24D8" w:rsidP="001B24D8">
      <w:pPr>
        <w:jc w:val="both"/>
        <w:rPr>
          <w:rFonts w:ascii="Arial" w:hAnsi="Arial" w:cs="Arial"/>
          <w:sz w:val="20"/>
          <w:szCs w:val="20"/>
        </w:rPr>
      </w:pPr>
      <w:r w:rsidRPr="00C97145">
        <w:rPr>
          <w:rFonts w:ascii="Arial" w:hAnsi="Arial" w:cs="Arial"/>
          <w:sz w:val="20"/>
          <w:szCs w:val="20"/>
        </w:rPr>
        <w:t xml:space="preserve">Na rast povprečne plače je </w:t>
      </w:r>
      <w:r w:rsidR="00FA0033" w:rsidRPr="00C97145">
        <w:rPr>
          <w:rFonts w:ascii="Arial" w:hAnsi="Arial" w:cs="Arial"/>
          <w:sz w:val="20"/>
          <w:szCs w:val="20"/>
        </w:rPr>
        <w:t xml:space="preserve">tako </w:t>
      </w:r>
      <w:r w:rsidRPr="00C97145">
        <w:rPr>
          <w:rFonts w:ascii="Arial" w:hAnsi="Arial" w:cs="Arial"/>
          <w:sz w:val="20"/>
          <w:szCs w:val="20"/>
        </w:rPr>
        <w:t xml:space="preserve">vplivala vrsta ukrepov, od postopnega odpravljanja varčevalnih ukrepov in odprave anomalij v uvrstitvah delovnih mest v plačne razrede do parcialnih dogovorov med vlado in </w:t>
      </w:r>
      <w:r w:rsidRPr="00C97145">
        <w:rPr>
          <w:rFonts w:ascii="Arial" w:hAnsi="Arial" w:cs="Arial"/>
          <w:sz w:val="20"/>
          <w:szCs w:val="20"/>
        </w:rPr>
        <w:lastRenderedPageBreak/>
        <w:t xml:space="preserve">sindikati, ki so bili največkrat posledica napovedanih ali realiziranih stavk posameznih delov javnega sektorja, katerih rezultat so bile nove, višje uvrstitve delovnih mest v plačne razrede, nekateri novi dodatki, posebni projekti, ki so omogočali višje izplačila delovne uspešnosti za povečan obseg dela in podobno. Prav tako je na rast vplivalo tudi pospešeno napredovanje javnih uslužbencev po odpravi varčevalnih ukrepov, spodbujeno z visokim deležem odlično ocenjenih, ki je imelo še pomembnejši vpliv na rast plač tistih javnih uslužbencev, ki lahko poleg napredovanja v plačne razrede napredujejo tudi v nazive. Dodatno je na rast vplivalo tudi povečevanje minimalne plače, ki je povzročalo, da je bil delež zaposlenih z minimalno plačo v javnem sektorju iz leto v leto višji. Zaradi vsega navedenega je bila rast povprečnih plač po posameznih plačnih podskupinah javnega sektorja zelo različna. </w:t>
      </w:r>
    </w:p>
    <w:p w14:paraId="2CCA4BB5" w14:textId="77777777" w:rsidR="00357946" w:rsidRPr="00C97145" w:rsidRDefault="00357946" w:rsidP="00357946">
      <w:pPr>
        <w:jc w:val="both"/>
        <w:rPr>
          <w:rFonts w:ascii="Arial" w:hAnsi="Arial" w:cs="Arial"/>
          <w:sz w:val="20"/>
          <w:szCs w:val="20"/>
        </w:rPr>
      </w:pPr>
    </w:p>
    <w:p w14:paraId="2E95A078" w14:textId="388B5773" w:rsidR="004B081F" w:rsidRPr="00C97145" w:rsidRDefault="004B081F" w:rsidP="004B081F">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t xml:space="preserve">Graf </w:t>
      </w:r>
      <w:r w:rsidR="004B3F1D" w:rsidRPr="00C97145">
        <w:rPr>
          <w:rFonts w:ascii="Arial" w:hAnsi="Arial" w:cs="Arial"/>
          <w:b/>
          <w:bCs/>
          <w:i w:val="0"/>
          <w:iCs w:val="0"/>
          <w:color w:val="auto"/>
          <w:sz w:val="20"/>
          <w:szCs w:val="20"/>
        </w:rPr>
        <w:t>15</w:t>
      </w:r>
      <w:r w:rsidRPr="00C97145">
        <w:rPr>
          <w:rFonts w:ascii="Arial" w:hAnsi="Arial" w:cs="Arial"/>
          <w:b/>
          <w:bCs/>
          <w:i w:val="0"/>
          <w:iCs w:val="0"/>
          <w:color w:val="auto"/>
          <w:sz w:val="20"/>
          <w:szCs w:val="20"/>
        </w:rPr>
        <w:t>: Povprečne bruto plače 2008-2022, v EUR</w:t>
      </w:r>
    </w:p>
    <w:p w14:paraId="67C72542" w14:textId="77777777" w:rsidR="00357946" w:rsidRPr="00C97145" w:rsidRDefault="00357946" w:rsidP="00357946">
      <w:pPr>
        <w:jc w:val="both"/>
        <w:rPr>
          <w:rFonts w:ascii="Arial" w:hAnsi="Arial" w:cs="Arial"/>
          <w:sz w:val="20"/>
          <w:szCs w:val="20"/>
        </w:rPr>
      </w:pPr>
      <w:r w:rsidRPr="00C97145">
        <w:rPr>
          <w:rFonts w:ascii="Arial" w:hAnsi="Arial" w:cs="Arial"/>
          <w:noProof/>
          <w:sz w:val="20"/>
          <w:szCs w:val="20"/>
        </w:rPr>
        <w:drawing>
          <wp:inline distT="0" distB="0" distL="0" distR="0" wp14:anchorId="4AD45DE1" wp14:editId="7839D68A">
            <wp:extent cx="5934075" cy="2981325"/>
            <wp:effectExtent l="0" t="0" r="9525" b="9525"/>
            <wp:docPr id="20" name="Grafikon 20" descr="Povprečne bruto plače 2008-2022, v EUR">
              <a:extLst xmlns:a="http://schemas.openxmlformats.org/drawingml/2006/main">
                <a:ext uri="{FF2B5EF4-FFF2-40B4-BE49-F238E27FC236}">
                  <a16:creationId xmlns:a16="http://schemas.microsoft.com/office/drawing/2014/main" id="{EAFEADB5-B89C-47ED-A29B-6D04CD04C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DED5241" w14:textId="77777777" w:rsidR="00357946" w:rsidRPr="00C97145" w:rsidRDefault="00357946" w:rsidP="00357946">
      <w:pPr>
        <w:jc w:val="both"/>
        <w:rPr>
          <w:rFonts w:ascii="Arial" w:hAnsi="Arial" w:cs="Arial"/>
          <w:sz w:val="20"/>
          <w:szCs w:val="20"/>
        </w:rPr>
      </w:pPr>
      <w:r w:rsidRPr="00C97145">
        <w:rPr>
          <w:rFonts w:ascii="Arial" w:hAnsi="Arial" w:cs="Arial"/>
          <w:sz w:val="20"/>
          <w:szCs w:val="20"/>
        </w:rPr>
        <w:t>Vir: 2008 – 2014 AJPES, 2015 – 2022 MJU, *Opomba: za leto 2022 so upoštevani podatki za mesece januar – julij 2022</w:t>
      </w:r>
    </w:p>
    <w:p w14:paraId="16FEAD42" w14:textId="433901E4" w:rsidR="004B081F" w:rsidRPr="00C97145" w:rsidRDefault="004B081F" w:rsidP="004B081F">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lastRenderedPageBreak/>
        <w:t xml:space="preserve">Graf </w:t>
      </w:r>
      <w:r w:rsidR="004B3F1D" w:rsidRPr="00C97145">
        <w:rPr>
          <w:rFonts w:ascii="Arial" w:hAnsi="Arial" w:cs="Arial"/>
          <w:b/>
          <w:bCs/>
          <w:i w:val="0"/>
          <w:iCs w:val="0"/>
          <w:color w:val="auto"/>
          <w:sz w:val="20"/>
          <w:szCs w:val="20"/>
        </w:rPr>
        <w:t>16</w:t>
      </w:r>
      <w:r w:rsidRPr="00C97145">
        <w:rPr>
          <w:rFonts w:ascii="Arial" w:hAnsi="Arial" w:cs="Arial"/>
          <w:b/>
          <w:bCs/>
          <w:i w:val="0"/>
          <w:iCs w:val="0"/>
          <w:color w:val="auto"/>
          <w:sz w:val="20"/>
          <w:szCs w:val="20"/>
        </w:rPr>
        <w:t>: Indeks rasti povprečnih bruto plač po plačnih podskupinah (primerjava leta 2022 na leto 2015)</w:t>
      </w:r>
    </w:p>
    <w:p w14:paraId="72A59DBD" w14:textId="77777777" w:rsidR="00357946" w:rsidRPr="00C97145" w:rsidRDefault="00357946" w:rsidP="00357946">
      <w:pPr>
        <w:jc w:val="both"/>
        <w:rPr>
          <w:rFonts w:ascii="Arial" w:hAnsi="Arial" w:cs="Arial"/>
          <w:sz w:val="20"/>
          <w:szCs w:val="20"/>
        </w:rPr>
      </w:pPr>
      <w:r w:rsidRPr="00C97145">
        <w:rPr>
          <w:rFonts w:ascii="Arial" w:hAnsi="Arial" w:cs="Arial"/>
          <w:noProof/>
          <w:sz w:val="20"/>
          <w:szCs w:val="20"/>
        </w:rPr>
        <w:drawing>
          <wp:inline distT="0" distB="0" distL="0" distR="0" wp14:anchorId="53BCD19F" wp14:editId="7175F6AE">
            <wp:extent cx="5819775" cy="4524375"/>
            <wp:effectExtent l="0" t="0" r="9525" b="9525"/>
            <wp:docPr id="21" name="Grafikon 21" descr="Indeks rasti povprečnih bruto plač po plačnih podskupinah (primerjava leta 2022 na leto 2015)">
              <a:extLst xmlns:a="http://schemas.openxmlformats.org/drawingml/2006/main">
                <a:ext uri="{FF2B5EF4-FFF2-40B4-BE49-F238E27FC236}">
                  <a16:creationId xmlns:a16="http://schemas.microsoft.com/office/drawing/2014/main" id="{A957161A-F7BB-471E-9C98-ACE5318290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6A14BAD" w14:textId="77777777" w:rsidR="00357946" w:rsidRPr="00C97145" w:rsidRDefault="00357946" w:rsidP="00357946">
      <w:pPr>
        <w:jc w:val="both"/>
        <w:rPr>
          <w:rFonts w:ascii="Arial" w:hAnsi="Arial" w:cs="Arial"/>
          <w:sz w:val="20"/>
          <w:szCs w:val="20"/>
        </w:rPr>
      </w:pPr>
      <w:r w:rsidRPr="00C97145">
        <w:rPr>
          <w:rFonts w:ascii="Arial" w:hAnsi="Arial" w:cs="Arial"/>
          <w:sz w:val="20"/>
          <w:szCs w:val="20"/>
        </w:rPr>
        <w:t>Vir: ISPAP</w:t>
      </w:r>
    </w:p>
    <w:p w14:paraId="04E11AF8" w14:textId="5DA42553" w:rsidR="00357946" w:rsidRPr="00C97145" w:rsidRDefault="00357946" w:rsidP="00357946">
      <w:pPr>
        <w:jc w:val="both"/>
        <w:rPr>
          <w:rFonts w:ascii="Arial" w:hAnsi="Arial" w:cs="Arial"/>
          <w:sz w:val="20"/>
          <w:szCs w:val="20"/>
        </w:rPr>
      </w:pPr>
      <w:r w:rsidRPr="00C97145">
        <w:rPr>
          <w:rFonts w:ascii="Arial" w:hAnsi="Arial" w:cs="Arial"/>
          <w:sz w:val="20"/>
          <w:szCs w:val="20"/>
        </w:rPr>
        <w:t xml:space="preserve">Opomba: na prikazu ni plačne podskupine K01 – Strokovni delavci, ki se je uveljavila konec leta 2018; plačne podskupine E4, J2 in J3 niso najbolj primerljive z ostalimi plačnimi podskupinami, ker je v opazovanem obdobju veliko zaposlenih iz teh plačnih podskupin prešlo iz ene plačne podskupine v drugo. </w:t>
      </w:r>
    </w:p>
    <w:p w14:paraId="7D38D211" w14:textId="107A469C" w:rsidR="008A5682" w:rsidRPr="00C97145" w:rsidRDefault="008A5682" w:rsidP="00357946">
      <w:pPr>
        <w:jc w:val="both"/>
        <w:rPr>
          <w:rFonts w:ascii="Arial" w:hAnsi="Arial" w:cs="Arial"/>
          <w:sz w:val="20"/>
          <w:szCs w:val="20"/>
        </w:rPr>
      </w:pPr>
      <w:r w:rsidRPr="00C97145">
        <w:rPr>
          <w:rFonts w:ascii="Arial" w:hAnsi="Arial" w:cs="Arial"/>
          <w:sz w:val="20"/>
          <w:szCs w:val="20"/>
        </w:rPr>
        <w:t>Tudi po letu 2018, ko so Vlada RS in reprezentativni sindikati javnega sektorja ugotovili, da naj bi bile anomalije v uvrstitvah odpravljene, je prišlo do parcialnih ukrepov, ki so ponovno pomenili različno gibanje plač po plačnih podskupinah.</w:t>
      </w:r>
    </w:p>
    <w:p w14:paraId="26288996" w14:textId="4A252668" w:rsidR="008A5682" w:rsidRPr="00C97145" w:rsidRDefault="008A5682" w:rsidP="008A5682">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lastRenderedPageBreak/>
        <w:t xml:space="preserve">Graf </w:t>
      </w:r>
      <w:r w:rsidR="004B3F1D" w:rsidRPr="00C97145">
        <w:rPr>
          <w:rFonts w:ascii="Arial" w:hAnsi="Arial" w:cs="Arial"/>
          <w:b/>
          <w:bCs/>
          <w:i w:val="0"/>
          <w:iCs w:val="0"/>
          <w:color w:val="auto"/>
          <w:sz w:val="20"/>
          <w:szCs w:val="20"/>
        </w:rPr>
        <w:t>17</w:t>
      </w:r>
      <w:r w:rsidR="008C0DE1" w:rsidRPr="00C97145">
        <w:rPr>
          <w:rFonts w:ascii="Arial" w:hAnsi="Arial" w:cs="Arial"/>
          <w:b/>
          <w:bCs/>
          <w:i w:val="0"/>
          <w:iCs w:val="0"/>
          <w:color w:val="auto"/>
          <w:sz w:val="20"/>
          <w:szCs w:val="20"/>
        </w:rPr>
        <w:t>:</w:t>
      </w:r>
      <w:r w:rsidRPr="00C97145">
        <w:rPr>
          <w:rFonts w:ascii="Arial" w:hAnsi="Arial" w:cs="Arial"/>
          <w:b/>
          <w:bCs/>
          <w:i w:val="0"/>
          <w:iCs w:val="0"/>
          <w:color w:val="auto"/>
          <w:sz w:val="20"/>
          <w:szCs w:val="20"/>
        </w:rPr>
        <w:t xml:space="preserve"> Indeks rasti povprečne bruto plače po plačnih podskupinah (primerjav</w:t>
      </w:r>
      <w:r w:rsidR="006E11F7" w:rsidRPr="00C97145">
        <w:rPr>
          <w:rFonts w:ascii="Arial" w:hAnsi="Arial" w:cs="Arial"/>
          <w:b/>
          <w:bCs/>
          <w:i w:val="0"/>
          <w:iCs w:val="0"/>
          <w:color w:val="auto"/>
          <w:sz w:val="20"/>
          <w:szCs w:val="20"/>
        </w:rPr>
        <w:t xml:space="preserve">a leta </w:t>
      </w:r>
      <w:r w:rsidRPr="00C97145">
        <w:rPr>
          <w:rFonts w:ascii="Arial" w:hAnsi="Arial" w:cs="Arial"/>
          <w:b/>
          <w:bCs/>
          <w:i w:val="0"/>
          <w:iCs w:val="0"/>
          <w:color w:val="auto"/>
          <w:sz w:val="20"/>
          <w:szCs w:val="20"/>
        </w:rPr>
        <w:t>2022</w:t>
      </w:r>
      <w:r w:rsidR="006E11F7" w:rsidRPr="00C97145">
        <w:rPr>
          <w:rFonts w:ascii="Arial" w:hAnsi="Arial" w:cs="Arial"/>
          <w:b/>
          <w:bCs/>
          <w:i w:val="0"/>
          <w:iCs w:val="0"/>
          <w:color w:val="auto"/>
          <w:sz w:val="20"/>
          <w:szCs w:val="20"/>
        </w:rPr>
        <w:t xml:space="preserve"> na leto </w:t>
      </w:r>
      <w:r w:rsidRPr="00C97145">
        <w:rPr>
          <w:rFonts w:ascii="Arial" w:hAnsi="Arial" w:cs="Arial"/>
          <w:b/>
          <w:bCs/>
          <w:i w:val="0"/>
          <w:iCs w:val="0"/>
          <w:color w:val="auto"/>
          <w:sz w:val="20"/>
          <w:szCs w:val="20"/>
        </w:rPr>
        <w:t>2018</w:t>
      </w:r>
      <w:r w:rsidR="00274CB9" w:rsidRPr="00C97145">
        <w:rPr>
          <w:rFonts w:ascii="Arial" w:hAnsi="Arial" w:cs="Arial"/>
          <w:b/>
          <w:bCs/>
          <w:i w:val="0"/>
          <w:iCs w:val="0"/>
          <w:color w:val="auto"/>
          <w:sz w:val="20"/>
          <w:szCs w:val="20"/>
        </w:rPr>
        <w:t>)</w:t>
      </w:r>
    </w:p>
    <w:p w14:paraId="4954F621" w14:textId="77777777" w:rsidR="008A5682" w:rsidRPr="00C97145" w:rsidRDefault="008A5682" w:rsidP="00357946">
      <w:pPr>
        <w:jc w:val="both"/>
        <w:rPr>
          <w:rFonts w:ascii="Arial" w:hAnsi="Arial" w:cs="Arial"/>
          <w:sz w:val="20"/>
          <w:szCs w:val="20"/>
        </w:rPr>
      </w:pPr>
      <w:r w:rsidRPr="00C97145">
        <w:rPr>
          <w:rFonts w:ascii="Arial" w:hAnsi="Arial" w:cs="Arial"/>
          <w:noProof/>
          <w:sz w:val="20"/>
          <w:szCs w:val="20"/>
        </w:rPr>
        <w:drawing>
          <wp:inline distT="0" distB="0" distL="0" distR="0" wp14:anchorId="35D8FCB3" wp14:editId="36FA530B">
            <wp:extent cx="5943600" cy="6105525"/>
            <wp:effectExtent l="0" t="0" r="0" b="9525"/>
            <wp:docPr id="10" name="Slika 8">
              <a:extLst xmlns:a="http://schemas.openxmlformats.org/drawingml/2006/main">
                <a:ext uri="{FF2B5EF4-FFF2-40B4-BE49-F238E27FC236}">
                  <a16:creationId xmlns:a16="http://schemas.microsoft.com/office/drawing/2014/main" id="{4ADF17D4-573C-477B-B89A-38645DF9E36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8">
                      <a:extLst>
                        <a:ext uri="{FF2B5EF4-FFF2-40B4-BE49-F238E27FC236}">
                          <a16:creationId xmlns:a16="http://schemas.microsoft.com/office/drawing/2014/main" id="{4ADF17D4-573C-477B-B89A-38645DF9E36E}"/>
                        </a:ext>
                        <a:ext uri="{C183D7F6-B498-43B3-948B-1728B52AA6E4}">
                          <adec:decorative xmlns:adec="http://schemas.microsoft.com/office/drawing/2017/decorative" val="1"/>
                        </a:ext>
                      </a:extLst>
                    </pic:cNvPr>
                    <pic:cNvPicPr>
                      <a:picLocks noChangeAspect="1"/>
                    </pic:cNvPicPr>
                  </pic:nvPicPr>
                  <pic:blipFill>
                    <a:blip r:embed="rId27"/>
                    <a:stretch>
                      <a:fillRect/>
                    </a:stretch>
                  </pic:blipFill>
                  <pic:spPr>
                    <a:xfrm>
                      <a:off x="0" y="0"/>
                      <a:ext cx="5943600" cy="6105525"/>
                    </a:xfrm>
                    <a:prstGeom prst="rect">
                      <a:avLst/>
                    </a:prstGeom>
                  </pic:spPr>
                </pic:pic>
              </a:graphicData>
            </a:graphic>
          </wp:inline>
        </w:drawing>
      </w:r>
    </w:p>
    <w:p w14:paraId="79AFF7CE" w14:textId="77777777" w:rsidR="006E11F7" w:rsidRPr="00C97145" w:rsidRDefault="006E11F7" w:rsidP="006E11F7">
      <w:pPr>
        <w:jc w:val="both"/>
        <w:rPr>
          <w:rFonts w:ascii="Arial" w:hAnsi="Arial" w:cs="Arial"/>
          <w:sz w:val="20"/>
          <w:szCs w:val="20"/>
        </w:rPr>
      </w:pPr>
      <w:r w:rsidRPr="00C97145">
        <w:rPr>
          <w:rFonts w:ascii="Arial" w:hAnsi="Arial" w:cs="Arial"/>
          <w:sz w:val="20"/>
          <w:szCs w:val="20"/>
        </w:rPr>
        <w:t>Vir: ISPAP, za leto 2022 so upoštevani podatki za mesece januar do oktober 2022</w:t>
      </w:r>
    </w:p>
    <w:p w14:paraId="6EC28CC6" w14:textId="377FF235" w:rsidR="006E11F7" w:rsidRPr="00C97145" w:rsidRDefault="006E11F7" w:rsidP="006E11F7">
      <w:pPr>
        <w:jc w:val="both"/>
        <w:rPr>
          <w:rFonts w:ascii="Arial" w:hAnsi="Arial" w:cs="Arial"/>
          <w:sz w:val="20"/>
          <w:szCs w:val="20"/>
        </w:rPr>
      </w:pPr>
      <w:r w:rsidRPr="00C97145">
        <w:rPr>
          <w:rFonts w:ascii="Arial" w:hAnsi="Arial" w:cs="Arial"/>
          <w:sz w:val="20"/>
          <w:szCs w:val="20"/>
        </w:rPr>
        <w:t xml:space="preserve">**Opomba: Pri pregledu in primerjavi podatkov po plačnih podskupinah je potrebno izpostaviti, da podatki za plačne podskupine J2 – Administrativni delavci in J3 – Ostali strokovno tehnični delavci ter E4 – Zdravstveni delavci in zdravstveni sodelavci niso povsem primerljivi z drugimi plačnimi skupinami oziroma z istimi plačnimi skupinami, ker je veliko število zaposlenih iz plačnih skupin J2 – Administrativni delavci in J3 – Ostali strokovno tehnični delavci konec leta 2021 prešlo na delovna mesta plačne podskupine E04 – Zdravstveni delavci in zdravstveni sodelavci </w:t>
      </w:r>
    </w:p>
    <w:p w14:paraId="22246C22" w14:textId="168E91CD" w:rsidR="007733D0" w:rsidRPr="00C97145" w:rsidRDefault="007733D0" w:rsidP="007733D0">
      <w:pPr>
        <w:jc w:val="both"/>
        <w:rPr>
          <w:rFonts w:ascii="Arial" w:hAnsi="Arial" w:cs="Arial"/>
          <w:sz w:val="20"/>
          <w:szCs w:val="20"/>
        </w:rPr>
      </w:pPr>
      <w:r w:rsidRPr="00C97145">
        <w:rPr>
          <w:rFonts w:ascii="Arial" w:hAnsi="Arial" w:cs="Arial"/>
          <w:sz w:val="20"/>
          <w:szCs w:val="20"/>
        </w:rPr>
        <w:t>Rast števila zaposlenih in rast povprečne plače sta vplivali na gibanje mase sredstev za plače. Masa bruto plač se je z izjemo obdobja 2012-2014 (učinek ZUJF-a) iz leta v leto povečevala in v letu 2021 presegla vrednost 5 mrd EUR, v letu 2023 pa bo po oceni presegla 6 mrd EUR. Takšno gibanje je bilo prisotno kljub temu, da se redno usklajevanje vrednosti plačnih razredov na plačni lestvici vse do oktobra 2022 ni izvajalo.</w:t>
      </w:r>
    </w:p>
    <w:p w14:paraId="6A551756" w14:textId="5C6EA80B" w:rsidR="007733D0" w:rsidRPr="00C97145" w:rsidRDefault="007733D0" w:rsidP="00F07ADA">
      <w:pPr>
        <w:rPr>
          <w:rFonts w:ascii="Arial" w:hAnsi="Arial" w:cs="Arial"/>
          <w:sz w:val="20"/>
          <w:szCs w:val="20"/>
        </w:rPr>
      </w:pPr>
      <w:r w:rsidRPr="00C97145">
        <w:rPr>
          <w:rFonts w:ascii="Arial" w:hAnsi="Arial" w:cs="Arial"/>
          <w:b/>
          <w:bCs/>
          <w:sz w:val="20"/>
          <w:szCs w:val="20"/>
        </w:rPr>
        <w:lastRenderedPageBreak/>
        <w:t xml:space="preserve">Graf </w:t>
      </w:r>
      <w:r w:rsidR="004B3F1D" w:rsidRPr="00C97145">
        <w:rPr>
          <w:rFonts w:ascii="Arial" w:hAnsi="Arial" w:cs="Arial"/>
          <w:b/>
          <w:bCs/>
          <w:sz w:val="20"/>
          <w:szCs w:val="20"/>
        </w:rPr>
        <w:t>18</w:t>
      </w:r>
      <w:r w:rsidRPr="00C97145">
        <w:rPr>
          <w:rFonts w:ascii="Arial" w:hAnsi="Arial" w:cs="Arial"/>
          <w:b/>
          <w:bCs/>
          <w:sz w:val="20"/>
          <w:szCs w:val="20"/>
        </w:rPr>
        <w:t>: Masa bruto plač, v mio EUR, 2008-2021, indeks na 2008</w:t>
      </w:r>
      <w:r w:rsidRPr="00C97145">
        <w:rPr>
          <w:rFonts w:ascii="Arial" w:hAnsi="Arial" w:cs="Arial"/>
          <w:noProof/>
          <w:sz w:val="20"/>
          <w:szCs w:val="20"/>
        </w:rPr>
        <w:drawing>
          <wp:inline distT="0" distB="0" distL="0" distR="0" wp14:anchorId="3F7AD5B2" wp14:editId="432BEF62">
            <wp:extent cx="5819775" cy="3209925"/>
            <wp:effectExtent l="0" t="0" r="9525" b="9525"/>
            <wp:docPr id="19" name="Grafikon 19" descr="Masa bruto plač, v mio EUR, 2008-2021, indeks na 2008">
              <a:extLst xmlns:a="http://schemas.openxmlformats.org/drawingml/2006/main">
                <a:ext uri="{FF2B5EF4-FFF2-40B4-BE49-F238E27FC236}">
                  <a16:creationId xmlns:a16="http://schemas.microsoft.com/office/drawing/2014/main" id="{51C6470F-2F29-4537-B3F8-C5D997DC90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D6D26EA" w14:textId="77777777" w:rsidR="007733D0" w:rsidRPr="00C97145" w:rsidRDefault="007733D0" w:rsidP="007733D0">
      <w:pPr>
        <w:jc w:val="both"/>
        <w:rPr>
          <w:rFonts w:ascii="Arial" w:hAnsi="Arial" w:cs="Arial"/>
          <w:sz w:val="20"/>
          <w:szCs w:val="20"/>
        </w:rPr>
      </w:pPr>
      <w:r w:rsidRPr="00C97145">
        <w:rPr>
          <w:rFonts w:ascii="Arial" w:hAnsi="Arial" w:cs="Arial"/>
          <w:sz w:val="20"/>
          <w:szCs w:val="20"/>
        </w:rPr>
        <w:t xml:space="preserve">Vir: 2008 – 2014 AJPES, 2015 – 2021 MJU </w:t>
      </w:r>
    </w:p>
    <w:p w14:paraId="6419E4BE" w14:textId="107A8A58" w:rsidR="00774F45" w:rsidRPr="00C97145" w:rsidRDefault="00774F45" w:rsidP="00774F45">
      <w:pPr>
        <w:jc w:val="both"/>
        <w:rPr>
          <w:rFonts w:ascii="Arial" w:hAnsi="Arial" w:cs="Arial"/>
          <w:sz w:val="20"/>
          <w:szCs w:val="20"/>
        </w:rPr>
      </w:pPr>
      <w:r w:rsidRPr="00C97145">
        <w:rPr>
          <w:rFonts w:ascii="Arial" w:hAnsi="Arial" w:cs="Arial"/>
          <w:sz w:val="20"/>
          <w:szCs w:val="20"/>
        </w:rPr>
        <w:t>Zaradi vseh navedenih vzrokov so se porušila vzpostavljena razmerja med plačami, kar velja tako za razmerja med plačami funkcionarjev,</w:t>
      </w:r>
      <w:r w:rsidR="00274CB9" w:rsidRPr="00C97145">
        <w:rPr>
          <w:rFonts w:ascii="Arial" w:hAnsi="Arial" w:cs="Arial"/>
          <w:sz w:val="20"/>
          <w:szCs w:val="20"/>
        </w:rPr>
        <w:t xml:space="preserve"> </w:t>
      </w:r>
      <w:r w:rsidRPr="00C97145">
        <w:rPr>
          <w:rFonts w:ascii="Arial" w:hAnsi="Arial" w:cs="Arial"/>
          <w:sz w:val="20"/>
          <w:szCs w:val="20"/>
        </w:rPr>
        <w:t>direktorjev in javnih uslužbencev,</w:t>
      </w:r>
      <w:r w:rsidR="00274CB9" w:rsidRPr="00C97145">
        <w:rPr>
          <w:rFonts w:ascii="Arial" w:hAnsi="Arial" w:cs="Arial"/>
          <w:sz w:val="20"/>
          <w:szCs w:val="20"/>
        </w:rPr>
        <w:t xml:space="preserve"> </w:t>
      </w:r>
      <w:r w:rsidRPr="00C97145">
        <w:rPr>
          <w:rFonts w:ascii="Arial" w:hAnsi="Arial" w:cs="Arial"/>
          <w:sz w:val="20"/>
          <w:szCs w:val="20"/>
        </w:rPr>
        <w:t xml:space="preserve">razmerja med plačami  posameznih poklicnih skupin, razmerja med plačami </w:t>
      </w:r>
      <w:r w:rsidR="00274CB9" w:rsidRPr="00C97145">
        <w:rPr>
          <w:rFonts w:ascii="Arial" w:hAnsi="Arial" w:cs="Arial"/>
          <w:sz w:val="20"/>
          <w:szCs w:val="20"/>
        </w:rPr>
        <w:t xml:space="preserve">na delovnih mestih </w:t>
      </w:r>
      <w:r w:rsidRPr="00C97145">
        <w:rPr>
          <w:rFonts w:ascii="Arial" w:hAnsi="Arial" w:cs="Arial"/>
          <w:sz w:val="20"/>
          <w:szCs w:val="20"/>
        </w:rPr>
        <w:t>z različno stopnjo zahtevnosti in različno zahtevano izobrazbo kot tudi razmerje med najvišjo in najnižjo izplačano plačo v javnem sektorju.</w:t>
      </w:r>
    </w:p>
    <w:p w14:paraId="50692BE2" w14:textId="77777777" w:rsidR="00774F45" w:rsidRPr="00C97145" w:rsidRDefault="00774F45" w:rsidP="00774F45">
      <w:pPr>
        <w:pStyle w:val="Napis"/>
        <w:keepNext/>
        <w:rPr>
          <w:rFonts w:ascii="Arial" w:hAnsi="Arial" w:cs="Arial"/>
          <w:sz w:val="20"/>
          <w:szCs w:val="20"/>
        </w:rPr>
      </w:pPr>
    </w:p>
    <w:p w14:paraId="6DC5554A" w14:textId="300FC118" w:rsidR="00774F45" w:rsidRPr="00C97145" w:rsidRDefault="00774F45" w:rsidP="00774F45">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t xml:space="preserve">Tabela </w:t>
      </w:r>
      <w:r w:rsidRPr="00C97145">
        <w:rPr>
          <w:rFonts w:ascii="Arial" w:hAnsi="Arial" w:cs="Arial"/>
          <w:b/>
          <w:bCs/>
          <w:i w:val="0"/>
          <w:iCs w:val="0"/>
          <w:color w:val="auto"/>
          <w:sz w:val="20"/>
          <w:szCs w:val="20"/>
        </w:rPr>
        <w:fldChar w:fldCharType="begin"/>
      </w:r>
      <w:r w:rsidRPr="00C97145">
        <w:rPr>
          <w:rFonts w:ascii="Arial" w:hAnsi="Arial" w:cs="Arial"/>
          <w:b/>
          <w:bCs/>
          <w:i w:val="0"/>
          <w:iCs w:val="0"/>
          <w:color w:val="auto"/>
          <w:sz w:val="20"/>
          <w:szCs w:val="20"/>
        </w:rPr>
        <w:instrText xml:space="preserve"> SEQ Tabela \* ARABIC </w:instrText>
      </w:r>
      <w:r w:rsidRPr="00C97145">
        <w:rPr>
          <w:rFonts w:ascii="Arial" w:hAnsi="Arial" w:cs="Arial"/>
          <w:b/>
          <w:bCs/>
          <w:i w:val="0"/>
          <w:iCs w:val="0"/>
          <w:color w:val="auto"/>
          <w:sz w:val="20"/>
          <w:szCs w:val="20"/>
        </w:rPr>
        <w:fldChar w:fldCharType="separate"/>
      </w:r>
      <w:r w:rsidR="008C0DE1" w:rsidRPr="00C97145">
        <w:rPr>
          <w:rFonts w:ascii="Arial" w:hAnsi="Arial" w:cs="Arial"/>
          <w:b/>
          <w:bCs/>
          <w:i w:val="0"/>
          <w:iCs w:val="0"/>
          <w:noProof/>
          <w:color w:val="auto"/>
          <w:sz w:val="20"/>
          <w:szCs w:val="20"/>
        </w:rPr>
        <w:t>1</w:t>
      </w:r>
      <w:r w:rsidRPr="00C97145">
        <w:rPr>
          <w:rFonts w:ascii="Arial" w:hAnsi="Arial" w:cs="Arial"/>
          <w:b/>
          <w:bCs/>
          <w:i w:val="0"/>
          <w:iCs w:val="0"/>
          <w:color w:val="auto"/>
          <w:sz w:val="20"/>
          <w:szCs w:val="20"/>
        </w:rPr>
        <w:fldChar w:fldCharType="end"/>
      </w:r>
      <w:r w:rsidRPr="00C97145">
        <w:rPr>
          <w:rFonts w:ascii="Arial" w:hAnsi="Arial" w:cs="Arial"/>
          <w:b/>
          <w:bCs/>
          <w:i w:val="0"/>
          <w:iCs w:val="0"/>
          <w:color w:val="auto"/>
          <w:sz w:val="20"/>
          <w:szCs w:val="20"/>
        </w:rPr>
        <w:t>: Spremembe najnižje in najvišje osnovne plače, 2008 - 2023</w:t>
      </w:r>
    </w:p>
    <w:tbl>
      <w:tblPr>
        <w:tblStyle w:val="Tabelasvetlamrea"/>
        <w:tblW w:w="9800" w:type="dxa"/>
        <w:tblLook w:val="04A0" w:firstRow="1" w:lastRow="0" w:firstColumn="1" w:lastColumn="0" w:noHBand="0" w:noVBand="1"/>
      </w:tblPr>
      <w:tblGrid>
        <w:gridCol w:w="1100"/>
        <w:gridCol w:w="1420"/>
        <w:gridCol w:w="1980"/>
        <w:gridCol w:w="1580"/>
        <w:gridCol w:w="1680"/>
        <w:gridCol w:w="2040"/>
      </w:tblGrid>
      <w:tr w:rsidR="00774F45" w:rsidRPr="00C97145" w14:paraId="5F1BDD7B" w14:textId="77777777" w:rsidTr="00633512">
        <w:trPr>
          <w:trHeight w:val="735"/>
        </w:trPr>
        <w:tc>
          <w:tcPr>
            <w:tcW w:w="1100" w:type="dxa"/>
            <w:noWrap/>
            <w:hideMark/>
          </w:tcPr>
          <w:p w14:paraId="4665F011" w14:textId="77777777" w:rsidR="00774F45" w:rsidRPr="00C97145" w:rsidRDefault="00774F45" w:rsidP="008266A1">
            <w:pPr>
              <w:spacing w:after="0" w:line="240" w:lineRule="auto"/>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 </w:t>
            </w:r>
          </w:p>
        </w:tc>
        <w:tc>
          <w:tcPr>
            <w:tcW w:w="1420" w:type="dxa"/>
            <w:hideMark/>
          </w:tcPr>
          <w:p w14:paraId="4FB7A380"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Najnižji dejanski PR</w:t>
            </w:r>
          </w:p>
        </w:tc>
        <w:tc>
          <w:tcPr>
            <w:tcW w:w="1980" w:type="dxa"/>
            <w:hideMark/>
          </w:tcPr>
          <w:p w14:paraId="530851D8"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Najnižji dejanski PR v EUR</w:t>
            </w:r>
          </w:p>
        </w:tc>
        <w:tc>
          <w:tcPr>
            <w:tcW w:w="1580" w:type="dxa"/>
            <w:hideMark/>
          </w:tcPr>
          <w:p w14:paraId="0138BE57"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Najvišji  dejanski  PR</w:t>
            </w:r>
          </w:p>
        </w:tc>
        <w:tc>
          <w:tcPr>
            <w:tcW w:w="1680" w:type="dxa"/>
            <w:hideMark/>
          </w:tcPr>
          <w:p w14:paraId="78EAAE2C"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Najvišji dejanski PR v EUR</w:t>
            </w:r>
          </w:p>
        </w:tc>
        <w:tc>
          <w:tcPr>
            <w:tcW w:w="2040" w:type="dxa"/>
            <w:hideMark/>
          </w:tcPr>
          <w:p w14:paraId="5E28D262"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Višina minimalne plače v EUR</w:t>
            </w:r>
          </w:p>
        </w:tc>
      </w:tr>
      <w:tr w:rsidR="00774F45" w:rsidRPr="00C97145" w14:paraId="592CE85F" w14:textId="77777777" w:rsidTr="00633512">
        <w:trPr>
          <w:trHeight w:val="300"/>
        </w:trPr>
        <w:tc>
          <w:tcPr>
            <w:tcW w:w="1100" w:type="dxa"/>
            <w:noWrap/>
            <w:hideMark/>
          </w:tcPr>
          <w:p w14:paraId="4B0C9665" w14:textId="77777777" w:rsidR="00774F45" w:rsidRPr="00C97145" w:rsidRDefault="00774F45" w:rsidP="008266A1">
            <w:pPr>
              <w:spacing w:after="0" w:line="240" w:lineRule="auto"/>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2008 (1.5.)</w:t>
            </w:r>
          </w:p>
        </w:tc>
        <w:tc>
          <w:tcPr>
            <w:tcW w:w="1420" w:type="dxa"/>
            <w:noWrap/>
            <w:hideMark/>
          </w:tcPr>
          <w:p w14:paraId="3CF26AF2"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6</w:t>
            </w:r>
          </w:p>
        </w:tc>
        <w:tc>
          <w:tcPr>
            <w:tcW w:w="1980" w:type="dxa"/>
            <w:noWrap/>
            <w:hideMark/>
          </w:tcPr>
          <w:p w14:paraId="3AFD9FFA"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574,31</w:t>
            </w:r>
          </w:p>
        </w:tc>
        <w:tc>
          <w:tcPr>
            <w:tcW w:w="1580" w:type="dxa"/>
            <w:noWrap/>
            <w:hideMark/>
          </w:tcPr>
          <w:p w14:paraId="2EEF2066"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65</w:t>
            </w:r>
          </w:p>
        </w:tc>
        <w:tc>
          <w:tcPr>
            <w:tcW w:w="1680" w:type="dxa"/>
            <w:noWrap/>
            <w:hideMark/>
          </w:tcPr>
          <w:p w14:paraId="26BAB615"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5.809,13</w:t>
            </w:r>
          </w:p>
        </w:tc>
        <w:tc>
          <w:tcPr>
            <w:tcW w:w="2040" w:type="dxa"/>
            <w:noWrap/>
            <w:hideMark/>
          </w:tcPr>
          <w:p w14:paraId="63E812FA"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566,53</w:t>
            </w:r>
          </w:p>
        </w:tc>
      </w:tr>
      <w:tr w:rsidR="00774F45" w:rsidRPr="00C97145" w14:paraId="0FCCE133" w14:textId="77777777" w:rsidTr="00633512">
        <w:trPr>
          <w:trHeight w:val="300"/>
        </w:trPr>
        <w:tc>
          <w:tcPr>
            <w:tcW w:w="1100" w:type="dxa"/>
            <w:noWrap/>
            <w:hideMark/>
          </w:tcPr>
          <w:p w14:paraId="1EA99F00" w14:textId="77777777" w:rsidR="00F02037" w:rsidRPr="00C97145" w:rsidRDefault="00774F45" w:rsidP="008266A1">
            <w:pPr>
              <w:spacing w:after="0" w:line="240" w:lineRule="auto"/>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2023</w:t>
            </w:r>
          </w:p>
          <w:p w14:paraId="2ADB5F67" w14:textId="172FC51D" w:rsidR="00774F45" w:rsidRPr="00C97145" w:rsidRDefault="00774F45" w:rsidP="008266A1">
            <w:pPr>
              <w:spacing w:after="0" w:line="240" w:lineRule="auto"/>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(1.1.)</w:t>
            </w:r>
          </w:p>
        </w:tc>
        <w:tc>
          <w:tcPr>
            <w:tcW w:w="1420" w:type="dxa"/>
            <w:noWrap/>
            <w:hideMark/>
          </w:tcPr>
          <w:p w14:paraId="3CE7B28F"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11</w:t>
            </w:r>
          </w:p>
        </w:tc>
        <w:tc>
          <w:tcPr>
            <w:tcW w:w="1980" w:type="dxa"/>
            <w:noWrap/>
            <w:hideMark/>
          </w:tcPr>
          <w:p w14:paraId="1FB9DE02"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681,21</w:t>
            </w:r>
          </w:p>
        </w:tc>
        <w:tc>
          <w:tcPr>
            <w:tcW w:w="1580" w:type="dxa"/>
            <w:noWrap/>
            <w:hideMark/>
          </w:tcPr>
          <w:p w14:paraId="3886C633"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65</w:t>
            </w:r>
          </w:p>
        </w:tc>
        <w:tc>
          <w:tcPr>
            <w:tcW w:w="1680" w:type="dxa"/>
            <w:noWrap/>
            <w:hideMark/>
          </w:tcPr>
          <w:p w14:paraId="256E5358"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5.663,42</w:t>
            </w:r>
          </w:p>
        </w:tc>
        <w:tc>
          <w:tcPr>
            <w:tcW w:w="2040" w:type="dxa"/>
            <w:noWrap/>
            <w:hideMark/>
          </w:tcPr>
          <w:p w14:paraId="14800F05"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1.203,36</w:t>
            </w:r>
          </w:p>
        </w:tc>
      </w:tr>
      <w:tr w:rsidR="00774F45" w:rsidRPr="00C97145" w14:paraId="57974438" w14:textId="77777777" w:rsidTr="00633512">
        <w:trPr>
          <w:trHeight w:val="315"/>
        </w:trPr>
        <w:tc>
          <w:tcPr>
            <w:tcW w:w="1100" w:type="dxa"/>
            <w:noWrap/>
            <w:hideMark/>
          </w:tcPr>
          <w:p w14:paraId="41E825B6" w14:textId="77777777" w:rsidR="00774F45" w:rsidRPr="00C97145" w:rsidRDefault="00774F45" w:rsidP="008266A1">
            <w:pPr>
              <w:spacing w:after="0" w:line="240" w:lineRule="auto"/>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2023 (1.4.)</w:t>
            </w:r>
          </w:p>
        </w:tc>
        <w:tc>
          <w:tcPr>
            <w:tcW w:w="1420" w:type="dxa"/>
            <w:noWrap/>
            <w:hideMark/>
          </w:tcPr>
          <w:p w14:paraId="01FB9C33"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12</w:t>
            </w:r>
          </w:p>
        </w:tc>
        <w:tc>
          <w:tcPr>
            <w:tcW w:w="1980" w:type="dxa"/>
            <w:noWrap/>
            <w:hideMark/>
          </w:tcPr>
          <w:p w14:paraId="2CA40547"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708,46</w:t>
            </w:r>
          </w:p>
        </w:tc>
        <w:tc>
          <w:tcPr>
            <w:tcW w:w="1580" w:type="dxa"/>
            <w:noWrap/>
            <w:hideMark/>
          </w:tcPr>
          <w:p w14:paraId="2B6B49D7"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66</w:t>
            </w:r>
          </w:p>
        </w:tc>
        <w:tc>
          <w:tcPr>
            <w:tcW w:w="1680" w:type="dxa"/>
            <w:noWrap/>
            <w:hideMark/>
          </w:tcPr>
          <w:p w14:paraId="4DFC8DCD"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5.889,96</w:t>
            </w:r>
          </w:p>
        </w:tc>
        <w:tc>
          <w:tcPr>
            <w:tcW w:w="2040" w:type="dxa"/>
            <w:noWrap/>
            <w:hideMark/>
          </w:tcPr>
          <w:p w14:paraId="6CD8E35C" w14:textId="77777777" w:rsidR="00774F45" w:rsidRPr="00C97145" w:rsidRDefault="00774F45" w:rsidP="008266A1">
            <w:pPr>
              <w:spacing w:after="0" w:line="240" w:lineRule="auto"/>
              <w:jc w:val="center"/>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1.203,36</w:t>
            </w:r>
          </w:p>
        </w:tc>
      </w:tr>
    </w:tbl>
    <w:p w14:paraId="612105AA" w14:textId="77777777" w:rsidR="00774F45" w:rsidRPr="00C97145" w:rsidRDefault="00774F45" w:rsidP="00774F45">
      <w:pPr>
        <w:jc w:val="both"/>
        <w:rPr>
          <w:rFonts w:ascii="Arial" w:hAnsi="Arial" w:cs="Arial"/>
          <w:sz w:val="20"/>
          <w:szCs w:val="20"/>
        </w:rPr>
      </w:pPr>
    </w:p>
    <w:p w14:paraId="4AE3251F" w14:textId="4D187C82" w:rsidR="00774F45" w:rsidRPr="00C97145" w:rsidRDefault="00774F45" w:rsidP="00774F45">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lastRenderedPageBreak/>
        <w:t xml:space="preserve">Graf </w:t>
      </w:r>
      <w:r w:rsidR="004B3F1D" w:rsidRPr="00C97145">
        <w:rPr>
          <w:rFonts w:ascii="Arial" w:hAnsi="Arial" w:cs="Arial"/>
          <w:b/>
          <w:bCs/>
          <w:i w:val="0"/>
          <w:iCs w:val="0"/>
          <w:color w:val="auto"/>
          <w:sz w:val="20"/>
          <w:szCs w:val="20"/>
        </w:rPr>
        <w:t>19</w:t>
      </w:r>
      <w:r w:rsidRPr="00C97145">
        <w:rPr>
          <w:rFonts w:ascii="Arial" w:hAnsi="Arial" w:cs="Arial"/>
          <w:b/>
          <w:bCs/>
          <w:i w:val="0"/>
          <w:iCs w:val="0"/>
          <w:color w:val="auto"/>
          <w:sz w:val="20"/>
          <w:szCs w:val="20"/>
        </w:rPr>
        <w:t>: Vrednosti najnižjih in najvišjih dejanskih plačnih razredov 2008 in 2023</w:t>
      </w:r>
    </w:p>
    <w:p w14:paraId="0713F25A" w14:textId="77777777" w:rsidR="00774F45" w:rsidRPr="00C97145" w:rsidRDefault="00774F45" w:rsidP="00774F45">
      <w:pPr>
        <w:jc w:val="both"/>
        <w:rPr>
          <w:rFonts w:ascii="Arial" w:hAnsi="Arial" w:cs="Arial"/>
          <w:sz w:val="20"/>
          <w:szCs w:val="20"/>
        </w:rPr>
      </w:pPr>
      <w:r w:rsidRPr="00C97145">
        <w:rPr>
          <w:rFonts w:ascii="Arial" w:hAnsi="Arial" w:cs="Arial"/>
          <w:noProof/>
          <w:sz w:val="20"/>
          <w:szCs w:val="20"/>
        </w:rPr>
        <w:drawing>
          <wp:inline distT="0" distB="0" distL="0" distR="0" wp14:anchorId="71CB1F6A" wp14:editId="13334CFB">
            <wp:extent cx="4572000" cy="2743200"/>
            <wp:effectExtent l="0" t="0" r="0" b="0"/>
            <wp:docPr id="8" name="Grafikon 8" descr="Vrednosti najnižjih in najvišjih dejanskih plačnih razredov 2008 in 2023">
              <a:extLst xmlns:a="http://schemas.openxmlformats.org/drawingml/2006/main">
                <a:ext uri="{FF2B5EF4-FFF2-40B4-BE49-F238E27FC236}">
                  <a16:creationId xmlns:a16="http://schemas.microsoft.com/office/drawing/2014/main" id="{DC0C475F-D0E6-4329-8484-82AEBED1B9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345233D" w14:textId="6C457A55" w:rsidR="00774F45" w:rsidRPr="00C97145" w:rsidRDefault="00774F45" w:rsidP="00774F45">
      <w:pPr>
        <w:jc w:val="both"/>
        <w:rPr>
          <w:rFonts w:ascii="Arial" w:hAnsi="Arial" w:cs="Arial"/>
          <w:sz w:val="20"/>
          <w:szCs w:val="20"/>
        </w:rPr>
      </w:pPr>
      <w:r w:rsidRPr="00C97145">
        <w:rPr>
          <w:rFonts w:ascii="Arial" w:hAnsi="Arial" w:cs="Arial"/>
          <w:sz w:val="20"/>
          <w:szCs w:val="20"/>
        </w:rPr>
        <w:t>Vir: MJU</w:t>
      </w:r>
    </w:p>
    <w:p w14:paraId="2E65AC02" w14:textId="77777777" w:rsidR="00774F45" w:rsidRPr="00C97145" w:rsidRDefault="00774F45" w:rsidP="00774F45">
      <w:pPr>
        <w:jc w:val="both"/>
        <w:rPr>
          <w:rFonts w:ascii="Arial" w:hAnsi="Arial" w:cs="Arial"/>
          <w:sz w:val="20"/>
          <w:szCs w:val="20"/>
        </w:rPr>
      </w:pPr>
    </w:p>
    <w:p w14:paraId="0D84A232" w14:textId="646A9111" w:rsidR="00774F45" w:rsidRPr="00C97145" w:rsidRDefault="00774F45" w:rsidP="00774F45">
      <w:pPr>
        <w:pStyle w:val="Napis"/>
        <w:keepNext/>
        <w:jc w:val="both"/>
        <w:rPr>
          <w:rFonts w:ascii="Arial" w:hAnsi="Arial" w:cs="Arial"/>
          <w:b/>
          <w:bCs/>
          <w:i w:val="0"/>
          <w:iCs w:val="0"/>
          <w:color w:val="auto"/>
          <w:sz w:val="20"/>
          <w:szCs w:val="20"/>
        </w:rPr>
      </w:pPr>
      <w:r w:rsidRPr="00C97145">
        <w:rPr>
          <w:rFonts w:ascii="Arial" w:hAnsi="Arial" w:cs="Arial"/>
          <w:b/>
          <w:bCs/>
          <w:i w:val="0"/>
          <w:iCs w:val="0"/>
          <w:color w:val="auto"/>
          <w:sz w:val="20"/>
          <w:szCs w:val="20"/>
        </w:rPr>
        <w:t>Graf</w:t>
      </w:r>
      <w:r w:rsidR="008C0DE1" w:rsidRPr="00C97145">
        <w:rPr>
          <w:rFonts w:ascii="Arial" w:hAnsi="Arial" w:cs="Arial"/>
          <w:b/>
          <w:bCs/>
          <w:i w:val="0"/>
          <w:iCs w:val="0"/>
          <w:color w:val="auto"/>
          <w:sz w:val="20"/>
          <w:szCs w:val="20"/>
        </w:rPr>
        <w:t xml:space="preserve"> 20</w:t>
      </w:r>
      <w:r w:rsidRPr="00C97145">
        <w:rPr>
          <w:rFonts w:ascii="Arial" w:hAnsi="Arial" w:cs="Arial"/>
          <w:b/>
          <w:bCs/>
          <w:i w:val="0"/>
          <w:iCs w:val="0"/>
          <w:color w:val="auto"/>
          <w:sz w:val="20"/>
          <w:szCs w:val="20"/>
        </w:rPr>
        <w:t>: Razmerje med vrednostjo minimalne plače in 65. plačnega razreda</w:t>
      </w:r>
    </w:p>
    <w:p w14:paraId="344F06FF" w14:textId="77777777" w:rsidR="00774F45" w:rsidRPr="00C97145" w:rsidRDefault="00774F45" w:rsidP="00774F45">
      <w:pPr>
        <w:jc w:val="both"/>
        <w:rPr>
          <w:rFonts w:ascii="Arial" w:hAnsi="Arial" w:cs="Arial"/>
          <w:sz w:val="20"/>
          <w:szCs w:val="20"/>
        </w:rPr>
      </w:pPr>
      <w:r w:rsidRPr="00C97145">
        <w:rPr>
          <w:rFonts w:ascii="Arial" w:hAnsi="Arial" w:cs="Arial"/>
          <w:noProof/>
          <w:sz w:val="20"/>
          <w:szCs w:val="20"/>
        </w:rPr>
        <w:drawing>
          <wp:inline distT="0" distB="0" distL="0" distR="0" wp14:anchorId="2E17A2DD" wp14:editId="09C7E65E">
            <wp:extent cx="5760720" cy="2853055"/>
            <wp:effectExtent l="0" t="0" r="0" b="4445"/>
            <wp:docPr id="1027" name="Grafikon 2" descr="Razmerje med vrednostjo minimalne plače in 65. plačnega razreda">
              <a:extLst xmlns:a="http://schemas.openxmlformats.org/drawingml/2006/main">
                <a:ext uri="{FF2B5EF4-FFF2-40B4-BE49-F238E27FC236}">
                  <a16:creationId xmlns:a16="http://schemas.microsoft.com/office/drawing/2014/main" id="{6A545144-3856-4221-B42E-94DB80B583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Grafikon 2" descr="Razmerje med vrednostjo minimalne plače in 65. plačnega razreda">
                      <a:extLst>
                        <a:ext uri="{FF2B5EF4-FFF2-40B4-BE49-F238E27FC236}">
                          <a16:creationId xmlns:a16="http://schemas.microsoft.com/office/drawing/2014/main" id="{6A545144-3856-4221-B42E-94DB80B5836D}"/>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2853055"/>
                    </a:xfrm>
                    <a:prstGeom prst="rect">
                      <a:avLst/>
                    </a:prstGeom>
                    <a:noFill/>
                    <a:ln>
                      <a:noFill/>
                    </a:ln>
                  </pic:spPr>
                </pic:pic>
              </a:graphicData>
            </a:graphic>
          </wp:inline>
        </w:drawing>
      </w:r>
    </w:p>
    <w:p w14:paraId="56CC2C44" w14:textId="40730155" w:rsidR="00774F45" w:rsidRPr="00C97145" w:rsidRDefault="00774F45" w:rsidP="00774F45">
      <w:pPr>
        <w:jc w:val="both"/>
        <w:rPr>
          <w:rFonts w:ascii="Arial" w:hAnsi="Arial" w:cs="Arial"/>
          <w:sz w:val="20"/>
          <w:szCs w:val="20"/>
        </w:rPr>
      </w:pPr>
      <w:r w:rsidRPr="00C97145">
        <w:rPr>
          <w:rFonts w:ascii="Arial" w:hAnsi="Arial" w:cs="Arial"/>
          <w:sz w:val="20"/>
          <w:szCs w:val="20"/>
        </w:rPr>
        <w:t>Vir: MJU</w:t>
      </w:r>
    </w:p>
    <w:p w14:paraId="3507F043" w14:textId="77777777" w:rsidR="00AD77A7" w:rsidRPr="00C97145" w:rsidRDefault="00AD77A7" w:rsidP="004226FF">
      <w:pPr>
        <w:jc w:val="both"/>
        <w:rPr>
          <w:rFonts w:ascii="Arial" w:hAnsi="Arial" w:cs="Arial"/>
          <w:sz w:val="20"/>
          <w:szCs w:val="20"/>
        </w:rPr>
      </w:pPr>
    </w:p>
    <w:p w14:paraId="682F144D" w14:textId="6FD0D9BB" w:rsidR="00AD77A7" w:rsidRPr="00C97145" w:rsidRDefault="00AD77A7" w:rsidP="004226FF">
      <w:pPr>
        <w:jc w:val="both"/>
        <w:rPr>
          <w:rFonts w:ascii="Arial" w:hAnsi="Arial" w:cs="Arial"/>
          <w:sz w:val="20"/>
          <w:szCs w:val="20"/>
        </w:rPr>
      </w:pPr>
      <w:r w:rsidRPr="00C97145">
        <w:rPr>
          <w:rFonts w:ascii="Arial" w:hAnsi="Arial" w:cs="Arial"/>
          <w:sz w:val="20"/>
          <w:szCs w:val="20"/>
        </w:rPr>
        <w:t>Na položaj zaposlenih in na sredstva za zaposlene, ki so v Sloveniji na</w:t>
      </w:r>
      <w:r w:rsidR="00F07ADA" w:rsidRPr="00C97145">
        <w:rPr>
          <w:rFonts w:ascii="Arial" w:hAnsi="Arial" w:cs="Arial"/>
          <w:sz w:val="20"/>
          <w:szCs w:val="20"/>
        </w:rPr>
        <w:t>d</w:t>
      </w:r>
      <w:r w:rsidRPr="00C97145">
        <w:rPr>
          <w:rFonts w:ascii="Arial" w:hAnsi="Arial" w:cs="Arial"/>
          <w:sz w:val="20"/>
          <w:szCs w:val="20"/>
        </w:rPr>
        <w:t xml:space="preserve"> povprečjem EU, pa ne vplivajo le plače, ampak tudi nekatere  </w:t>
      </w:r>
      <w:r w:rsidR="00003841" w:rsidRPr="00C97145">
        <w:rPr>
          <w:rFonts w:ascii="Arial" w:hAnsi="Arial" w:cs="Arial"/>
          <w:sz w:val="20"/>
          <w:szCs w:val="20"/>
        </w:rPr>
        <w:t xml:space="preserve">druge </w:t>
      </w:r>
      <w:r w:rsidRPr="00C97145">
        <w:rPr>
          <w:rFonts w:ascii="Arial" w:hAnsi="Arial" w:cs="Arial"/>
          <w:sz w:val="20"/>
          <w:szCs w:val="20"/>
        </w:rPr>
        <w:t>pravice javnih uslužbencev</w:t>
      </w:r>
      <w:r w:rsidR="00F02037" w:rsidRPr="00C97145">
        <w:rPr>
          <w:rFonts w:ascii="Arial" w:hAnsi="Arial" w:cs="Arial"/>
          <w:sz w:val="20"/>
          <w:szCs w:val="20"/>
        </w:rPr>
        <w:t>:</w:t>
      </w:r>
    </w:p>
    <w:p w14:paraId="020222AE" w14:textId="10BCE769" w:rsidR="00AD77A7" w:rsidRPr="00C97145" w:rsidRDefault="00AD77A7" w:rsidP="00AD77A7">
      <w:pPr>
        <w:pStyle w:val="Odstavekseznama"/>
        <w:numPr>
          <w:ilvl w:val="0"/>
          <w:numId w:val="37"/>
        </w:numPr>
        <w:jc w:val="both"/>
        <w:rPr>
          <w:rFonts w:ascii="Arial" w:hAnsi="Arial" w:cs="Arial"/>
          <w:sz w:val="20"/>
          <w:szCs w:val="20"/>
        </w:rPr>
      </w:pPr>
      <w:r w:rsidRPr="00C97145">
        <w:rPr>
          <w:rFonts w:ascii="Arial" w:hAnsi="Arial" w:cs="Arial"/>
          <w:sz w:val="20"/>
          <w:szCs w:val="20"/>
        </w:rPr>
        <w:t xml:space="preserve">letni dopust (veliko število dopusta, različni kriteriji za letni dopust po dejavnostih), </w:t>
      </w:r>
    </w:p>
    <w:p w14:paraId="3A066FFA" w14:textId="77777777" w:rsidR="00003841" w:rsidRPr="00C97145" w:rsidRDefault="00003841" w:rsidP="00003841">
      <w:pPr>
        <w:pStyle w:val="Odstavekseznama"/>
        <w:jc w:val="both"/>
        <w:rPr>
          <w:rFonts w:ascii="Arial" w:hAnsi="Arial" w:cs="Arial"/>
          <w:sz w:val="20"/>
          <w:szCs w:val="20"/>
        </w:rPr>
      </w:pPr>
    </w:p>
    <w:p w14:paraId="48325CDA" w14:textId="71C61B96" w:rsidR="00AD77A7" w:rsidRPr="00C97145" w:rsidRDefault="00AD77A7" w:rsidP="00AD77A7">
      <w:pPr>
        <w:pStyle w:val="Odstavekseznama"/>
        <w:numPr>
          <w:ilvl w:val="0"/>
          <w:numId w:val="37"/>
        </w:numPr>
        <w:jc w:val="both"/>
        <w:rPr>
          <w:rFonts w:ascii="Arial" w:hAnsi="Arial" w:cs="Arial"/>
          <w:sz w:val="20"/>
          <w:szCs w:val="20"/>
        </w:rPr>
      </w:pPr>
      <w:r w:rsidRPr="00C97145">
        <w:rPr>
          <w:rFonts w:ascii="Arial" w:hAnsi="Arial" w:cs="Arial"/>
          <w:sz w:val="20"/>
          <w:szCs w:val="20"/>
        </w:rPr>
        <w:t>dodatek za stalnost – imajo ga le uslužbenci nekateri</w:t>
      </w:r>
      <w:r w:rsidR="00F02037" w:rsidRPr="00C97145">
        <w:rPr>
          <w:rFonts w:ascii="Arial" w:hAnsi="Arial" w:cs="Arial"/>
          <w:sz w:val="20"/>
          <w:szCs w:val="20"/>
        </w:rPr>
        <w:t>h</w:t>
      </w:r>
      <w:r w:rsidRPr="00C97145">
        <w:rPr>
          <w:rFonts w:ascii="Arial" w:hAnsi="Arial" w:cs="Arial"/>
          <w:sz w:val="20"/>
          <w:szCs w:val="20"/>
        </w:rPr>
        <w:t xml:space="preserve"> poklicnih skupin na podlagi področnih predpisov, ZSPJS ga ni uvrstil</w:t>
      </w:r>
      <w:r w:rsidR="00530F55" w:rsidRPr="00C97145">
        <w:rPr>
          <w:rFonts w:ascii="Arial" w:hAnsi="Arial" w:cs="Arial"/>
          <w:sz w:val="20"/>
          <w:szCs w:val="20"/>
        </w:rPr>
        <w:t xml:space="preserve"> v seznam dodatkov novega plačnega sistema, ga pa tudi ni ukinil, ampak ga je uvrstil med prehodne določbe. Izplačuje se v enaki višini kot dodatek na delovno dobo, kar pomeni, da povečuje vpliv </w:t>
      </w:r>
      <w:proofErr w:type="spellStart"/>
      <w:r w:rsidR="00530F55" w:rsidRPr="00C97145">
        <w:rPr>
          <w:rFonts w:ascii="Arial" w:hAnsi="Arial" w:cs="Arial"/>
          <w:sz w:val="20"/>
          <w:szCs w:val="20"/>
        </w:rPr>
        <w:t>senioritete</w:t>
      </w:r>
      <w:proofErr w:type="spellEnd"/>
      <w:r w:rsidR="00530F55" w:rsidRPr="00C97145">
        <w:rPr>
          <w:rFonts w:ascii="Arial" w:hAnsi="Arial" w:cs="Arial"/>
          <w:sz w:val="20"/>
          <w:szCs w:val="20"/>
        </w:rPr>
        <w:t xml:space="preserve">. </w:t>
      </w:r>
    </w:p>
    <w:p w14:paraId="4F20F860" w14:textId="5F6A76AB" w:rsidR="00AD77A7" w:rsidRPr="00C97145" w:rsidRDefault="00AD77A7" w:rsidP="00AD77A7">
      <w:pPr>
        <w:numPr>
          <w:ilvl w:val="0"/>
          <w:numId w:val="37"/>
        </w:numPr>
        <w:jc w:val="both"/>
        <w:rPr>
          <w:rFonts w:ascii="Arial" w:hAnsi="Arial" w:cs="Arial"/>
          <w:sz w:val="20"/>
          <w:szCs w:val="20"/>
        </w:rPr>
      </w:pPr>
      <w:r w:rsidRPr="00C97145">
        <w:rPr>
          <w:rFonts w:ascii="Arial" w:hAnsi="Arial" w:cs="Arial"/>
          <w:sz w:val="20"/>
          <w:szCs w:val="20"/>
        </w:rPr>
        <w:lastRenderedPageBreak/>
        <w:t>poklicno zavarovanje</w:t>
      </w:r>
      <w:r w:rsidR="00530F55" w:rsidRPr="00C97145">
        <w:rPr>
          <w:rFonts w:ascii="Arial" w:hAnsi="Arial" w:cs="Arial"/>
          <w:sz w:val="20"/>
          <w:szCs w:val="20"/>
        </w:rPr>
        <w:t xml:space="preserve"> – tudi obvezno dodatno poklicno zavarovanje, ki je ob reformi pokojninskega in invalidskega zavarovanja nadomestilo beneficirano delovno dobo, pripada le določenim poklicnim skupinam, visoki zneski za plačilo premij pa utemeljujejo potrebo po preveritvi kriterij</w:t>
      </w:r>
      <w:r w:rsidR="00EF47D5" w:rsidRPr="00C97145">
        <w:rPr>
          <w:rFonts w:ascii="Arial" w:hAnsi="Arial" w:cs="Arial"/>
          <w:sz w:val="20"/>
          <w:szCs w:val="20"/>
        </w:rPr>
        <w:t>ev</w:t>
      </w:r>
      <w:r w:rsidR="00530F55" w:rsidRPr="00C97145">
        <w:rPr>
          <w:rFonts w:ascii="Arial" w:hAnsi="Arial" w:cs="Arial"/>
          <w:sz w:val="20"/>
          <w:szCs w:val="20"/>
        </w:rPr>
        <w:t xml:space="preserve"> za upravičenost do vključenosti v to zavarovanje.</w:t>
      </w:r>
    </w:p>
    <w:p w14:paraId="238E8BB5" w14:textId="2D32434A" w:rsidR="00F07ADA" w:rsidRPr="00C97145" w:rsidRDefault="00F07ADA" w:rsidP="00F07ADA">
      <w:pPr>
        <w:pStyle w:val="Napis"/>
        <w:keepNext/>
        <w:rPr>
          <w:rFonts w:ascii="Arial" w:hAnsi="Arial" w:cs="Arial"/>
          <w:b/>
          <w:bCs/>
          <w:i w:val="0"/>
          <w:iCs w:val="0"/>
          <w:color w:val="auto"/>
          <w:sz w:val="20"/>
          <w:szCs w:val="20"/>
        </w:rPr>
      </w:pPr>
      <w:r w:rsidRPr="00C97145">
        <w:rPr>
          <w:rFonts w:ascii="Arial" w:hAnsi="Arial" w:cs="Arial"/>
          <w:b/>
          <w:bCs/>
          <w:i w:val="0"/>
          <w:iCs w:val="0"/>
          <w:color w:val="auto"/>
          <w:sz w:val="20"/>
          <w:szCs w:val="20"/>
        </w:rPr>
        <w:t xml:space="preserve">Tabela </w:t>
      </w:r>
      <w:r w:rsidRPr="00C97145">
        <w:rPr>
          <w:rFonts w:ascii="Arial" w:hAnsi="Arial" w:cs="Arial"/>
          <w:b/>
          <w:bCs/>
          <w:i w:val="0"/>
          <w:iCs w:val="0"/>
          <w:color w:val="auto"/>
          <w:sz w:val="20"/>
          <w:szCs w:val="20"/>
        </w:rPr>
        <w:fldChar w:fldCharType="begin"/>
      </w:r>
      <w:r w:rsidRPr="00C97145">
        <w:rPr>
          <w:rFonts w:ascii="Arial" w:hAnsi="Arial" w:cs="Arial"/>
          <w:b/>
          <w:bCs/>
          <w:i w:val="0"/>
          <w:iCs w:val="0"/>
          <w:color w:val="auto"/>
          <w:sz w:val="20"/>
          <w:szCs w:val="20"/>
        </w:rPr>
        <w:instrText xml:space="preserve"> SEQ Tabela \* ARABIC </w:instrText>
      </w:r>
      <w:r w:rsidRPr="00C97145">
        <w:rPr>
          <w:rFonts w:ascii="Arial" w:hAnsi="Arial" w:cs="Arial"/>
          <w:b/>
          <w:bCs/>
          <w:i w:val="0"/>
          <w:iCs w:val="0"/>
          <w:color w:val="auto"/>
          <w:sz w:val="20"/>
          <w:szCs w:val="20"/>
        </w:rPr>
        <w:fldChar w:fldCharType="separate"/>
      </w:r>
      <w:r w:rsidR="008C0DE1" w:rsidRPr="00C97145">
        <w:rPr>
          <w:rFonts w:ascii="Arial" w:hAnsi="Arial" w:cs="Arial"/>
          <w:b/>
          <w:bCs/>
          <w:i w:val="0"/>
          <w:iCs w:val="0"/>
          <w:noProof/>
          <w:color w:val="auto"/>
          <w:sz w:val="20"/>
          <w:szCs w:val="20"/>
        </w:rPr>
        <w:t>2</w:t>
      </w:r>
      <w:r w:rsidRPr="00C97145">
        <w:rPr>
          <w:rFonts w:ascii="Arial" w:hAnsi="Arial" w:cs="Arial"/>
          <w:b/>
          <w:bCs/>
          <w:i w:val="0"/>
          <w:iCs w:val="0"/>
          <w:color w:val="auto"/>
          <w:sz w:val="20"/>
          <w:szCs w:val="20"/>
        </w:rPr>
        <w:fldChar w:fldCharType="end"/>
      </w:r>
      <w:r w:rsidRPr="00C97145">
        <w:rPr>
          <w:rFonts w:ascii="Arial" w:hAnsi="Arial" w:cs="Arial"/>
          <w:b/>
          <w:bCs/>
          <w:i w:val="0"/>
          <w:iCs w:val="0"/>
          <w:color w:val="auto"/>
          <w:sz w:val="20"/>
          <w:szCs w:val="20"/>
        </w:rPr>
        <w:t>: Dodatek na stalnost</w:t>
      </w:r>
    </w:p>
    <w:tbl>
      <w:tblPr>
        <w:tblStyle w:val="Tabelasvetlamrea"/>
        <w:tblW w:w="8784" w:type="dxa"/>
        <w:tblLook w:val="0620" w:firstRow="1" w:lastRow="0" w:firstColumn="0" w:lastColumn="0" w:noHBand="1" w:noVBand="1"/>
      </w:tblPr>
      <w:tblGrid>
        <w:gridCol w:w="4106"/>
        <w:gridCol w:w="4678"/>
      </w:tblGrid>
      <w:tr w:rsidR="00F07ADA" w:rsidRPr="00C97145" w14:paraId="5EB169BC" w14:textId="77777777" w:rsidTr="00633512">
        <w:trPr>
          <w:trHeight w:val="923"/>
        </w:trPr>
        <w:tc>
          <w:tcPr>
            <w:tcW w:w="4106" w:type="dxa"/>
            <w:hideMark/>
          </w:tcPr>
          <w:p w14:paraId="22647A52" w14:textId="77777777" w:rsidR="00F07ADA" w:rsidRPr="00C97145" w:rsidRDefault="00F07ADA" w:rsidP="008266A1">
            <w:pPr>
              <w:rPr>
                <w:rFonts w:ascii="Arial" w:hAnsi="Arial" w:cs="Arial"/>
                <w:sz w:val="20"/>
                <w:szCs w:val="20"/>
              </w:rPr>
            </w:pPr>
            <w:r w:rsidRPr="00C97145">
              <w:rPr>
                <w:rFonts w:ascii="Arial" w:hAnsi="Arial" w:cs="Arial"/>
                <w:b/>
                <w:bCs/>
                <w:sz w:val="20"/>
                <w:szCs w:val="20"/>
              </w:rPr>
              <w:t>Plačna podskupina</w:t>
            </w:r>
            <w:r w:rsidRPr="00C97145">
              <w:rPr>
                <w:rStyle w:val="Sprotnaopomba-sklic"/>
                <w:rFonts w:ascii="Arial" w:hAnsi="Arial" w:cs="Arial"/>
                <w:b/>
                <w:bCs/>
                <w:sz w:val="20"/>
                <w:szCs w:val="20"/>
              </w:rPr>
              <w:footnoteReference w:id="2"/>
            </w:r>
          </w:p>
        </w:tc>
        <w:tc>
          <w:tcPr>
            <w:tcW w:w="4678" w:type="dxa"/>
            <w:hideMark/>
          </w:tcPr>
          <w:p w14:paraId="03B55603" w14:textId="77777777" w:rsidR="00F07ADA" w:rsidRPr="00C97145" w:rsidRDefault="00F07ADA" w:rsidP="008266A1">
            <w:pPr>
              <w:rPr>
                <w:rFonts w:ascii="Arial" w:hAnsi="Arial" w:cs="Arial"/>
                <w:sz w:val="20"/>
                <w:szCs w:val="20"/>
              </w:rPr>
            </w:pPr>
            <w:r w:rsidRPr="00C97145">
              <w:rPr>
                <w:rFonts w:ascii="Arial" w:hAnsi="Arial" w:cs="Arial"/>
                <w:b/>
                <w:bCs/>
                <w:sz w:val="20"/>
                <w:szCs w:val="20"/>
              </w:rPr>
              <w:t xml:space="preserve">Dodatek za stalnost - Masa izplačil na letni ravni </w:t>
            </w:r>
          </w:p>
        </w:tc>
      </w:tr>
      <w:tr w:rsidR="00F07ADA" w:rsidRPr="00C97145" w14:paraId="594A186C" w14:textId="77777777" w:rsidTr="00633512">
        <w:trPr>
          <w:trHeight w:val="462"/>
        </w:trPr>
        <w:tc>
          <w:tcPr>
            <w:tcW w:w="4106" w:type="dxa"/>
            <w:hideMark/>
          </w:tcPr>
          <w:p w14:paraId="5732376C" w14:textId="77777777" w:rsidR="00F07ADA" w:rsidRPr="00C97145" w:rsidRDefault="00F07ADA" w:rsidP="008266A1">
            <w:pPr>
              <w:rPr>
                <w:rFonts w:ascii="Arial" w:hAnsi="Arial" w:cs="Arial"/>
                <w:sz w:val="20"/>
                <w:szCs w:val="20"/>
              </w:rPr>
            </w:pPr>
            <w:r w:rsidRPr="00C97145">
              <w:rPr>
                <w:rFonts w:ascii="Arial" w:hAnsi="Arial" w:cs="Arial"/>
                <w:sz w:val="20"/>
                <w:szCs w:val="20"/>
              </w:rPr>
              <w:t>B1 – Ravnatelji, direktorji in tajniki</w:t>
            </w:r>
          </w:p>
        </w:tc>
        <w:tc>
          <w:tcPr>
            <w:tcW w:w="4678" w:type="dxa"/>
            <w:hideMark/>
          </w:tcPr>
          <w:p w14:paraId="3C851A2E" w14:textId="77777777" w:rsidR="00F07ADA" w:rsidRPr="00C97145" w:rsidRDefault="00F07ADA" w:rsidP="008266A1">
            <w:pPr>
              <w:rPr>
                <w:rFonts w:ascii="Arial" w:hAnsi="Arial" w:cs="Arial"/>
                <w:sz w:val="20"/>
                <w:szCs w:val="20"/>
              </w:rPr>
            </w:pPr>
            <w:r w:rsidRPr="00C97145">
              <w:rPr>
                <w:rFonts w:ascii="Arial" w:hAnsi="Arial" w:cs="Arial"/>
                <w:sz w:val="20"/>
                <w:szCs w:val="20"/>
              </w:rPr>
              <w:t>50.723 €</w:t>
            </w:r>
          </w:p>
        </w:tc>
      </w:tr>
      <w:tr w:rsidR="00F07ADA" w:rsidRPr="00C97145" w14:paraId="04C87511" w14:textId="77777777" w:rsidTr="00633512">
        <w:trPr>
          <w:trHeight w:val="462"/>
        </w:trPr>
        <w:tc>
          <w:tcPr>
            <w:tcW w:w="4106" w:type="dxa"/>
            <w:hideMark/>
          </w:tcPr>
          <w:p w14:paraId="0A97CC8A" w14:textId="77777777" w:rsidR="00F07ADA" w:rsidRPr="00C97145" w:rsidRDefault="00F07ADA" w:rsidP="008266A1">
            <w:pPr>
              <w:rPr>
                <w:rFonts w:ascii="Arial" w:hAnsi="Arial" w:cs="Arial"/>
                <w:sz w:val="20"/>
                <w:szCs w:val="20"/>
              </w:rPr>
            </w:pPr>
            <w:r w:rsidRPr="00C97145">
              <w:rPr>
                <w:rFonts w:ascii="Arial" w:hAnsi="Arial" w:cs="Arial"/>
                <w:sz w:val="20"/>
                <w:szCs w:val="20"/>
              </w:rPr>
              <w:t>C2 – Uradniki v državni upravi, upravah pravosodnih organov in upravah lokalnih skupnosti</w:t>
            </w:r>
          </w:p>
        </w:tc>
        <w:tc>
          <w:tcPr>
            <w:tcW w:w="4678" w:type="dxa"/>
            <w:hideMark/>
          </w:tcPr>
          <w:p w14:paraId="7C8E93C9" w14:textId="77777777" w:rsidR="00F07ADA" w:rsidRPr="00C97145" w:rsidRDefault="00F07ADA" w:rsidP="008266A1">
            <w:pPr>
              <w:rPr>
                <w:rFonts w:ascii="Arial" w:hAnsi="Arial" w:cs="Arial"/>
                <w:sz w:val="20"/>
                <w:szCs w:val="20"/>
              </w:rPr>
            </w:pPr>
            <w:r w:rsidRPr="00C97145">
              <w:rPr>
                <w:rFonts w:ascii="Arial" w:hAnsi="Arial" w:cs="Arial"/>
                <w:sz w:val="20"/>
                <w:szCs w:val="20"/>
              </w:rPr>
              <w:t>212.080 €</w:t>
            </w:r>
          </w:p>
        </w:tc>
      </w:tr>
      <w:tr w:rsidR="00F07ADA" w:rsidRPr="00C97145" w14:paraId="4D387810" w14:textId="77777777" w:rsidTr="00633512">
        <w:trPr>
          <w:trHeight w:val="462"/>
        </w:trPr>
        <w:tc>
          <w:tcPr>
            <w:tcW w:w="4106" w:type="dxa"/>
            <w:hideMark/>
          </w:tcPr>
          <w:p w14:paraId="193FC826" w14:textId="77777777" w:rsidR="00F07ADA" w:rsidRPr="00C97145" w:rsidRDefault="00F07ADA" w:rsidP="008266A1">
            <w:pPr>
              <w:rPr>
                <w:rFonts w:ascii="Arial" w:hAnsi="Arial" w:cs="Arial"/>
                <w:sz w:val="20"/>
                <w:szCs w:val="20"/>
              </w:rPr>
            </w:pPr>
            <w:r w:rsidRPr="00C97145">
              <w:rPr>
                <w:rFonts w:ascii="Arial" w:hAnsi="Arial" w:cs="Arial"/>
                <w:sz w:val="20"/>
                <w:szCs w:val="20"/>
              </w:rPr>
              <w:t>C3 – Policisti</w:t>
            </w:r>
          </w:p>
        </w:tc>
        <w:tc>
          <w:tcPr>
            <w:tcW w:w="4678" w:type="dxa"/>
            <w:hideMark/>
          </w:tcPr>
          <w:p w14:paraId="3EEE0B68" w14:textId="77777777" w:rsidR="00F07ADA" w:rsidRPr="00C97145" w:rsidRDefault="00F07ADA" w:rsidP="008266A1">
            <w:pPr>
              <w:rPr>
                <w:rFonts w:ascii="Arial" w:hAnsi="Arial" w:cs="Arial"/>
                <w:sz w:val="20"/>
                <w:szCs w:val="20"/>
              </w:rPr>
            </w:pPr>
            <w:r w:rsidRPr="00C97145">
              <w:rPr>
                <w:rFonts w:ascii="Arial" w:hAnsi="Arial" w:cs="Arial"/>
                <w:sz w:val="20"/>
                <w:szCs w:val="20"/>
              </w:rPr>
              <w:t>6.579.362 €</w:t>
            </w:r>
          </w:p>
        </w:tc>
      </w:tr>
      <w:tr w:rsidR="00F07ADA" w:rsidRPr="00C97145" w14:paraId="2F501641" w14:textId="77777777" w:rsidTr="00633512">
        <w:trPr>
          <w:trHeight w:val="462"/>
        </w:trPr>
        <w:tc>
          <w:tcPr>
            <w:tcW w:w="4106" w:type="dxa"/>
            <w:hideMark/>
          </w:tcPr>
          <w:p w14:paraId="0A62CB24" w14:textId="77777777" w:rsidR="00F07ADA" w:rsidRPr="00C97145" w:rsidRDefault="00F07ADA" w:rsidP="008266A1">
            <w:pPr>
              <w:rPr>
                <w:rFonts w:ascii="Arial" w:hAnsi="Arial" w:cs="Arial"/>
                <w:sz w:val="20"/>
                <w:szCs w:val="20"/>
              </w:rPr>
            </w:pPr>
            <w:r w:rsidRPr="00C97145">
              <w:rPr>
                <w:rFonts w:ascii="Arial" w:hAnsi="Arial" w:cs="Arial"/>
                <w:sz w:val="20"/>
                <w:szCs w:val="20"/>
              </w:rPr>
              <w:t>C4 – Vojaki</w:t>
            </w:r>
          </w:p>
        </w:tc>
        <w:tc>
          <w:tcPr>
            <w:tcW w:w="4678" w:type="dxa"/>
            <w:hideMark/>
          </w:tcPr>
          <w:p w14:paraId="0B17E8F1" w14:textId="77777777" w:rsidR="00F07ADA" w:rsidRPr="00C97145" w:rsidRDefault="00F07ADA" w:rsidP="008266A1">
            <w:pPr>
              <w:rPr>
                <w:rFonts w:ascii="Arial" w:hAnsi="Arial" w:cs="Arial"/>
                <w:sz w:val="20"/>
                <w:szCs w:val="20"/>
              </w:rPr>
            </w:pPr>
            <w:r w:rsidRPr="00C97145">
              <w:rPr>
                <w:rFonts w:ascii="Arial" w:hAnsi="Arial" w:cs="Arial"/>
                <w:sz w:val="20"/>
                <w:szCs w:val="20"/>
              </w:rPr>
              <w:t>4.638.667 €</w:t>
            </w:r>
          </w:p>
        </w:tc>
      </w:tr>
      <w:tr w:rsidR="00F07ADA" w:rsidRPr="00C97145" w14:paraId="5108993C" w14:textId="77777777" w:rsidTr="00633512">
        <w:trPr>
          <w:trHeight w:val="462"/>
        </w:trPr>
        <w:tc>
          <w:tcPr>
            <w:tcW w:w="4106" w:type="dxa"/>
            <w:hideMark/>
          </w:tcPr>
          <w:p w14:paraId="2E729800" w14:textId="77777777" w:rsidR="00F07ADA" w:rsidRPr="00C97145" w:rsidRDefault="00F07ADA" w:rsidP="008266A1">
            <w:pPr>
              <w:rPr>
                <w:rFonts w:ascii="Arial" w:hAnsi="Arial" w:cs="Arial"/>
                <w:sz w:val="20"/>
                <w:szCs w:val="20"/>
              </w:rPr>
            </w:pPr>
            <w:r w:rsidRPr="00C97145">
              <w:rPr>
                <w:rFonts w:ascii="Arial" w:hAnsi="Arial" w:cs="Arial"/>
                <w:sz w:val="20"/>
                <w:szCs w:val="20"/>
              </w:rPr>
              <w:t>C5 – Uradniki finančne uprave (cariniki, finančni preiskovalci)</w:t>
            </w:r>
          </w:p>
        </w:tc>
        <w:tc>
          <w:tcPr>
            <w:tcW w:w="4678" w:type="dxa"/>
            <w:hideMark/>
          </w:tcPr>
          <w:p w14:paraId="7D3E1069" w14:textId="77777777" w:rsidR="00F07ADA" w:rsidRPr="00C97145" w:rsidRDefault="00F07ADA" w:rsidP="008266A1">
            <w:pPr>
              <w:rPr>
                <w:rFonts w:ascii="Arial" w:hAnsi="Arial" w:cs="Arial"/>
                <w:sz w:val="20"/>
                <w:szCs w:val="20"/>
              </w:rPr>
            </w:pPr>
            <w:r w:rsidRPr="00C97145">
              <w:rPr>
                <w:rFonts w:ascii="Arial" w:hAnsi="Arial" w:cs="Arial"/>
                <w:sz w:val="20"/>
                <w:szCs w:val="20"/>
              </w:rPr>
              <w:t>2.741.896 €</w:t>
            </w:r>
          </w:p>
        </w:tc>
      </w:tr>
      <w:tr w:rsidR="00F07ADA" w:rsidRPr="00C97145" w14:paraId="17E4CE1C" w14:textId="77777777" w:rsidTr="00633512">
        <w:trPr>
          <w:trHeight w:val="462"/>
        </w:trPr>
        <w:tc>
          <w:tcPr>
            <w:tcW w:w="4106" w:type="dxa"/>
            <w:hideMark/>
          </w:tcPr>
          <w:p w14:paraId="51EB6DD5" w14:textId="77777777" w:rsidR="00F07ADA" w:rsidRPr="00C97145" w:rsidRDefault="00F07ADA" w:rsidP="008266A1">
            <w:pPr>
              <w:rPr>
                <w:rFonts w:ascii="Arial" w:hAnsi="Arial" w:cs="Arial"/>
                <w:sz w:val="20"/>
                <w:szCs w:val="20"/>
              </w:rPr>
            </w:pPr>
            <w:r w:rsidRPr="00C97145">
              <w:rPr>
                <w:rFonts w:ascii="Arial" w:hAnsi="Arial" w:cs="Arial"/>
                <w:sz w:val="20"/>
                <w:szCs w:val="20"/>
              </w:rPr>
              <w:t>C6 – Pravosodni policisti</w:t>
            </w:r>
          </w:p>
        </w:tc>
        <w:tc>
          <w:tcPr>
            <w:tcW w:w="4678" w:type="dxa"/>
            <w:hideMark/>
          </w:tcPr>
          <w:p w14:paraId="4FE178D1" w14:textId="77777777" w:rsidR="00F07ADA" w:rsidRPr="00C97145" w:rsidRDefault="00F07ADA" w:rsidP="008266A1">
            <w:pPr>
              <w:rPr>
                <w:rFonts w:ascii="Arial" w:hAnsi="Arial" w:cs="Arial"/>
                <w:sz w:val="20"/>
                <w:szCs w:val="20"/>
              </w:rPr>
            </w:pPr>
            <w:r w:rsidRPr="00C97145">
              <w:rPr>
                <w:rFonts w:ascii="Arial" w:hAnsi="Arial" w:cs="Arial"/>
                <w:sz w:val="20"/>
                <w:szCs w:val="20"/>
              </w:rPr>
              <w:t>535.776 €</w:t>
            </w:r>
          </w:p>
        </w:tc>
      </w:tr>
      <w:tr w:rsidR="00F07ADA" w:rsidRPr="00C97145" w14:paraId="58456A69" w14:textId="77777777" w:rsidTr="00633512">
        <w:trPr>
          <w:trHeight w:val="462"/>
        </w:trPr>
        <w:tc>
          <w:tcPr>
            <w:tcW w:w="4106" w:type="dxa"/>
            <w:hideMark/>
          </w:tcPr>
          <w:p w14:paraId="3FC3B607" w14:textId="77777777" w:rsidR="00F07ADA" w:rsidRPr="00C97145" w:rsidRDefault="00F07ADA" w:rsidP="008266A1">
            <w:pPr>
              <w:rPr>
                <w:rFonts w:ascii="Arial" w:hAnsi="Arial" w:cs="Arial"/>
                <w:sz w:val="20"/>
                <w:szCs w:val="20"/>
              </w:rPr>
            </w:pPr>
            <w:r w:rsidRPr="00C97145">
              <w:rPr>
                <w:rFonts w:ascii="Arial" w:hAnsi="Arial" w:cs="Arial"/>
                <w:sz w:val="20"/>
                <w:szCs w:val="20"/>
              </w:rPr>
              <w:t>E3 – Medicinske sestre in babice</w:t>
            </w:r>
          </w:p>
        </w:tc>
        <w:tc>
          <w:tcPr>
            <w:tcW w:w="4678" w:type="dxa"/>
            <w:hideMark/>
          </w:tcPr>
          <w:p w14:paraId="522B0AAD" w14:textId="77777777" w:rsidR="00F07ADA" w:rsidRPr="00C97145" w:rsidRDefault="00F07ADA" w:rsidP="008266A1">
            <w:pPr>
              <w:rPr>
                <w:rFonts w:ascii="Arial" w:hAnsi="Arial" w:cs="Arial"/>
                <w:sz w:val="20"/>
                <w:szCs w:val="20"/>
              </w:rPr>
            </w:pPr>
            <w:r w:rsidRPr="00C97145">
              <w:rPr>
                <w:rFonts w:ascii="Arial" w:hAnsi="Arial" w:cs="Arial"/>
                <w:sz w:val="20"/>
                <w:szCs w:val="20"/>
              </w:rPr>
              <w:t>4.841 €</w:t>
            </w:r>
          </w:p>
        </w:tc>
      </w:tr>
      <w:tr w:rsidR="00F07ADA" w:rsidRPr="00C97145" w14:paraId="1E3CFBB4" w14:textId="77777777" w:rsidTr="00633512">
        <w:trPr>
          <w:trHeight w:val="462"/>
        </w:trPr>
        <w:tc>
          <w:tcPr>
            <w:tcW w:w="4106" w:type="dxa"/>
            <w:hideMark/>
          </w:tcPr>
          <w:p w14:paraId="7A1016A2" w14:textId="77777777" w:rsidR="00F07ADA" w:rsidRPr="00C97145" w:rsidRDefault="00F07ADA" w:rsidP="008266A1">
            <w:pPr>
              <w:rPr>
                <w:rFonts w:ascii="Arial" w:hAnsi="Arial" w:cs="Arial"/>
                <w:sz w:val="20"/>
                <w:szCs w:val="20"/>
              </w:rPr>
            </w:pPr>
            <w:r w:rsidRPr="00C97145">
              <w:rPr>
                <w:rFonts w:ascii="Arial" w:hAnsi="Arial" w:cs="Arial"/>
                <w:sz w:val="20"/>
                <w:szCs w:val="20"/>
              </w:rPr>
              <w:t>I1 – Strokovni delavci (gasilci)</w:t>
            </w:r>
          </w:p>
        </w:tc>
        <w:tc>
          <w:tcPr>
            <w:tcW w:w="4678" w:type="dxa"/>
            <w:hideMark/>
          </w:tcPr>
          <w:p w14:paraId="5641328C" w14:textId="77777777" w:rsidR="00F07ADA" w:rsidRPr="00C97145" w:rsidRDefault="00F07ADA" w:rsidP="008266A1">
            <w:pPr>
              <w:rPr>
                <w:rFonts w:ascii="Arial" w:hAnsi="Arial" w:cs="Arial"/>
                <w:sz w:val="20"/>
                <w:szCs w:val="20"/>
              </w:rPr>
            </w:pPr>
            <w:r w:rsidRPr="00C97145">
              <w:rPr>
                <w:rFonts w:ascii="Arial" w:hAnsi="Arial" w:cs="Arial"/>
                <w:sz w:val="20"/>
                <w:szCs w:val="20"/>
              </w:rPr>
              <w:t>294.541 €</w:t>
            </w:r>
          </w:p>
        </w:tc>
      </w:tr>
      <w:tr w:rsidR="00F07ADA" w:rsidRPr="00C97145" w14:paraId="61F684FC" w14:textId="77777777" w:rsidTr="00633512">
        <w:trPr>
          <w:trHeight w:val="462"/>
        </w:trPr>
        <w:tc>
          <w:tcPr>
            <w:tcW w:w="4106" w:type="dxa"/>
            <w:hideMark/>
          </w:tcPr>
          <w:p w14:paraId="2490EFE0" w14:textId="77777777" w:rsidR="00F07ADA" w:rsidRPr="00C97145" w:rsidRDefault="00F07ADA" w:rsidP="008266A1">
            <w:pPr>
              <w:rPr>
                <w:rFonts w:ascii="Arial" w:hAnsi="Arial" w:cs="Arial"/>
                <w:sz w:val="20"/>
                <w:szCs w:val="20"/>
              </w:rPr>
            </w:pPr>
            <w:r w:rsidRPr="00C97145">
              <w:rPr>
                <w:rFonts w:ascii="Arial" w:hAnsi="Arial" w:cs="Arial"/>
                <w:sz w:val="20"/>
                <w:szCs w:val="20"/>
              </w:rPr>
              <w:t>J1 – Strokovni delavci</w:t>
            </w:r>
          </w:p>
        </w:tc>
        <w:tc>
          <w:tcPr>
            <w:tcW w:w="4678" w:type="dxa"/>
            <w:hideMark/>
          </w:tcPr>
          <w:p w14:paraId="674F22CA" w14:textId="77777777" w:rsidR="00F07ADA" w:rsidRPr="00C97145" w:rsidRDefault="00F07ADA" w:rsidP="008266A1">
            <w:pPr>
              <w:rPr>
                <w:rFonts w:ascii="Arial" w:hAnsi="Arial" w:cs="Arial"/>
                <w:sz w:val="20"/>
                <w:szCs w:val="20"/>
              </w:rPr>
            </w:pPr>
            <w:r w:rsidRPr="00C97145">
              <w:rPr>
                <w:rFonts w:ascii="Arial" w:hAnsi="Arial" w:cs="Arial"/>
                <w:sz w:val="20"/>
                <w:szCs w:val="20"/>
              </w:rPr>
              <w:t>70.188 €</w:t>
            </w:r>
          </w:p>
        </w:tc>
      </w:tr>
      <w:tr w:rsidR="00F07ADA" w:rsidRPr="00C97145" w14:paraId="6A7A518C" w14:textId="77777777" w:rsidTr="00633512">
        <w:trPr>
          <w:trHeight w:val="462"/>
        </w:trPr>
        <w:tc>
          <w:tcPr>
            <w:tcW w:w="4106" w:type="dxa"/>
            <w:hideMark/>
          </w:tcPr>
          <w:p w14:paraId="49589D13" w14:textId="77777777" w:rsidR="00F07ADA" w:rsidRPr="00C97145" w:rsidRDefault="00F07ADA" w:rsidP="008266A1">
            <w:pPr>
              <w:rPr>
                <w:rFonts w:ascii="Arial" w:hAnsi="Arial" w:cs="Arial"/>
                <w:sz w:val="20"/>
                <w:szCs w:val="20"/>
              </w:rPr>
            </w:pPr>
            <w:r w:rsidRPr="00C97145">
              <w:rPr>
                <w:rFonts w:ascii="Arial" w:hAnsi="Arial" w:cs="Arial"/>
                <w:sz w:val="20"/>
                <w:szCs w:val="20"/>
              </w:rPr>
              <w:t>J2 – Administrativni delavci</w:t>
            </w:r>
          </w:p>
        </w:tc>
        <w:tc>
          <w:tcPr>
            <w:tcW w:w="4678" w:type="dxa"/>
            <w:hideMark/>
          </w:tcPr>
          <w:p w14:paraId="678EC076" w14:textId="77777777" w:rsidR="00F07ADA" w:rsidRPr="00C97145" w:rsidRDefault="00F07ADA" w:rsidP="008266A1">
            <w:pPr>
              <w:rPr>
                <w:rFonts w:ascii="Arial" w:hAnsi="Arial" w:cs="Arial"/>
                <w:sz w:val="20"/>
                <w:szCs w:val="20"/>
              </w:rPr>
            </w:pPr>
            <w:r w:rsidRPr="00C97145">
              <w:rPr>
                <w:rFonts w:ascii="Arial" w:hAnsi="Arial" w:cs="Arial"/>
                <w:sz w:val="20"/>
                <w:szCs w:val="20"/>
              </w:rPr>
              <w:t>6.763 €</w:t>
            </w:r>
          </w:p>
        </w:tc>
      </w:tr>
      <w:tr w:rsidR="00F07ADA" w:rsidRPr="00C97145" w14:paraId="61BA0723" w14:textId="77777777" w:rsidTr="00633512">
        <w:trPr>
          <w:trHeight w:val="462"/>
        </w:trPr>
        <w:tc>
          <w:tcPr>
            <w:tcW w:w="4106" w:type="dxa"/>
            <w:hideMark/>
          </w:tcPr>
          <w:p w14:paraId="71974A2A" w14:textId="77777777" w:rsidR="00F07ADA" w:rsidRPr="00C97145" w:rsidRDefault="00F07ADA" w:rsidP="008266A1">
            <w:pPr>
              <w:rPr>
                <w:rFonts w:ascii="Arial" w:hAnsi="Arial" w:cs="Arial"/>
                <w:sz w:val="20"/>
                <w:szCs w:val="20"/>
              </w:rPr>
            </w:pPr>
            <w:r w:rsidRPr="00C97145">
              <w:rPr>
                <w:rFonts w:ascii="Arial" w:hAnsi="Arial" w:cs="Arial"/>
                <w:sz w:val="20"/>
                <w:szCs w:val="20"/>
              </w:rPr>
              <w:t>J3 – Ostali strokovno tehnični delavci</w:t>
            </w:r>
          </w:p>
        </w:tc>
        <w:tc>
          <w:tcPr>
            <w:tcW w:w="4678" w:type="dxa"/>
            <w:hideMark/>
          </w:tcPr>
          <w:p w14:paraId="54051316" w14:textId="77777777" w:rsidR="00F07ADA" w:rsidRPr="00C97145" w:rsidRDefault="00F07ADA" w:rsidP="008266A1">
            <w:pPr>
              <w:rPr>
                <w:rFonts w:ascii="Arial" w:hAnsi="Arial" w:cs="Arial"/>
                <w:sz w:val="20"/>
                <w:szCs w:val="20"/>
              </w:rPr>
            </w:pPr>
            <w:r w:rsidRPr="00C97145">
              <w:rPr>
                <w:rFonts w:ascii="Arial" w:hAnsi="Arial" w:cs="Arial"/>
                <w:sz w:val="20"/>
                <w:szCs w:val="20"/>
              </w:rPr>
              <w:t>48.660 €</w:t>
            </w:r>
          </w:p>
        </w:tc>
      </w:tr>
      <w:tr w:rsidR="00F07ADA" w:rsidRPr="00C97145" w14:paraId="2DBD145A" w14:textId="77777777" w:rsidTr="00633512">
        <w:trPr>
          <w:trHeight w:val="462"/>
        </w:trPr>
        <w:tc>
          <w:tcPr>
            <w:tcW w:w="4106" w:type="dxa"/>
            <w:hideMark/>
          </w:tcPr>
          <w:p w14:paraId="38B0A2E1" w14:textId="77777777" w:rsidR="00F07ADA" w:rsidRPr="00C97145" w:rsidRDefault="00F07ADA" w:rsidP="008266A1">
            <w:pPr>
              <w:rPr>
                <w:rFonts w:ascii="Arial" w:hAnsi="Arial" w:cs="Arial"/>
                <w:sz w:val="20"/>
                <w:szCs w:val="20"/>
              </w:rPr>
            </w:pPr>
            <w:r w:rsidRPr="00C97145">
              <w:rPr>
                <w:rFonts w:ascii="Arial" w:hAnsi="Arial" w:cs="Arial"/>
                <w:b/>
                <w:bCs/>
                <w:sz w:val="20"/>
                <w:szCs w:val="20"/>
              </w:rPr>
              <w:t>Skupaj (nov 21 - okt 22)</w:t>
            </w:r>
          </w:p>
        </w:tc>
        <w:tc>
          <w:tcPr>
            <w:tcW w:w="4678" w:type="dxa"/>
            <w:hideMark/>
          </w:tcPr>
          <w:p w14:paraId="6B65716B" w14:textId="77777777" w:rsidR="00F07ADA" w:rsidRPr="00C97145" w:rsidRDefault="00F07ADA" w:rsidP="008266A1">
            <w:pPr>
              <w:rPr>
                <w:rFonts w:ascii="Arial" w:hAnsi="Arial" w:cs="Arial"/>
                <w:sz w:val="20"/>
                <w:szCs w:val="20"/>
              </w:rPr>
            </w:pPr>
            <w:r w:rsidRPr="00C97145">
              <w:rPr>
                <w:rFonts w:ascii="Arial" w:hAnsi="Arial" w:cs="Arial"/>
                <w:b/>
                <w:bCs/>
                <w:sz w:val="20"/>
                <w:szCs w:val="20"/>
              </w:rPr>
              <w:t>15.183.498 €</w:t>
            </w:r>
          </w:p>
        </w:tc>
      </w:tr>
    </w:tbl>
    <w:p w14:paraId="30CA8589" w14:textId="64719EE7" w:rsidR="007A15A8" w:rsidRPr="00C97145" w:rsidRDefault="007A15A8" w:rsidP="007A15A8">
      <w:pPr>
        <w:jc w:val="both"/>
        <w:rPr>
          <w:rFonts w:ascii="Arial" w:hAnsi="Arial" w:cs="Arial"/>
          <w:sz w:val="20"/>
          <w:szCs w:val="20"/>
        </w:rPr>
      </w:pPr>
    </w:p>
    <w:p w14:paraId="791BA96D" w14:textId="503C5562" w:rsidR="00F07ADA" w:rsidRPr="00C97145" w:rsidRDefault="00F07ADA" w:rsidP="00F07ADA">
      <w:pPr>
        <w:pStyle w:val="Napis"/>
        <w:keepNext/>
        <w:rPr>
          <w:rFonts w:ascii="Arial" w:hAnsi="Arial" w:cs="Arial"/>
          <w:b/>
          <w:bCs/>
          <w:i w:val="0"/>
          <w:iCs w:val="0"/>
          <w:color w:val="auto"/>
          <w:sz w:val="20"/>
          <w:szCs w:val="20"/>
        </w:rPr>
      </w:pPr>
      <w:r w:rsidRPr="00C97145">
        <w:rPr>
          <w:rFonts w:ascii="Arial" w:hAnsi="Arial" w:cs="Arial"/>
          <w:b/>
          <w:bCs/>
          <w:i w:val="0"/>
          <w:iCs w:val="0"/>
          <w:color w:val="auto"/>
          <w:sz w:val="20"/>
          <w:szCs w:val="20"/>
        </w:rPr>
        <w:t xml:space="preserve">Tabela </w:t>
      </w:r>
      <w:r w:rsidRPr="00C97145">
        <w:rPr>
          <w:rFonts w:ascii="Arial" w:hAnsi="Arial" w:cs="Arial"/>
          <w:b/>
          <w:bCs/>
          <w:i w:val="0"/>
          <w:iCs w:val="0"/>
          <w:color w:val="auto"/>
          <w:sz w:val="20"/>
          <w:szCs w:val="20"/>
        </w:rPr>
        <w:fldChar w:fldCharType="begin"/>
      </w:r>
      <w:r w:rsidRPr="00C97145">
        <w:rPr>
          <w:rFonts w:ascii="Arial" w:hAnsi="Arial" w:cs="Arial"/>
          <w:b/>
          <w:bCs/>
          <w:i w:val="0"/>
          <w:iCs w:val="0"/>
          <w:color w:val="auto"/>
          <w:sz w:val="20"/>
          <w:szCs w:val="20"/>
        </w:rPr>
        <w:instrText xml:space="preserve"> SEQ Tabela \* ARABIC </w:instrText>
      </w:r>
      <w:r w:rsidRPr="00C97145">
        <w:rPr>
          <w:rFonts w:ascii="Arial" w:hAnsi="Arial" w:cs="Arial"/>
          <w:b/>
          <w:bCs/>
          <w:i w:val="0"/>
          <w:iCs w:val="0"/>
          <w:color w:val="auto"/>
          <w:sz w:val="20"/>
          <w:szCs w:val="20"/>
        </w:rPr>
        <w:fldChar w:fldCharType="separate"/>
      </w:r>
      <w:r w:rsidR="008C0DE1" w:rsidRPr="00C97145">
        <w:rPr>
          <w:rFonts w:ascii="Arial" w:hAnsi="Arial" w:cs="Arial"/>
          <w:b/>
          <w:bCs/>
          <w:i w:val="0"/>
          <w:iCs w:val="0"/>
          <w:noProof/>
          <w:color w:val="auto"/>
          <w:sz w:val="20"/>
          <w:szCs w:val="20"/>
        </w:rPr>
        <w:t>3</w:t>
      </w:r>
      <w:r w:rsidRPr="00C97145">
        <w:rPr>
          <w:rFonts w:ascii="Arial" w:hAnsi="Arial" w:cs="Arial"/>
          <w:b/>
          <w:bCs/>
          <w:i w:val="0"/>
          <w:iCs w:val="0"/>
          <w:color w:val="auto"/>
          <w:sz w:val="20"/>
          <w:szCs w:val="20"/>
        </w:rPr>
        <w:fldChar w:fldCharType="end"/>
      </w:r>
      <w:r w:rsidRPr="00C97145">
        <w:rPr>
          <w:rFonts w:ascii="Arial" w:hAnsi="Arial" w:cs="Arial"/>
          <w:b/>
          <w:bCs/>
          <w:i w:val="0"/>
          <w:iCs w:val="0"/>
          <w:color w:val="auto"/>
          <w:sz w:val="20"/>
          <w:szCs w:val="20"/>
        </w:rPr>
        <w:t>: Obvezno dodatno pokojninsko zavarovanje</w:t>
      </w:r>
    </w:p>
    <w:tbl>
      <w:tblPr>
        <w:tblStyle w:val="Tabelasvetlamrea"/>
        <w:tblW w:w="9780" w:type="dxa"/>
        <w:tblLook w:val="04A0" w:firstRow="1" w:lastRow="0" w:firstColumn="1" w:lastColumn="0" w:noHBand="0" w:noVBand="1"/>
      </w:tblPr>
      <w:tblGrid>
        <w:gridCol w:w="8422"/>
        <w:gridCol w:w="1358"/>
      </w:tblGrid>
      <w:tr w:rsidR="00F07ADA" w:rsidRPr="00C97145" w14:paraId="738BE067" w14:textId="77777777" w:rsidTr="00633512">
        <w:trPr>
          <w:trHeight w:val="290"/>
        </w:trPr>
        <w:tc>
          <w:tcPr>
            <w:tcW w:w="9780" w:type="dxa"/>
            <w:gridSpan w:val="2"/>
            <w:noWrap/>
            <w:hideMark/>
          </w:tcPr>
          <w:p w14:paraId="28197435" w14:textId="77777777" w:rsidR="00F07ADA" w:rsidRPr="00C97145" w:rsidRDefault="00F07ADA" w:rsidP="00F07ADA">
            <w:pPr>
              <w:spacing w:after="0" w:line="240" w:lineRule="auto"/>
              <w:rPr>
                <w:rFonts w:ascii="Arial" w:eastAsia="Times New Roman" w:hAnsi="Arial" w:cs="Arial"/>
                <w:b/>
                <w:bCs/>
                <w:color w:val="000000"/>
                <w:sz w:val="20"/>
                <w:szCs w:val="20"/>
                <w:lang w:eastAsia="sl-SI"/>
              </w:rPr>
            </w:pPr>
            <w:r w:rsidRPr="00C97145">
              <w:rPr>
                <w:rFonts w:ascii="Arial" w:eastAsia="Times New Roman" w:hAnsi="Arial" w:cs="Arial"/>
                <w:b/>
                <w:bCs/>
                <w:color w:val="000000"/>
                <w:sz w:val="20"/>
                <w:szCs w:val="20"/>
                <w:lang w:eastAsia="sl-SI"/>
              </w:rPr>
              <w:t xml:space="preserve">Podatki o znesku obračunanih prispevkov za obvezno dodatno pokojninsko zavarovanje (ODPZ)  </w:t>
            </w:r>
          </w:p>
        </w:tc>
      </w:tr>
      <w:tr w:rsidR="00F07ADA" w:rsidRPr="00C97145" w14:paraId="1513FF12" w14:textId="77777777" w:rsidTr="00633512">
        <w:trPr>
          <w:trHeight w:val="870"/>
        </w:trPr>
        <w:tc>
          <w:tcPr>
            <w:tcW w:w="8422" w:type="dxa"/>
            <w:noWrap/>
            <w:hideMark/>
          </w:tcPr>
          <w:p w14:paraId="582CD6BD" w14:textId="77777777" w:rsidR="00F07ADA" w:rsidRPr="00C97145" w:rsidRDefault="00F07ADA" w:rsidP="00F07ADA">
            <w:pPr>
              <w:spacing w:after="0" w:line="240" w:lineRule="auto"/>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Organi v državni upravi</w:t>
            </w:r>
          </w:p>
        </w:tc>
        <w:tc>
          <w:tcPr>
            <w:tcW w:w="1358" w:type="dxa"/>
            <w:hideMark/>
          </w:tcPr>
          <w:p w14:paraId="4B36EC4C" w14:textId="77777777" w:rsidR="00F07ADA" w:rsidRPr="00C97145" w:rsidRDefault="00F07ADA" w:rsidP="00F07ADA">
            <w:pPr>
              <w:spacing w:after="0" w:line="240" w:lineRule="auto"/>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 xml:space="preserve">prispevek za poklicno zavarovanje </w:t>
            </w:r>
          </w:p>
        </w:tc>
      </w:tr>
      <w:tr w:rsidR="00F07ADA" w:rsidRPr="00C97145" w14:paraId="4F97720E" w14:textId="77777777" w:rsidTr="00633512">
        <w:trPr>
          <w:trHeight w:val="290"/>
        </w:trPr>
        <w:tc>
          <w:tcPr>
            <w:tcW w:w="8422" w:type="dxa"/>
            <w:noWrap/>
            <w:hideMark/>
          </w:tcPr>
          <w:p w14:paraId="3B2D18C0" w14:textId="77777777" w:rsidR="00F07ADA" w:rsidRPr="00C97145" w:rsidRDefault="00F07ADA" w:rsidP="00F07ADA">
            <w:pPr>
              <w:spacing w:after="0" w:line="240" w:lineRule="auto"/>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lastRenderedPageBreak/>
              <w:t>C2 – Uradniki v državni upravi, upravah pravosodnih organov in upravah lokalnih skupnosti</w:t>
            </w:r>
          </w:p>
        </w:tc>
        <w:tc>
          <w:tcPr>
            <w:tcW w:w="1358" w:type="dxa"/>
            <w:noWrap/>
            <w:hideMark/>
          </w:tcPr>
          <w:p w14:paraId="4C1B54F7" w14:textId="77777777" w:rsidR="00F07ADA" w:rsidRPr="00C97145" w:rsidRDefault="00F07ADA" w:rsidP="00F07ADA">
            <w:pPr>
              <w:spacing w:after="0" w:line="240" w:lineRule="auto"/>
              <w:jc w:val="right"/>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1.511.092 €</w:t>
            </w:r>
          </w:p>
        </w:tc>
      </w:tr>
      <w:tr w:rsidR="00F07ADA" w:rsidRPr="00C97145" w14:paraId="41472023" w14:textId="77777777" w:rsidTr="00633512">
        <w:trPr>
          <w:trHeight w:val="290"/>
        </w:trPr>
        <w:tc>
          <w:tcPr>
            <w:tcW w:w="8422" w:type="dxa"/>
            <w:noWrap/>
            <w:hideMark/>
          </w:tcPr>
          <w:p w14:paraId="7FFF5341" w14:textId="77777777" w:rsidR="00F07ADA" w:rsidRPr="00C97145" w:rsidRDefault="00F07ADA" w:rsidP="00F07ADA">
            <w:pPr>
              <w:spacing w:after="0" w:line="240" w:lineRule="auto"/>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C3 – Policisti</w:t>
            </w:r>
          </w:p>
        </w:tc>
        <w:tc>
          <w:tcPr>
            <w:tcW w:w="1358" w:type="dxa"/>
            <w:noWrap/>
            <w:hideMark/>
          </w:tcPr>
          <w:p w14:paraId="0129F275" w14:textId="77777777" w:rsidR="00F07ADA" w:rsidRPr="00C97145" w:rsidRDefault="00F07ADA" w:rsidP="00F07ADA">
            <w:pPr>
              <w:spacing w:after="0" w:line="240" w:lineRule="auto"/>
              <w:jc w:val="right"/>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15.473.783 €</w:t>
            </w:r>
          </w:p>
        </w:tc>
      </w:tr>
      <w:tr w:rsidR="00F07ADA" w:rsidRPr="00C97145" w14:paraId="44956DE6" w14:textId="77777777" w:rsidTr="00633512">
        <w:trPr>
          <w:trHeight w:val="290"/>
        </w:trPr>
        <w:tc>
          <w:tcPr>
            <w:tcW w:w="8422" w:type="dxa"/>
            <w:noWrap/>
            <w:hideMark/>
          </w:tcPr>
          <w:p w14:paraId="60A8A9F1" w14:textId="77777777" w:rsidR="00F07ADA" w:rsidRPr="00C97145" w:rsidRDefault="00F07ADA" w:rsidP="00F07ADA">
            <w:pPr>
              <w:spacing w:after="0" w:line="240" w:lineRule="auto"/>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C4 – Vojaki</w:t>
            </w:r>
          </w:p>
        </w:tc>
        <w:tc>
          <w:tcPr>
            <w:tcW w:w="1358" w:type="dxa"/>
            <w:noWrap/>
            <w:hideMark/>
          </w:tcPr>
          <w:p w14:paraId="418C75F1" w14:textId="77777777" w:rsidR="00F07ADA" w:rsidRPr="00C97145" w:rsidRDefault="00F07ADA" w:rsidP="00F07ADA">
            <w:pPr>
              <w:spacing w:after="0" w:line="240" w:lineRule="auto"/>
              <w:jc w:val="right"/>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15.672.807 €</w:t>
            </w:r>
          </w:p>
        </w:tc>
      </w:tr>
      <w:tr w:rsidR="00F07ADA" w:rsidRPr="00C97145" w14:paraId="0FD6D92B" w14:textId="77777777" w:rsidTr="00633512">
        <w:trPr>
          <w:trHeight w:val="290"/>
        </w:trPr>
        <w:tc>
          <w:tcPr>
            <w:tcW w:w="8422" w:type="dxa"/>
            <w:noWrap/>
            <w:hideMark/>
          </w:tcPr>
          <w:p w14:paraId="33A5F81B" w14:textId="77777777" w:rsidR="00F07ADA" w:rsidRPr="00C97145" w:rsidRDefault="00F07ADA" w:rsidP="00F07ADA">
            <w:pPr>
              <w:spacing w:after="0" w:line="240" w:lineRule="auto"/>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C5 – Uradniki finančne uprave (cariniki, finančni preiskovalci)</w:t>
            </w:r>
          </w:p>
        </w:tc>
        <w:tc>
          <w:tcPr>
            <w:tcW w:w="1358" w:type="dxa"/>
            <w:noWrap/>
            <w:hideMark/>
          </w:tcPr>
          <w:p w14:paraId="012BFEB3" w14:textId="77777777" w:rsidR="00F07ADA" w:rsidRPr="00C97145" w:rsidRDefault="00F07ADA" w:rsidP="00F07ADA">
            <w:pPr>
              <w:spacing w:after="0" w:line="240" w:lineRule="auto"/>
              <w:jc w:val="right"/>
              <w:rPr>
                <w:rFonts w:ascii="Arial" w:eastAsia="Times New Roman" w:hAnsi="Arial" w:cs="Arial"/>
                <w:color w:val="000000"/>
                <w:sz w:val="20"/>
                <w:szCs w:val="20"/>
                <w:lang w:eastAsia="sl-SI"/>
              </w:rPr>
            </w:pPr>
            <w:r w:rsidRPr="00C97145">
              <w:rPr>
                <w:rFonts w:ascii="Arial" w:eastAsia="Times New Roman" w:hAnsi="Arial" w:cs="Arial"/>
                <w:color w:val="000000"/>
                <w:sz w:val="20"/>
                <w:szCs w:val="20"/>
                <w:lang w:eastAsia="sl-SI"/>
              </w:rPr>
              <w:t>525.936 €</w:t>
            </w:r>
          </w:p>
        </w:tc>
      </w:tr>
      <w:tr w:rsidR="00F07ADA" w:rsidRPr="00C97145" w14:paraId="3E913080" w14:textId="77777777" w:rsidTr="00633512">
        <w:trPr>
          <w:trHeight w:val="290"/>
        </w:trPr>
        <w:tc>
          <w:tcPr>
            <w:tcW w:w="8422" w:type="dxa"/>
            <w:noWrap/>
            <w:hideMark/>
          </w:tcPr>
          <w:p w14:paraId="40560CAE" w14:textId="77777777" w:rsidR="00F07ADA" w:rsidRPr="00C97145" w:rsidRDefault="00F07ADA" w:rsidP="00F07ADA">
            <w:pPr>
              <w:spacing w:after="0" w:line="240" w:lineRule="auto"/>
              <w:rPr>
                <w:rFonts w:ascii="Arial" w:eastAsia="Times New Roman" w:hAnsi="Arial" w:cs="Arial"/>
                <w:b/>
                <w:bCs/>
                <w:sz w:val="20"/>
                <w:szCs w:val="20"/>
                <w:lang w:eastAsia="sl-SI"/>
              </w:rPr>
            </w:pPr>
            <w:r w:rsidRPr="00C97145">
              <w:rPr>
                <w:rFonts w:ascii="Arial" w:eastAsia="Times New Roman" w:hAnsi="Arial" w:cs="Arial"/>
                <w:b/>
                <w:bCs/>
                <w:sz w:val="20"/>
                <w:szCs w:val="20"/>
                <w:lang w:eastAsia="sl-SI"/>
              </w:rPr>
              <w:t>SKUPAJ (l. 2022)</w:t>
            </w:r>
          </w:p>
        </w:tc>
        <w:tc>
          <w:tcPr>
            <w:tcW w:w="1358" w:type="dxa"/>
            <w:noWrap/>
            <w:hideMark/>
          </w:tcPr>
          <w:p w14:paraId="40314E2F" w14:textId="77777777" w:rsidR="00F07ADA" w:rsidRPr="00C97145" w:rsidRDefault="00F07ADA" w:rsidP="00F07ADA">
            <w:pPr>
              <w:spacing w:after="0" w:line="240" w:lineRule="auto"/>
              <w:jc w:val="right"/>
              <w:rPr>
                <w:rFonts w:ascii="Arial" w:eastAsia="Times New Roman" w:hAnsi="Arial" w:cs="Arial"/>
                <w:b/>
                <w:bCs/>
                <w:sz w:val="20"/>
                <w:szCs w:val="20"/>
                <w:lang w:eastAsia="sl-SI"/>
              </w:rPr>
            </w:pPr>
            <w:r w:rsidRPr="00C97145">
              <w:rPr>
                <w:rFonts w:ascii="Arial" w:eastAsia="Times New Roman" w:hAnsi="Arial" w:cs="Arial"/>
                <w:b/>
                <w:bCs/>
                <w:sz w:val="20"/>
                <w:szCs w:val="20"/>
                <w:lang w:eastAsia="sl-SI"/>
              </w:rPr>
              <w:t>33.183.619 €</w:t>
            </w:r>
          </w:p>
        </w:tc>
      </w:tr>
    </w:tbl>
    <w:p w14:paraId="75FD83A7" w14:textId="77777777" w:rsidR="008C0DE1" w:rsidRPr="00C97145" w:rsidRDefault="008C0DE1" w:rsidP="007A15A8">
      <w:pPr>
        <w:jc w:val="both"/>
        <w:rPr>
          <w:rFonts w:ascii="Arial" w:hAnsi="Arial" w:cs="Arial"/>
          <w:sz w:val="20"/>
          <w:szCs w:val="20"/>
        </w:rPr>
      </w:pPr>
    </w:p>
    <w:p w14:paraId="018E2FD5" w14:textId="46CDB022" w:rsidR="007A15A8" w:rsidRPr="00C97145" w:rsidRDefault="007A15A8" w:rsidP="007A15A8">
      <w:pPr>
        <w:jc w:val="both"/>
        <w:rPr>
          <w:rFonts w:ascii="Arial" w:hAnsi="Arial" w:cs="Arial"/>
          <w:sz w:val="20"/>
          <w:szCs w:val="20"/>
        </w:rPr>
      </w:pPr>
    </w:p>
    <w:p w14:paraId="5BEAD334" w14:textId="77777777" w:rsidR="007A15A8" w:rsidRPr="00C97145" w:rsidRDefault="007A15A8" w:rsidP="007A15A8">
      <w:pPr>
        <w:jc w:val="both"/>
        <w:rPr>
          <w:rFonts w:ascii="Arial" w:hAnsi="Arial" w:cs="Arial"/>
          <w:sz w:val="20"/>
          <w:szCs w:val="20"/>
        </w:rPr>
      </w:pPr>
    </w:p>
    <w:p w14:paraId="730A058A" w14:textId="7E3F2777" w:rsidR="00F07ADA" w:rsidRPr="00C97145" w:rsidRDefault="00F07ADA" w:rsidP="004226FF">
      <w:pPr>
        <w:jc w:val="both"/>
        <w:rPr>
          <w:rFonts w:ascii="Arial" w:hAnsi="Arial" w:cs="Arial"/>
          <w:sz w:val="20"/>
          <w:szCs w:val="20"/>
        </w:rPr>
      </w:pPr>
      <w:r w:rsidRPr="00C97145">
        <w:rPr>
          <w:rFonts w:ascii="Arial" w:hAnsi="Arial" w:cs="Arial"/>
          <w:sz w:val="20"/>
          <w:szCs w:val="20"/>
        </w:rPr>
        <w:br w:type="page"/>
      </w:r>
    </w:p>
    <w:p w14:paraId="711E6778" w14:textId="77777777" w:rsidR="009D0576" w:rsidRPr="00C97145" w:rsidRDefault="009D0576" w:rsidP="00E91780">
      <w:pPr>
        <w:pStyle w:val="Odstavekseznama"/>
        <w:numPr>
          <w:ilvl w:val="0"/>
          <w:numId w:val="43"/>
        </w:numPr>
        <w:jc w:val="both"/>
        <w:rPr>
          <w:rFonts w:ascii="Arial" w:hAnsi="Arial" w:cs="Arial"/>
          <w:b/>
          <w:bCs/>
          <w:sz w:val="20"/>
          <w:szCs w:val="20"/>
        </w:rPr>
      </w:pPr>
      <w:r w:rsidRPr="00C97145">
        <w:rPr>
          <w:rFonts w:ascii="Arial" w:hAnsi="Arial" w:cs="Arial"/>
          <w:b/>
          <w:bCs/>
          <w:sz w:val="20"/>
          <w:szCs w:val="20"/>
        </w:rPr>
        <w:lastRenderedPageBreak/>
        <w:t>BISTVENE UGOTOVITVE</w:t>
      </w:r>
    </w:p>
    <w:p w14:paraId="76C1B02B" w14:textId="77777777" w:rsidR="006936E5" w:rsidRPr="00C97145" w:rsidRDefault="006936E5" w:rsidP="009D0576">
      <w:pPr>
        <w:ind w:left="360"/>
        <w:jc w:val="both"/>
        <w:rPr>
          <w:rFonts w:ascii="Arial" w:hAnsi="Arial" w:cs="Arial"/>
          <w:b/>
          <w:bCs/>
          <w:sz w:val="20"/>
          <w:szCs w:val="20"/>
        </w:rPr>
      </w:pPr>
    </w:p>
    <w:p w14:paraId="1D877872" w14:textId="3D476385" w:rsidR="00C472A8" w:rsidRPr="00C97145" w:rsidRDefault="008E2221" w:rsidP="009D0576">
      <w:pPr>
        <w:ind w:left="360"/>
        <w:jc w:val="both"/>
        <w:rPr>
          <w:rFonts w:ascii="Arial" w:hAnsi="Arial" w:cs="Arial"/>
          <w:sz w:val="20"/>
          <w:szCs w:val="20"/>
        </w:rPr>
      </w:pPr>
      <w:r w:rsidRPr="00C97145">
        <w:rPr>
          <w:rFonts w:ascii="Arial" w:hAnsi="Arial" w:cs="Arial"/>
          <w:sz w:val="20"/>
          <w:szCs w:val="20"/>
        </w:rPr>
        <w:t>Bistvene ugotovitve na pod</w:t>
      </w:r>
      <w:r w:rsidR="00C472A8" w:rsidRPr="00C97145">
        <w:rPr>
          <w:rFonts w:ascii="Arial" w:hAnsi="Arial" w:cs="Arial"/>
          <w:sz w:val="20"/>
          <w:szCs w:val="20"/>
        </w:rPr>
        <w:t>la</w:t>
      </w:r>
      <w:r w:rsidRPr="00C97145">
        <w:rPr>
          <w:rFonts w:ascii="Arial" w:hAnsi="Arial" w:cs="Arial"/>
          <w:sz w:val="20"/>
          <w:szCs w:val="20"/>
        </w:rPr>
        <w:t>gi dosedanj</w:t>
      </w:r>
      <w:r w:rsidR="00C472A8" w:rsidRPr="00C97145">
        <w:rPr>
          <w:rFonts w:ascii="Arial" w:hAnsi="Arial" w:cs="Arial"/>
          <w:sz w:val="20"/>
          <w:szCs w:val="20"/>
        </w:rPr>
        <w:t>i</w:t>
      </w:r>
      <w:r w:rsidRPr="00C97145">
        <w:rPr>
          <w:rFonts w:ascii="Arial" w:hAnsi="Arial" w:cs="Arial"/>
          <w:sz w:val="20"/>
          <w:szCs w:val="20"/>
        </w:rPr>
        <w:t>h analiz in pr</w:t>
      </w:r>
      <w:r w:rsidR="00C472A8" w:rsidRPr="00C97145">
        <w:rPr>
          <w:rFonts w:ascii="Arial" w:hAnsi="Arial" w:cs="Arial"/>
          <w:sz w:val="20"/>
          <w:szCs w:val="20"/>
        </w:rPr>
        <w:t>ed</w:t>
      </w:r>
      <w:r w:rsidRPr="00C97145">
        <w:rPr>
          <w:rFonts w:ascii="Arial" w:hAnsi="Arial" w:cs="Arial"/>
          <w:sz w:val="20"/>
          <w:szCs w:val="20"/>
        </w:rPr>
        <w:t>stavitve obstoječega stanja</w:t>
      </w:r>
      <w:r w:rsidR="00C472A8" w:rsidRPr="001501B0">
        <w:rPr>
          <w:rFonts w:ascii="Arial" w:hAnsi="Arial" w:cs="Arial"/>
          <w:strike/>
          <w:sz w:val="20"/>
          <w:szCs w:val="20"/>
        </w:rPr>
        <w:t>,</w:t>
      </w:r>
      <w:r w:rsidRPr="00C97145">
        <w:rPr>
          <w:rFonts w:ascii="Arial" w:hAnsi="Arial" w:cs="Arial"/>
          <w:sz w:val="20"/>
          <w:szCs w:val="20"/>
        </w:rPr>
        <w:t xml:space="preserve"> je možno str</w:t>
      </w:r>
      <w:r w:rsidR="00C472A8" w:rsidRPr="00C97145">
        <w:rPr>
          <w:rFonts w:ascii="Arial" w:hAnsi="Arial" w:cs="Arial"/>
          <w:sz w:val="20"/>
          <w:szCs w:val="20"/>
        </w:rPr>
        <w:t>niti v naslednje:</w:t>
      </w:r>
    </w:p>
    <w:p w14:paraId="3D27A319" w14:textId="74AEF8A2" w:rsidR="00C472A8" w:rsidRPr="00C97145" w:rsidRDefault="008E2221" w:rsidP="00AF069A">
      <w:pPr>
        <w:pStyle w:val="Odstavekseznama"/>
        <w:numPr>
          <w:ilvl w:val="1"/>
          <w:numId w:val="4"/>
        </w:numPr>
        <w:jc w:val="both"/>
        <w:rPr>
          <w:rFonts w:ascii="Arial" w:hAnsi="Arial" w:cs="Arial"/>
          <w:sz w:val="20"/>
          <w:szCs w:val="20"/>
        </w:rPr>
      </w:pPr>
      <w:r w:rsidRPr="00C97145">
        <w:rPr>
          <w:rFonts w:ascii="Arial" w:hAnsi="Arial" w:cs="Arial"/>
          <w:sz w:val="20"/>
          <w:szCs w:val="20"/>
        </w:rPr>
        <w:t>ZSPJS 2008 ni dosegel zastavljenih ciljev. Uresničen je bi le en cilj uvedbe novega plačnega sistema, tj.</w:t>
      </w:r>
      <w:r w:rsidRPr="00C97145">
        <w:rPr>
          <w:rFonts w:ascii="Arial" w:hAnsi="Arial" w:cs="Arial"/>
          <w:color w:val="70AD47" w:themeColor="accent6"/>
          <w:sz w:val="20"/>
          <w:szCs w:val="20"/>
        </w:rPr>
        <w:t xml:space="preserve"> </w:t>
      </w:r>
      <w:r w:rsidRPr="00C97145">
        <w:rPr>
          <w:rFonts w:ascii="Arial" w:hAnsi="Arial" w:cs="Arial"/>
          <w:sz w:val="20"/>
          <w:szCs w:val="20"/>
        </w:rPr>
        <w:t>zagotovitev večje transpare</w:t>
      </w:r>
      <w:r w:rsidR="00C472A8" w:rsidRPr="00C97145">
        <w:rPr>
          <w:rFonts w:ascii="Arial" w:hAnsi="Arial" w:cs="Arial"/>
          <w:sz w:val="20"/>
          <w:szCs w:val="20"/>
        </w:rPr>
        <w:t>n</w:t>
      </w:r>
      <w:r w:rsidRPr="00C97145">
        <w:rPr>
          <w:rFonts w:ascii="Arial" w:hAnsi="Arial" w:cs="Arial"/>
          <w:sz w:val="20"/>
          <w:szCs w:val="20"/>
        </w:rPr>
        <w:t>t</w:t>
      </w:r>
      <w:r w:rsidR="00C472A8" w:rsidRPr="00C97145">
        <w:rPr>
          <w:rFonts w:ascii="Arial" w:hAnsi="Arial" w:cs="Arial"/>
          <w:sz w:val="20"/>
          <w:szCs w:val="20"/>
        </w:rPr>
        <w:t>n</w:t>
      </w:r>
      <w:r w:rsidRPr="00C97145">
        <w:rPr>
          <w:rFonts w:ascii="Arial" w:hAnsi="Arial" w:cs="Arial"/>
          <w:sz w:val="20"/>
          <w:szCs w:val="20"/>
        </w:rPr>
        <w:t>o</w:t>
      </w:r>
      <w:r w:rsidR="00C472A8" w:rsidRPr="00C97145">
        <w:rPr>
          <w:rFonts w:ascii="Arial" w:hAnsi="Arial" w:cs="Arial"/>
          <w:sz w:val="20"/>
          <w:szCs w:val="20"/>
        </w:rPr>
        <w:t>s</w:t>
      </w:r>
      <w:r w:rsidRPr="00C97145">
        <w:rPr>
          <w:rFonts w:ascii="Arial" w:hAnsi="Arial" w:cs="Arial"/>
          <w:sz w:val="20"/>
          <w:szCs w:val="20"/>
        </w:rPr>
        <w:t xml:space="preserve">ti sistema. </w:t>
      </w:r>
    </w:p>
    <w:p w14:paraId="68489DAE" w14:textId="77777777" w:rsidR="00FA0033" w:rsidRPr="00C97145" w:rsidRDefault="00FA0033" w:rsidP="00FA0033">
      <w:pPr>
        <w:pStyle w:val="Odstavekseznama"/>
        <w:ind w:left="1440"/>
        <w:jc w:val="both"/>
        <w:rPr>
          <w:rFonts w:ascii="Arial" w:hAnsi="Arial" w:cs="Arial"/>
          <w:sz w:val="20"/>
          <w:szCs w:val="20"/>
        </w:rPr>
      </w:pPr>
    </w:p>
    <w:p w14:paraId="3F44D1B9" w14:textId="4E70D794" w:rsidR="008E2221" w:rsidRPr="00C97145" w:rsidRDefault="008E2221" w:rsidP="00C472A8">
      <w:pPr>
        <w:pStyle w:val="Odstavekseznama"/>
        <w:numPr>
          <w:ilvl w:val="1"/>
          <w:numId w:val="4"/>
        </w:numPr>
        <w:jc w:val="both"/>
        <w:rPr>
          <w:rFonts w:ascii="Arial" w:hAnsi="Arial" w:cs="Arial"/>
          <w:sz w:val="20"/>
          <w:szCs w:val="20"/>
        </w:rPr>
      </w:pPr>
      <w:r w:rsidRPr="00C97145">
        <w:rPr>
          <w:rFonts w:ascii="Arial" w:hAnsi="Arial" w:cs="Arial"/>
          <w:sz w:val="20"/>
          <w:szCs w:val="20"/>
        </w:rPr>
        <w:t>V zvezi z ostalimi cilji s</w:t>
      </w:r>
      <w:r w:rsidR="00C472A8" w:rsidRPr="00C97145">
        <w:rPr>
          <w:rFonts w:ascii="Arial" w:hAnsi="Arial" w:cs="Arial"/>
          <w:sz w:val="20"/>
          <w:szCs w:val="20"/>
        </w:rPr>
        <w:t>o</w:t>
      </w:r>
      <w:r w:rsidRPr="00C97145">
        <w:rPr>
          <w:rFonts w:ascii="Arial" w:hAnsi="Arial" w:cs="Arial"/>
          <w:sz w:val="20"/>
          <w:szCs w:val="20"/>
        </w:rPr>
        <w:t xml:space="preserve"> </w:t>
      </w:r>
      <w:r w:rsidR="00C472A8" w:rsidRPr="00C97145">
        <w:rPr>
          <w:rFonts w:ascii="Arial" w:hAnsi="Arial" w:cs="Arial"/>
          <w:sz w:val="20"/>
          <w:szCs w:val="20"/>
        </w:rPr>
        <w:t xml:space="preserve">zato </w:t>
      </w:r>
      <w:r w:rsidRPr="00C97145">
        <w:rPr>
          <w:rFonts w:ascii="Arial" w:hAnsi="Arial" w:cs="Arial"/>
          <w:sz w:val="20"/>
          <w:szCs w:val="20"/>
        </w:rPr>
        <w:t>bist</w:t>
      </w:r>
      <w:r w:rsidR="00C472A8" w:rsidRPr="00C97145">
        <w:rPr>
          <w:rFonts w:ascii="Arial" w:hAnsi="Arial" w:cs="Arial"/>
          <w:sz w:val="20"/>
          <w:szCs w:val="20"/>
        </w:rPr>
        <w:t>ven</w:t>
      </w:r>
      <w:r w:rsidRPr="00C97145">
        <w:rPr>
          <w:rFonts w:ascii="Arial" w:hAnsi="Arial" w:cs="Arial"/>
          <w:sz w:val="20"/>
          <w:szCs w:val="20"/>
        </w:rPr>
        <w:t>i izz</w:t>
      </w:r>
      <w:r w:rsidR="00C472A8" w:rsidRPr="00C97145">
        <w:rPr>
          <w:rFonts w:ascii="Arial" w:hAnsi="Arial" w:cs="Arial"/>
          <w:sz w:val="20"/>
          <w:szCs w:val="20"/>
        </w:rPr>
        <w:t>i</w:t>
      </w:r>
      <w:r w:rsidRPr="00C97145">
        <w:rPr>
          <w:rFonts w:ascii="Arial" w:hAnsi="Arial" w:cs="Arial"/>
          <w:sz w:val="20"/>
          <w:szCs w:val="20"/>
        </w:rPr>
        <w:t>vi</w:t>
      </w:r>
      <w:r w:rsidR="00C472A8" w:rsidRPr="00C97145">
        <w:rPr>
          <w:rFonts w:ascii="Arial" w:hAnsi="Arial" w:cs="Arial"/>
          <w:sz w:val="20"/>
          <w:szCs w:val="20"/>
        </w:rPr>
        <w:t>, ki jih</w:t>
      </w:r>
      <w:r w:rsidRPr="00C97145">
        <w:rPr>
          <w:rFonts w:ascii="Arial" w:hAnsi="Arial" w:cs="Arial"/>
          <w:sz w:val="20"/>
          <w:szCs w:val="20"/>
        </w:rPr>
        <w:t xml:space="preserve"> </w:t>
      </w:r>
      <w:r w:rsidR="00C472A8" w:rsidRPr="00C97145">
        <w:rPr>
          <w:rFonts w:ascii="Arial" w:hAnsi="Arial" w:cs="Arial"/>
          <w:sz w:val="20"/>
          <w:szCs w:val="20"/>
        </w:rPr>
        <w:t xml:space="preserve">potrebno reševati z reformo plačnega sistema javnega sektorja, </w:t>
      </w:r>
      <w:r w:rsidRPr="00C97145">
        <w:rPr>
          <w:rFonts w:ascii="Arial" w:hAnsi="Arial" w:cs="Arial"/>
          <w:sz w:val="20"/>
          <w:szCs w:val="20"/>
        </w:rPr>
        <w:t>nasled</w:t>
      </w:r>
      <w:r w:rsidR="00C472A8" w:rsidRPr="00C97145">
        <w:rPr>
          <w:rFonts w:ascii="Arial" w:hAnsi="Arial" w:cs="Arial"/>
          <w:sz w:val="20"/>
          <w:szCs w:val="20"/>
        </w:rPr>
        <w:t>n</w:t>
      </w:r>
      <w:r w:rsidRPr="00C97145">
        <w:rPr>
          <w:rFonts w:ascii="Arial" w:hAnsi="Arial" w:cs="Arial"/>
          <w:sz w:val="20"/>
          <w:szCs w:val="20"/>
        </w:rPr>
        <w:t>ji</w:t>
      </w:r>
      <w:r w:rsidR="00C472A8" w:rsidRPr="00C97145">
        <w:rPr>
          <w:rFonts w:ascii="Arial" w:hAnsi="Arial" w:cs="Arial"/>
          <w:sz w:val="20"/>
          <w:szCs w:val="20"/>
        </w:rPr>
        <w:t>:</w:t>
      </w:r>
    </w:p>
    <w:p w14:paraId="1D4EE247" w14:textId="77777777" w:rsidR="009E28D8" w:rsidRPr="00C97145" w:rsidRDefault="009E28D8" w:rsidP="00C472A8">
      <w:pPr>
        <w:ind w:left="708" w:firstLine="708"/>
        <w:jc w:val="both"/>
        <w:rPr>
          <w:rFonts w:ascii="Arial" w:hAnsi="Arial" w:cs="Arial"/>
          <w:b/>
          <w:bCs/>
          <w:sz w:val="20"/>
          <w:szCs w:val="20"/>
        </w:rPr>
      </w:pPr>
    </w:p>
    <w:p w14:paraId="38202514" w14:textId="14BC77DC" w:rsidR="008E2221" w:rsidRPr="00C97145" w:rsidRDefault="008E2221" w:rsidP="00C472A8">
      <w:pPr>
        <w:ind w:left="708" w:firstLine="708"/>
        <w:jc w:val="both"/>
        <w:rPr>
          <w:rFonts w:ascii="Arial" w:hAnsi="Arial" w:cs="Arial"/>
          <w:b/>
          <w:bCs/>
          <w:sz w:val="20"/>
          <w:szCs w:val="20"/>
        </w:rPr>
      </w:pPr>
      <w:r w:rsidRPr="00C97145">
        <w:rPr>
          <w:rFonts w:ascii="Arial" w:hAnsi="Arial" w:cs="Arial"/>
          <w:b/>
          <w:bCs/>
          <w:sz w:val="20"/>
          <w:szCs w:val="20"/>
        </w:rPr>
        <w:t>Uravnilovka:</w:t>
      </w:r>
    </w:p>
    <w:p w14:paraId="443B4A54" w14:textId="77777777" w:rsidR="008E2221" w:rsidRPr="00C97145" w:rsidRDefault="008E2221" w:rsidP="00FA0033">
      <w:pPr>
        <w:numPr>
          <w:ilvl w:val="2"/>
          <w:numId w:val="32"/>
        </w:numPr>
        <w:jc w:val="both"/>
        <w:rPr>
          <w:rFonts w:ascii="Arial" w:hAnsi="Arial" w:cs="Arial"/>
          <w:sz w:val="20"/>
          <w:szCs w:val="20"/>
        </w:rPr>
      </w:pPr>
      <w:r w:rsidRPr="00C97145">
        <w:rPr>
          <w:rFonts w:ascii="Arial" w:hAnsi="Arial" w:cs="Arial"/>
          <w:sz w:val="20"/>
          <w:szCs w:val="20"/>
        </w:rPr>
        <w:t>vsako leto je večje število plačnih razredov pod minimalno plačo,</w:t>
      </w:r>
    </w:p>
    <w:p w14:paraId="319F5F18" w14:textId="77777777" w:rsidR="008E2221" w:rsidRPr="00C97145" w:rsidRDefault="008E2221" w:rsidP="00FA0033">
      <w:pPr>
        <w:numPr>
          <w:ilvl w:val="2"/>
          <w:numId w:val="32"/>
        </w:numPr>
        <w:jc w:val="both"/>
        <w:rPr>
          <w:rFonts w:ascii="Arial" w:hAnsi="Arial" w:cs="Arial"/>
          <w:sz w:val="20"/>
          <w:szCs w:val="20"/>
        </w:rPr>
      </w:pPr>
      <w:r w:rsidRPr="00C97145">
        <w:rPr>
          <w:rFonts w:ascii="Arial" w:hAnsi="Arial" w:cs="Arial"/>
          <w:sz w:val="20"/>
          <w:szCs w:val="20"/>
        </w:rPr>
        <w:t>minimalna plača sega že do VI. tarifnega razreda,</w:t>
      </w:r>
    </w:p>
    <w:p w14:paraId="4A0FE8BF" w14:textId="5A0B26B9" w:rsidR="008E2221" w:rsidRPr="00C97145" w:rsidRDefault="008E2221" w:rsidP="00FA0033">
      <w:pPr>
        <w:numPr>
          <w:ilvl w:val="2"/>
          <w:numId w:val="32"/>
        </w:numPr>
        <w:jc w:val="both"/>
        <w:rPr>
          <w:rFonts w:ascii="Arial" w:hAnsi="Arial" w:cs="Arial"/>
          <w:sz w:val="20"/>
          <w:szCs w:val="20"/>
        </w:rPr>
      </w:pPr>
      <w:r w:rsidRPr="00C97145">
        <w:rPr>
          <w:rFonts w:ascii="Arial" w:hAnsi="Arial" w:cs="Arial"/>
          <w:sz w:val="20"/>
          <w:szCs w:val="20"/>
        </w:rPr>
        <w:t>razmerje med najvišjo osnovno plačo in minimalno plačo se je iz 1 : 10,5 v letu 2008 spremenilo v 1 : 4,7 v letu 2022.</w:t>
      </w:r>
    </w:p>
    <w:p w14:paraId="5F60B6BC" w14:textId="77777777" w:rsidR="008E2221" w:rsidRPr="00C97145" w:rsidRDefault="008E2221" w:rsidP="008E2221">
      <w:pPr>
        <w:jc w:val="both"/>
        <w:rPr>
          <w:rFonts w:ascii="Arial" w:hAnsi="Arial" w:cs="Arial"/>
          <w:b/>
          <w:bCs/>
          <w:sz w:val="20"/>
          <w:szCs w:val="20"/>
        </w:rPr>
      </w:pPr>
    </w:p>
    <w:p w14:paraId="1C4F31DA" w14:textId="4565B2CB" w:rsidR="008E2221" w:rsidRPr="00C97145" w:rsidRDefault="008E2221" w:rsidP="00C472A8">
      <w:pPr>
        <w:ind w:left="708" w:firstLine="708"/>
        <w:jc w:val="both"/>
        <w:rPr>
          <w:rFonts w:ascii="Arial" w:hAnsi="Arial" w:cs="Arial"/>
          <w:b/>
          <w:bCs/>
          <w:sz w:val="20"/>
          <w:szCs w:val="20"/>
        </w:rPr>
      </w:pPr>
      <w:r w:rsidRPr="00C97145">
        <w:rPr>
          <w:rFonts w:ascii="Arial" w:hAnsi="Arial" w:cs="Arial"/>
          <w:b/>
          <w:bCs/>
          <w:sz w:val="20"/>
          <w:szCs w:val="20"/>
        </w:rPr>
        <w:t>Stimulativn</w:t>
      </w:r>
      <w:r w:rsidR="00C472A8" w:rsidRPr="00C97145">
        <w:rPr>
          <w:rFonts w:ascii="Arial" w:hAnsi="Arial" w:cs="Arial"/>
          <w:b/>
          <w:bCs/>
          <w:sz w:val="20"/>
          <w:szCs w:val="20"/>
        </w:rPr>
        <w:t>o nagrajevanje</w:t>
      </w:r>
      <w:r w:rsidR="00DB3CF7" w:rsidRPr="00C97145">
        <w:rPr>
          <w:rFonts w:ascii="Arial" w:hAnsi="Arial" w:cs="Arial"/>
          <w:b/>
          <w:bCs/>
          <w:sz w:val="20"/>
          <w:szCs w:val="20"/>
        </w:rPr>
        <w:t xml:space="preserve"> / močan vpliv </w:t>
      </w:r>
      <w:proofErr w:type="spellStart"/>
      <w:r w:rsidR="00DB3CF7" w:rsidRPr="00C97145">
        <w:rPr>
          <w:rFonts w:ascii="Arial" w:hAnsi="Arial" w:cs="Arial"/>
          <w:b/>
          <w:bCs/>
          <w:sz w:val="20"/>
          <w:szCs w:val="20"/>
        </w:rPr>
        <w:t>senioritete</w:t>
      </w:r>
      <w:proofErr w:type="spellEnd"/>
      <w:r w:rsidRPr="00C97145">
        <w:rPr>
          <w:rFonts w:ascii="Arial" w:hAnsi="Arial" w:cs="Arial"/>
          <w:b/>
          <w:bCs/>
          <w:sz w:val="20"/>
          <w:szCs w:val="20"/>
        </w:rPr>
        <w:t xml:space="preserve">:  </w:t>
      </w:r>
    </w:p>
    <w:p w14:paraId="25382CB9" w14:textId="30C1AF82" w:rsidR="008E2221" w:rsidRPr="00C97145" w:rsidRDefault="00C472A8" w:rsidP="00FA0033">
      <w:pPr>
        <w:numPr>
          <w:ilvl w:val="2"/>
          <w:numId w:val="33"/>
        </w:numPr>
        <w:jc w:val="both"/>
        <w:rPr>
          <w:rFonts w:ascii="Arial" w:hAnsi="Arial" w:cs="Arial"/>
          <w:sz w:val="20"/>
          <w:szCs w:val="20"/>
        </w:rPr>
      </w:pPr>
      <w:r w:rsidRPr="00C97145">
        <w:rPr>
          <w:rFonts w:ascii="Arial" w:hAnsi="Arial" w:cs="Arial"/>
          <w:sz w:val="20"/>
          <w:szCs w:val="20"/>
        </w:rPr>
        <w:t xml:space="preserve">stimulativni elementi </w:t>
      </w:r>
      <w:r w:rsidR="008E2221" w:rsidRPr="00C97145">
        <w:rPr>
          <w:rFonts w:ascii="Arial" w:hAnsi="Arial" w:cs="Arial"/>
          <w:sz w:val="20"/>
          <w:szCs w:val="20"/>
        </w:rPr>
        <w:t>v sistemu ne delujejo, povzročajo pa rast povprečnih plač in rast mase za plače,</w:t>
      </w:r>
    </w:p>
    <w:p w14:paraId="77187558" w14:textId="4E969763" w:rsidR="008E2221" w:rsidRPr="00C97145" w:rsidRDefault="008E2221" w:rsidP="00FA0033">
      <w:pPr>
        <w:numPr>
          <w:ilvl w:val="2"/>
          <w:numId w:val="33"/>
        </w:numPr>
        <w:jc w:val="both"/>
        <w:rPr>
          <w:rFonts w:ascii="Arial" w:hAnsi="Arial" w:cs="Arial"/>
          <w:sz w:val="20"/>
          <w:szCs w:val="20"/>
        </w:rPr>
      </w:pPr>
      <w:r w:rsidRPr="00C97145">
        <w:rPr>
          <w:rFonts w:ascii="Arial" w:hAnsi="Arial" w:cs="Arial"/>
          <w:sz w:val="20"/>
          <w:szCs w:val="20"/>
        </w:rPr>
        <w:t>sistem napredovanja se je sprevrgel v avtomatizem (vsaka tri leta napredovanje v višji plačni razred, zaradi neobjektivnega ocenjevanja zaposlenih praviloma večina napreduje za dva plačna razreda</w:t>
      </w:r>
      <w:r w:rsidRPr="00C97145">
        <w:rPr>
          <w:rStyle w:val="Sprotnaopomba-sklic"/>
          <w:rFonts w:ascii="Arial" w:hAnsi="Arial" w:cs="Arial"/>
          <w:sz w:val="20"/>
          <w:szCs w:val="20"/>
        </w:rPr>
        <w:footnoteReference w:id="3"/>
      </w:r>
      <w:r w:rsidRPr="00C97145">
        <w:rPr>
          <w:rFonts w:ascii="Arial" w:hAnsi="Arial" w:cs="Arial"/>
          <w:sz w:val="20"/>
          <w:szCs w:val="20"/>
        </w:rPr>
        <w:t xml:space="preserve">), neustreznost ocenjevanja, </w:t>
      </w:r>
    </w:p>
    <w:p w14:paraId="023A9D64" w14:textId="78D97EDD" w:rsidR="00AF5122" w:rsidRPr="00C97145" w:rsidRDefault="00AF5122" w:rsidP="00FA0033">
      <w:pPr>
        <w:numPr>
          <w:ilvl w:val="2"/>
          <w:numId w:val="33"/>
        </w:numPr>
        <w:jc w:val="both"/>
        <w:rPr>
          <w:rFonts w:ascii="Arial" w:hAnsi="Arial" w:cs="Arial"/>
          <w:sz w:val="20"/>
          <w:szCs w:val="20"/>
        </w:rPr>
      </w:pPr>
      <w:r w:rsidRPr="00C97145">
        <w:rPr>
          <w:rFonts w:ascii="Arial" w:hAnsi="Arial" w:cs="Arial"/>
          <w:sz w:val="20"/>
          <w:szCs w:val="20"/>
        </w:rPr>
        <w:t>nizke plače mladih in začetnikov in hkrati velike razlike v plači za isto delo na istem delovnem mestu (10 plačnih razredov, nazivi)</w:t>
      </w:r>
      <w:r w:rsidR="00F02037" w:rsidRPr="00C97145">
        <w:rPr>
          <w:rFonts w:ascii="Arial" w:hAnsi="Arial" w:cs="Arial"/>
          <w:sz w:val="20"/>
          <w:szCs w:val="20"/>
        </w:rPr>
        <w:t>,</w:t>
      </w:r>
    </w:p>
    <w:p w14:paraId="005A9D65" w14:textId="77777777" w:rsidR="008E2221" w:rsidRPr="00C97145" w:rsidRDefault="008E2221" w:rsidP="00FA0033">
      <w:pPr>
        <w:numPr>
          <w:ilvl w:val="2"/>
          <w:numId w:val="33"/>
        </w:numPr>
        <w:jc w:val="both"/>
        <w:rPr>
          <w:rFonts w:ascii="Arial" w:hAnsi="Arial" w:cs="Arial"/>
          <w:sz w:val="20"/>
          <w:szCs w:val="20"/>
        </w:rPr>
      </w:pPr>
      <w:r w:rsidRPr="00C97145">
        <w:rPr>
          <w:rFonts w:ascii="Arial" w:hAnsi="Arial" w:cs="Arial"/>
          <w:sz w:val="20"/>
          <w:szCs w:val="20"/>
        </w:rPr>
        <w:t>neuravnoteženost  možnostih napredovanja javnih uslužbencev z nazivi in brez naziva,</w:t>
      </w:r>
      <w:r w:rsidRPr="00C97145">
        <w:rPr>
          <w:rStyle w:val="Sprotnaopomba-sklic"/>
          <w:rFonts w:ascii="Arial" w:hAnsi="Arial" w:cs="Arial"/>
          <w:sz w:val="20"/>
          <w:szCs w:val="20"/>
        </w:rPr>
        <w:footnoteReference w:id="4"/>
      </w:r>
    </w:p>
    <w:p w14:paraId="2F54D8E0" w14:textId="77777777" w:rsidR="008E2221" w:rsidRPr="00C97145" w:rsidRDefault="008E2221" w:rsidP="00FA0033">
      <w:pPr>
        <w:numPr>
          <w:ilvl w:val="2"/>
          <w:numId w:val="33"/>
        </w:numPr>
        <w:jc w:val="both"/>
        <w:rPr>
          <w:rFonts w:ascii="Arial" w:hAnsi="Arial" w:cs="Arial"/>
          <w:sz w:val="20"/>
          <w:szCs w:val="20"/>
        </w:rPr>
      </w:pPr>
      <w:r w:rsidRPr="00C97145">
        <w:rPr>
          <w:rFonts w:ascii="Arial" w:hAnsi="Arial" w:cs="Arial"/>
          <w:sz w:val="20"/>
          <w:szCs w:val="20"/>
        </w:rPr>
        <w:t>neustrezna delitev sredstev za nagrajevanje delovne uspešnosti.</w:t>
      </w:r>
    </w:p>
    <w:p w14:paraId="6510D128" w14:textId="77777777" w:rsidR="008E2221" w:rsidRPr="00C97145" w:rsidRDefault="008E2221" w:rsidP="008E2221">
      <w:pPr>
        <w:jc w:val="both"/>
        <w:rPr>
          <w:rFonts w:ascii="Arial" w:hAnsi="Arial" w:cs="Arial"/>
          <w:sz w:val="20"/>
          <w:szCs w:val="20"/>
        </w:rPr>
      </w:pPr>
    </w:p>
    <w:p w14:paraId="5134D435" w14:textId="77777777" w:rsidR="008E2221" w:rsidRPr="00C97145" w:rsidRDefault="008E2221" w:rsidP="00C472A8">
      <w:pPr>
        <w:ind w:left="708" w:firstLine="708"/>
        <w:jc w:val="both"/>
        <w:rPr>
          <w:rFonts w:ascii="Arial" w:hAnsi="Arial" w:cs="Arial"/>
          <w:sz w:val="20"/>
          <w:szCs w:val="20"/>
        </w:rPr>
      </w:pPr>
      <w:r w:rsidRPr="00C97145">
        <w:rPr>
          <w:rFonts w:ascii="Arial" w:hAnsi="Arial" w:cs="Arial"/>
          <w:b/>
          <w:bCs/>
          <w:sz w:val="20"/>
          <w:szCs w:val="20"/>
        </w:rPr>
        <w:t>Porušena razmerja</w:t>
      </w:r>
      <w:r w:rsidRPr="00C97145">
        <w:rPr>
          <w:rFonts w:ascii="Arial" w:hAnsi="Arial" w:cs="Arial"/>
          <w:sz w:val="20"/>
          <w:szCs w:val="20"/>
        </w:rPr>
        <w:t xml:space="preserve">: </w:t>
      </w:r>
    </w:p>
    <w:p w14:paraId="72BDC593" w14:textId="77777777" w:rsidR="008E2221" w:rsidRPr="00C97145" w:rsidRDefault="008E2221" w:rsidP="00FA0033">
      <w:pPr>
        <w:numPr>
          <w:ilvl w:val="2"/>
          <w:numId w:val="34"/>
        </w:numPr>
        <w:jc w:val="both"/>
        <w:rPr>
          <w:rFonts w:ascii="Arial" w:hAnsi="Arial" w:cs="Arial"/>
          <w:sz w:val="20"/>
          <w:szCs w:val="20"/>
        </w:rPr>
      </w:pPr>
      <w:r w:rsidRPr="00C97145">
        <w:rPr>
          <w:rFonts w:ascii="Arial" w:hAnsi="Arial" w:cs="Arial"/>
          <w:sz w:val="20"/>
          <w:szCs w:val="20"/>
        </w:rPr>
        <w:t>neustrezna razmerja med plačami javnih uslužbencev, direktorjev in funkcionarjev;</w:t>
      </w:r>
    </w:p>
    <w:p w14:paraId="75518DD0" w14:textId="77777777" w:rsidR="008E2221" w:rsidRPr="00C97145" w:rsidRDefault="008E2221" w:rsidP="00FA0033">
      <w:pPr>
        <w:numPr>
          <w:ilvl w:val="2"/>
          <w:numId w:val="34"/>
        </w:numPr>
        <w:jc w:val="both"/>
        <w:rPr>
          <w:rFonts w:ascii="Arial" w:hAnsi="Arial" w:cs="Arial"/>
          <w:sz w:val="20"/>
          <w:szCs w:val="20"/>
        </w:rPr>
      </w:pPr>
      <w:r w:rsidRPr="00C97145">
        <w:rPr>
          <w:rFonts w:ascii="Arial" w:hAnsi="Arial" w:cs="Arial"/>
          <w:sz w:val="20"/>
          <w:szCs w:val="20"/>
        </w:rPr>
        <w:t>plače številnih javnih uslužbencev presegajo plače njihovih predstojnikov,</w:t>
      </w:r>
    </w:p>
    <w:p w14:paraId="54BA56AD" w14:textId="56897755" w:rsidR="008E2221" w:rsidRPr="00C97145" w:rsidRDefault="008E2221" w:rsidP="00FA0033">
      <w:pPr>
        <w:numPr>
          <w:ilvl w:val="2"/>
          <w:numId w:val="34"/>
        </w:numPr>
        <w:jc w:val="both"/>
        <w:rPr>
          <w:rFonts w:ascii="Arial" w:hAnsi="Arial" w:cs="Arial"/>
          <w:sz w:val="20"/>
          <w:szCs w:val="20"/>
        </w:rPr>
      </w:pPr>
      <w:r w:rsidRPr="00C97145">
        <w:rPr>
          <w:rFonts w:ascii="Arial" w:hAnsi="Arial" w:cs="Arial"/>
          <w:sz w:val="20"/>
          <w:szCs w:val="20"/>
        </w:rPr>
        <w:t xml:space="preserve">nesorazmerja v osnovnih plačah med poklicnimi skupinami in znotraj njih kot posledica večletnega </w:t>
      </w:r>
      <w:proofErr w:type="spellStart"/>
      <w:r w:rsidRPr="00C97145">
        <w:rPr>
          <w:rFonts w:ascii="Arial" w:hAnsi="Arial" w:cs="Arial"/>
          <w:sz w:val="20"/>
          <w:szCs w:val="20"/>
        </w:rPr>
        <w:t>neusklajevanja</w:t>
      </w:r>
      <w:proofErr w:type="spellEnd"/>
      <w:r w:rsidRPr="00C97145">
        <w:rPr>
          <w:rFonts w:ascii="Arial" w:hAnsi="Arial" w:cs="Arial"/>
          <w:sz w:val="20"/>
          <w:szCs w:val="20"/>
        </w:rPr>
        <w:t xml:space="preserve"> vrednosti plačnih razredov plačne lestvice ob sklepanju parcialnih dogovorov o poviševanju plač s posameznimi </w:t>
      </w:r>
      <w:r w:rsidRPr="00C97145">
        <w:rPr>
          <w:rFonts w:ascii="Arial" w:hAnsi="Arial" w:cs="Arial"/>
          <w:sz w:val="20"/>
          <w:szCs w:val="20"/>
        </w:rPr>
        <w:lastRenderedPageBreak/>
        <w:t>poklicnimi skupinami</w:t>
      </w:r>
      <w:r w:rsidR="00931E21" w:rsidRPr="00C97145">
        <w:rPr>
          <w:rFonts w:ascii="Arial" w:hAnsi="Arial" w:cs="Arial"/>
          <w:sz w:val="20"/>
          <w:szCs w:val="20"/>
        </w:rPr>
        <w:t xml:space="preserve"> ter uvajanju različnih obvodov v okviru področne zakonodaje.</w:t>
      </w:r>
      <w:r w:rsidRPr="00C97145">
        <w:rPr>
          <w:rFonts w:ascii="Arial" w:hAnsi="Arial" w:cs="Arial"/>
          <w:sz w:val="20"/>
          <w:szCs w:val="20"/>
        </w:rPr>
        <w:t xml:space="preserve"> </w:t>
      </w:r>
    </w:p>
    <w:p w14:paraId="0B9C1D44" w14:textId="77777777" w:rsidR="008E2221" w:rsidRPr="00C97145" w:rsidRDefault="008E2221" w:rsidP="008E2221">
      <w:pPr>
        <w:jc w:val="both"/>
        <w:rPr>
          <w:rFonts w:ascii="Arial" w:hAnsi="Arial" w:cs="Arial"/>
          <w:b/>
          <w:bCs/>
          <w:sz w:val="20"/>
          <w:szCs w:val="20"/>
        </w:rPr>
      </w:pPr>
    </w:p>
    <w:p w14:paraId="7F1B7B30" w14:textId="77777777" w:rsidR="008E2221" w:rsidRPr="00C97145" w:rsidRDefault="008E2221" w:rsidP="00C472A8">
      <w:pPr>
        <w:ind w:left="708" w:firstLine="708"/>
        <w:jc w:val="both"/>
        <w:rPr>
          <w:rFonts w:ascii="Arial" w:hAnsi="Arial" w:cs="Arial"/>
          <w:b/>
          <w:bCs/>
          <w:sz w:val="20"/>
          <w:szCs w:val="20"/>
        </w:rPr>
      </w:pPr>
      <w:r w:rsidRPr="00C97145">
        <w:rPr>
          <w:rFonts w:ascii="Arial" w:hAnsi="Arial" w:cs="Arial"/>
          <w:b/>
          <w:bCs/>
          <w:sz w:val="20"/>
          <w:szCs w:val="20"/>
        </w:rPr>
        <w:t xml:space="preserve">Naraščanje mase sredstev za plače: </w:t>
      </w:r>
    </w:p>
    <w:p w14:paraId="5C51D733" w14:textId="77777777" w:rsidR="008E2221" w:rsidRPr="00C97145" w:rsidRDefault="008E2221" w:rsidP="00FA0033">
      <w:pPr>
        <w:numPr>
          <w:ilvl w:val="2"/>
          <w:numId w:val="34"/>
        </w:numPr>
        <w:jc w:val="both"/>
        <w:rPr>
          <w:rFonts w:ascii="Arial" w:hAnsi="Arial" w:cs="Arial"/>
          <w:sz w:val="20"/>
          <w:szCs w:val="20"/>
        </w:rPr>
      </w:pPr>
      <w:r w:rsidRPr="00C97145">
        <w:rPr>
          <w:rFonts w:ascii="Arial" w:hAnsi="Arial" w:cs="Arial"/>
          <w:sz w:val="20"/>
          <w:szCs w:val="20"/>
        </w:rPr>
        <w:t>masa plač v javnem sektorju (ob naraščanju števila zaposlenih) narašča zaradi avtomatizma napredovanj, spreminjanja sistemizacij in parcialnega reševanja problemov,</w:t>
      </w:r>
      <w:r w:rsidRPr="00C97145">
        <w:rPr>
          <w:rStyle w:val="Sprotnaopomba-sklic"/>
          <w:rFonts w:ascii="Arial" w:hAnsi="Arial" w:cs="Arial"/>
          <w:sz w:val="20"/>
          <w:szCs w:val="20"/>
        </w:rPr>
        <w:footnoteReference w:id="5"/>
      </w:r>
      <w:r w:rsidRPr="00C97145">
        <w:rPr>
          <w:rFonts w:ascii="Arial" w:hAnsi="Arial" w:cs="Arial"/>
          <w:sz w:val="20"/>
          <w:szCs w:val="20"/>
        </w:rPr>
        <w:t xml:space="preserve"> </w:t>
      </w:r>
    </w:p>
    <w:p w14:paraId="4AB9959F" w14:textId="10670697" w:rsidR="008E2221" w:rsidRPr="00C97145" w:rsidRDefault="008E2221" w:rsidP="00FA0033">
      <w:pPr>
        <w:numPr>
          <w:ilvl w:val="2"/>
          <w:numId w:val="34"/>
        </w:numPr>
        <w:jc w:val="both"/>
        <w:rPr>
          <w:rFonts w:ascii="Arial" w:hAnsi="Arial" w:cs="Arial"/>
          <w:sz w:val="20"/>
          <w:szCs w:val="20"/>
        </w:rPr>
      </w:pPr>
      <w:r w:rsidRPr="00C97145">
        <w:rPr>
          <w:rFonts w:ascii="Arial" w:hAnsi="Arial" w:cs="Arial"/>
          <w:sz w:val="20"/>
          <w:szCs w:val="20"/>
        </w:rPr>
        <w:t>kljub naraščanju mase niso odpravljena nesorazmerja,</w:t>
      </w:r>
      <w:r w:rsidR="00F02037" w:rsidRPr="00C97145">
        <w:rPr>
          <w:rFonts w:ascii="Arial" w:hAnsi="Arial" w:cs="Arial"/>
          <w:sz w:val="20"/>
          <w:szCs w:val="20"/>
        </w:rPr>
        <w:t xml:space="preserve"> </w:t>
      </w:r>
      <w:r w:rsidRPr="00C97145">
        <w:rPr>
          <w:rFonts w:ascii="Arial" w:hAnsi="Arial" w:cs="Arial"/>
          <w:sz w:val="20"/>
          <w:szCs w:val="20"/>
        </w:rPr>
        <w:t>povečuje se nezadovoljstvo javnih uslužbencev.</w:t>
      </w:r>
    </w:p>
    <w:p w14:paraId="1B5607B2" w14:textId="77777777" w:rsidR="00E91780" w:rsidRPr="00C97145" w:rsidRDefault="00E91780" w:rsidP="00E91780">
      <w:pPr>
        <w:ind w:left="1080"/>
        <w:jc w:val="both"/>
        <w:rPr>
          <w:rFonts w:ascii="Arial" w:hAnsi="Arial" w:cs="Arial"/>
          <w:b/>
          <w:bCs/>
          <w:sz w:val="20"/>
          <w:szCs w:val="20"/>
        </w:rPr>
      </w:pPr>
    </w:p>
    <w:p w14:paraId="0D4A018E" w14:textId="58AC4CE2" w:rsidR="00FA0033" w:rsidRPr="00C97145" w:rsidRDefault="00FA0033" w:rsidP="00E91780">
      <w:pPr>
        <w:ind w:left="1080"/>
        <w:jc w:val="both"/>
        <w:rPr>
          <w:rFonts w:ascii="Arial" w:hAnsi="Arial" w:cs="Arial"/>
          <w:sz w:val="20"/>
          <w:szCs w:val="20"/>
        </w:rPr>
      </w:pPr>
      <w:r w:rsidRPr="00C97145">
        <w:rPr>
          <w:rFonts w:ascii="Arial" w:hAnsi="Arial" w:cs="Arial"/>
          <w:sz w:val="20"/>
          <w:szCs w:val="20"/>
        </w:rPr>
        <w:t>Ker večina cilje</w:t>
      </w:r>
      <w:r w:rsidR="008233DB" w:rsidRPr="00C97145">
        <w:rPr>
          <w:rFonts w:ascii="Arial" w:hAnsi="Arial" w:cs="Arial"/>
          <w:sz w:val="20"/>
          <w:szCs w:val="20"/>
        </w:rPr>
        <w:t>v</w:t>
      </w:r>
      <w:r w:rsidRPr="00C97145">
        <w:rPr>
          <w:rFonts w:ascii="Arial" w:hAnsi="Arial" w:cs="Arial"/>
          <w:sz w:val="20"/>
          <w:szCs w:val="20"/>
        </w:rPr>
        <w:t xml:space="preserve"> uvedbe enotnega plačnega sistema ni bila uresničenih, se javni sektor </w:t>
      </w:r>
      <w:r w:rsidR="00F02037" w:rsidRPr="00C97145">
        <w:rPr>
          <w:rFonts w:ascii="Arial" w:hAnsi="Arial" w:cs="Arial"/>
          <w:sz w:val="20"/>
          <w:szCs w:val="20"/>
        </w:rPr>
        <w:t xml:space="preserve">sooča </w:t>
      </w:r>
      <w:r w:rsidRPr="00C97145">
        <w:rPr>
          <w:rFonts w:ascii="Arial" w:hAnsi="Arial" w:cs="Arial"/>
          <w:sz w:val="20"/>
          <w:szCs w:val="20"/>
        </w:rPr>
        <w:t xml:space="preserve">z vse večjo uravnilovko, vse manjšo stimulativnostjo plač, vse večjim nezadovoljstvom zaposlenih in vse večjimi problemi pri pridobivanju kadrov, zlasti neprivlačnostjo za mlade, kar vse vpliva tudi na kvaliteto javnih storitev in njihovo dostopnost za uporabnike. </w:t>
      </w:r>
    </w:p>
    <w:p w14:paraId="75A31A06" w14:textId="77777777" w:rsidR="008E2221" w:rsidRPr="00C97145" w:rsidRDefault="008E2221" w:rsidP="008E2221">
      <w:pPr>
        <w:jc w:val="both"/>
        <w:rPr>
          <w:rFonts w:ascii="Arial" w:hAnsi="Arial" w:cs="Arial"/>
          <w:sz w:val="20"/>
          <w:szCs w:val="20"/>
        </w:rPr>
      </w:pPr>
    </w:p>
    <w:p w14:paraId="005C04EF" w14:textId="77777777" w:rsidR="00774F45" w:rsidRPr="00C97145" w:rsidRDefault="00774F45" w:rsidP="00E91780">
      <w:pPr>
        <w:pStyle w:val="Odstavekseznama"/>
        <w:numPr>
          <w:ilvl w:val="0"/>
          <w:numId w:val="43"/>
        </w:numPr>
        <w:spacing w:after="0" w:line="260" w:lineRule="atLeast"/>
        <w:jc w:val="both"/>
        <w:rPr>
          <w:rFonts w:ascii="Arial" w:hAnsi="Arial" w:cs="Arial"/>
          <w:b/>
          <w:bCs/>
          <w:sz w:val="20"/>
          <w:szCs w:val="20"/>
        </w:rPr>
      </w:pPr>
      <w:r w:rsidRPr="00C97145">
        <w:rPr>
          <w:rFonts w:ascii="Arial" w:hAnsi="Arial" w:cs="Arial"/>
          <w:b/>
          <w:bCs/>
          <w:sz w:val="20"/>
          <w:szCs w:val="20"/>
        </w:rPr>
        <w:br w:type="page"/>
      </w:r>
    </w:p>
    <w:p w14:paraId="5BE06E9A" w14:textId="06EBA048" w:rsidR="004226FF" w:rsidRPr="00C97145" w:rsidRDefault="001B41DD" w:rsidP="00E91780">
      <w:pPr>
        <w:pStyle w:val="Odstavekseznama"/>
        <w:numPr>
          <w:ilvl w:val="0"/>
          <w:numId w:val="44"/>
        </w:numPr>
        <w:spacing w:after="0" w:line="260" w:lineRule="atLeast"/>
        <w:jc w:val="both"/>
        <w:rPr>
          <w:rFonts w:ascii="Arial" w:hAnsi="Arial" w:cs="Arial"/>
          <w:b/>
          <w:bCs/>
          <w:sz w:val="20"/>
          <w:szCs w:val="20"/>
        </w:rPr>
      </w:pPr>
      <w:r w:rsidRPr="00C97145">
        <w:rPr>
          <w:rFonts w:ascii="Arial" w:hAnsi="Arial" w:cs="Arial"/>
          <w:b/>
          <w:bCs/>
          <w:sz w:val="20"/>
          <w:szCs w:val="20"/>
        </w:rPr>
        <w:lastRenderedPageBreak/>
        <w:t xml:space="preserve">CILJI </w:t>
      </w:r>
      <w:r w:rsidR="004226FF" w:rsidRPr="00C97145">
        <w:rPr>
          <w:rFonts w:ascii="Arial" w:hAnsi="Arial" w:cs="Arial"/>
          <w:b/>
          <w:bCs/>
          <w:sz w:val="20"/>
          <w:szCs w:val="20"/>
        </w:rPr>
        <w:t>PRENOV</w:t>
      </w:r>
      <w:r w:rsidRPr="00C97145">
        <w:rPr>
          <w:rFonts w:ascii="Arial" w:hAnsi="Arial" w:cs="Arial"/>
          <w:b/>
          <w:bCs/>
          <w:sz w:val="20"/>
          <w:szCs w:val="20"/>
        </w:rPr>
        <w:t>E</w:t>
      </w:r>
      <w:r w:rsidR="00E7496C" w:rsidRPr="00C97145">
        <w:rPr>
          <w:rFonts w:ascii="Arial" w:hAnsi="Arial" w:cs="Arial"/>
          <w:b/>
          <w:bCs/>
          <w:sz w:val="20"/>
          <w:szCs w:val="20"/>
        </w:rPr>
        <w:t xml:space="preserve"> </w:t>
      </w:r>
      <w:r w:rsidR="009D0576" w:rsidRPr="00C97145">
        <w:rPr>
          <w:rFonts w:ascii="Arial" w:hAnsi="Arial" w:cs="Arial"/>
          <w:b/>
          <w:bCs/>
          <w:sz w:val="20"/>
          <w:szCs w:val="20"/>
        </w:rPr>
        <w:t xml:space="preserve"> PLAČNEGA SISTEMA</w:t>
      </w:r>
    </w:p>
    <w:p w14:paraId="4BFFFFBB" w14:textId="77777777" w:rsidR="004226FF" w:rsidRPr="00C97145" w:rsidRDefault="004226FF" w:rsidP="004226FF">
      <w:pPr>
        <w:jc w:val="both"/>
        <w:rPr>
          <w:rFonts w:ascii="Arial" w:hAnsi="Arial" w:cs="Arial"/>
          <w:sz w:val="20"/>
          <w:szCs w:val="20"/>
        </w:rPr>
      </w:pPr>
    </w:p>
    <w:p w14:paraId="37029774" w14:textId="5A88A890" w:rsidR="004226FF" w:rsidRPr="00C97145" w:rsidRDefault="004226FF" w:rsidP="00E7496C">
      <w:pPr>
        <w:jc w:val="both"/>
        <w:rPr>
          <w:rFonts w:ascii="Arial" w:hAnsi="Arial" w:cs="Arial"/>
          <w:sz w:val="20"/>
          <w:szCs w:val="20"/>
        </w:rPr>
      </w:pPr>
      <w:r w:rsidRPr="00C97145">
        <w:rPr>
          <w:rFonts w:ascii="Arial" w:hAnsi="Arial" w:cs="Arial"/>
          <w:sz w:val="20"/>
          <w:szCs w:val="20"/>
        </w:rPr>
        <w:t>V oktobru 2022 so Vlada R</w:t>
      </w:r>
      <w:r w:rsidR="00AE711E" w:rsidRPr="00C97145">
        <w:rPr>
          <w:rFonts w:ascii="Arial" w:hAnsi="Arial" w:cs="Arial"/>
          <w:sz w:val="20"/>
          <w:szCs w:val="20"/>
        </w:rPr>
        <w:t>epublike Slovenije</w:t>
      </w:r>
      <w:r w:rsidRPr="00C97145">
        <w:rPr>
          <w:rFonts w:ascii="Arial" w:hAnsi="Arial" w:cs="Arial"/>
          <w:sz w:val="20"/>
          <w:szCs w:val="20"/>
        </w:rPr>
        <w:t xml:space="preserve"> in reprezentativni sindikati javnega sektorja podpisali  Dogovor o  ukrepih na področju plač in drugih stroškov dela v javnem sektorju za leti 2022 in 2023  (Uradni list RS št 136/22), iz katerega izhaja tudi zaveza, ki se nanaša na začetek usklajevanj sprememb Zakona o sistemu plač v javnem sektorju.</w:t>
      </w:r>
    </w:p>
    <w:p w14:paraId="34FD9229" w14:textId="74F31DED" w:rsidR="004226FF" w:rsidRPr="00C97145" w:rsidRDefault="004226FF" w:rsidP="004226FF">
      <w:pPr>
        <w:jc w:val="both"/>
        <w:rPr>
          <w:rFonts w:ascii="Arial" w:hAnsi="Arial" w:cs="Arial"/>
          <w:sz w:val="20"/>
          <w:szCs w:val="20"/>
        </w:rPr>
      </w:pPr>
      <w:r w:rsidRPr="00C97145">
        <w:rPr>
          <w:rFonts w:ascii="Arial" w:hAnsi="Arial" w:cs="Arial"/>
          <w:sz w:val="20"/>
          <w:szCs w:val="20"/>
        </w:rPr>
        <w:t>V 6. točki  Dogovora je določeno, da se vladna in sindikalna stran zavezujeta, da bosta po zaključku teh pogajanj</w:t>
      </w:r>
      <w:r w:rsidR="00B174C2" w:rsidRPr="00C97145">
        <w:rPr>
          <w:rFonts w:ascii="Arial" w:hAnsi="Arial" w:cs="Arial"/>
          <w:sz w:val="20"/>
          <w:szCs w:val="20"/>
        </w:rPr>
        <w:t xml:space="preserve"> </w:t>
      </w:r>
      <w:r w:rsidRPr="00C97145">
        <w:rPr>
          <w:rFonts w:ascii="Arial" w:hAnsi="Arial" w:cs="Arial"/>
          <w:sz w:val="20"/>
          <w:szCs w:val="20"/>
        </w:rPr>
        <w:t>pričeli z usklajevanji o sistemskih spremembah plačnega sistema javnega sektorja, z namenom, da se najpozneje do 30. junija 2023 pripravi predlog sprememb in dopolnitev ZSPJS oziroma nov zakon o sistemu plač v javnem sektorju s podpisano izjavo o stopnji usklajenosti besedila členov zakona, pri čemer si bosta vladna in sindikalna stran prizadevali za čim višjo stopnjo usklajenosti členov. O temeljnih vprašanjih plačnega sistema bo doseženo soglasje med vlado in sindikati javnega sektorja.</w:t>
      </w:r>
    </w:p>
    <w:p w14:paraId="7D29CE0E" w14:textId="14EB7741" w:rsidR="004226FF" w:rsidRPr="00C97145" w:rsidRDefault="004226FF" w:rsidP="00E7496C">
      <w:pPr>
        <w:jc w:val="both"/>
        <w:rPr>
          <w:rFonts w:ascii="Arial" w:hAnsi="Arial" w:cs="Arial"/>
          <w:sz w:val="20"/>
          <w:szCs w:val="20"/>
        </w:rPr>
      </w:pPr>
      <w:r w:rsidRPr="00C97145">
        <w:rPr>
          <w:rFonts w:ascii="Arial" w:hAnsi="Arial" w:cs="Arial"/>
          <w:sz w:val="20"/>
          <w:szCs w:val="20"/>
        </w:rPr>
        <w:t>Obe strani sta se k temu zavezali glede na ugotovitve, da ima veljavni plačni sistem in njegovo izvajanje v praksi vrsto pomanjkljivosti, ki so privedle do zgoraj opisanega stanja. Te se kopičijo že vrsto let, kljub večkratnim dogovorom o nujni prenovi sistema pa do tega do sedaj še ni prišlo. Na potrebo po drugačni ureditvi sistema plač opozarjajo tako študija OECD o plačnem sistemu slovenskega javnega sektorja iz leta 2011, kot tudi Analiza plačnega sistema javnega sektorja iz leta 2015, prav tako pa tudi Analiza kariernega napredovanja javnih uslužbencev iz leta 2019, ki ju je pripravilo Ministrstvo za javno upravo. Nenazadnje na težave pri izvajanju sedaj veljavnih določb tega sistema opozarjajo številni delodajalci javnega sektorja,</w:t>
      </w:r>
      <w:r w:rsidR="00B174C2" w:rsidRPr="00C97145">
        <w:rPr>
          <w:rFonts w:ascii="Arial" w:hAnsi="Arial" w:cs="Arial"/>
          <w:sz w:val="20"/>
          <w:szCs w:val="20"/>
        </w:rPr>
        <w:t xml:space="preserve"> k</w:t>
      </w:r>
      <w:r w:rsidRPr="00C97145">
        <w:rPr>
          <w:rFonts w:ascii="Arial" w:hAnsi="Arial" w:cs="Arial"/>
          <w:sz w:val="20"/>
          <w:szCs w:val="20"/>
        </w:rPr>
        <w:t>i</w:t>
      </w:r>
      <w:r w:rsidR="00B174C2" w:rsidRPr="00C97145">
        <w:rPr>
          <w:rFonts w:ascii="Arial" w:hAnsi="Arial" w:cs="Arial"/>
          <w:sz w:val="20"/>
          <w:szCs w:val="20"/>
        </w:rPr>
        <w:t xml:space="preserve"> </w:t>
      </w:r>
      <w:r w:rsidRPr="00C97145">
        <w:rPr>
          <w:rFonts w:ascii="Arial" w:hAnsi="Arial" w:cs="Arial"/>
          <w:sz w:val="20"/>
          <w:szCs w:val="20"/>
        </w:rPr>
        <w:t>izpostavljajo potrebo po bolj avtonomnem urejanju plač glede na specifike posameznih dejavnosti oz. poklicev in manj rigidnem sistemu, ki onemogoča učinkovito upravljanje s kadrovskimi viri, ko gre za osnovne plače in variabilno nagrajevanje zaposlenih. Vladna stran je aktualne podatke in svoje ugotovitve o stanju v plačnem sistemu javnega sektorja predstavila tudi na seji Sveta za sistem plač v javnem sektorju, 9.11.2022.</w:t>
      </w:r>
    </w:p>
    <w:p w14:paraId="03DC287E" w14:textId="53EF5D92" w:rsidR="004226FF" w:rsidRPr="00C97145" w:rsidRDefault="004226FF" w:rsidP="004226FF">
      <w:pPr>
        <w:jc w:val="both"/>
        <w:rPr>
          <w:rFonts w:ascii="Arial" w:hAnsi="Arial" w:cs="Arial"/>
          <w:sz w:val="20"/>
          <w:szCs w:val="20"/>
        </w:rPr>
      </w:pPr>
      <w:r w:rsidRPr="00C97145">
        <w:rPr>
          <w:rFonts w:ascii="Arial" w:hAnsi="Arial" w:cs="Arial"/>
          <w:sz w:val="20"/>
          <w:szCs w:val="20"/>
        </w:rPr>
        <w:t>Poleg navedenega, je zaveza o prenovi plačnega sistema javnega sektorja določena tudi v koalicijski pogodbi, kjer je v Programu za delo koalicije 2022 –2026 v točki 7.Učinkovit javni servis in zdrave javne finance zapisana zaveza, da bomo v dialogu s socialnimi partnerji ob upoštevanju specifik vseh skupin zaposlenih prenovili enotni plačni sistem javnih uslužbencev in v njem odpravili vse anomalije.</w:t>
      </w:r>
    </w:p>
    <w:p w14:paraId="785942EC" w14:textId="20E581DB" w:rsidR="004226FF" w:rsidRPr="00C97145" w:rsidRDefault="004226FF" w:rsidP="004226FF">
      <w:pPr>
        <w:jc w:val="both"/>
        <w:rPr>
          <w:rFonts w:ascii="Arial" w:hAnsi="Arial" w:cs="Arial"/>
          <w:sz w:val="20"/>
          <w:szCs w:val="20"/>
        </w:rPr>
      </w:pPr>
      <w:r w:rsidRPr="00C97145">
        <w:rPr>
          <w:rFonts w:ascii="Arial" w:hAnsi="Arial" w:cs="Arial"/>
          <w:sz w:val="20"/>
          <w:szCs w:val="20"/>
        </w:rPr>
        <w:t xml:space="preserve">Izhodišča za prenovo plačnega sistema javnega sektorja so usmerjena v spremembo plačnega sistema javnega sektorja tako, da se iz veljavnega plačnega sistema ohranijo tisti njegovi elementi, ki so se izkazali za ustrezne in učinkovite ter nadgradijo z novimi rešitvami v tistih delih, kjer dosedanji sistem ne deluje ustrezno. </w:t>
      </w:r>
    </w:p>
    <w:p w14:paraId="4BAFE050" w14:textId="793F1E4B" w:rsidR="004226FF" w:rsidRPr="00C97145" w:rsidRDefault="004226FF" w:rsidP="004226FF">
      <w:pPr>
        <w:jc w:val="both"/>
        <w:rPr>
          <w:rFonts w:ascii="Arial" w:hAnsi="Arial" w:cs="Arial"/>
          <w:sz w:val="20"/>
          <w:szCs w:val="20"/>
        </w:rPr>
      </w:pPr>
      <w:r w:rsidRPr="00C97145">
        <w:rPr>
          <w:rFonts w:ascii="Arial" w:hAnsi="Arial" w:cs="Arial"/>
          <w:sz w:val="20"/>
          <w:szCs w:val="20"/>
        </w:rPr>
        <w:t>Upoštevaje dejstvo, da je javni sektor zelo raznolik in ima številne specifičnosti (npr. različen način sklepanja delovnega razmerja in posledično različen delovno pravni status zaposlenih, različen način financiranja, različna vsebina in narava dela ipd.) Vlada Republike Slovenije predlaga, da se z novim zakonom določijo skupni temelji sistema in enotno uredijo tisti deli sistema, glede katerih ni možno najti utemeljenih razlogov za razlikovanje, hkrati pa dopusti specifično urejanje elementov, glede katerih je razlikovanje utemeljeno. Zaradi navedenega bi naslov zakona, ki ureja plačni sistem javnega sektorja, bil spremenjen, in sicer bi dosedanji Zakon o sistemu plač v javnem sektorju nadomesti</w:t>
      </w:r>
      <w:r w:rsidR="00E91780" w:rsidRPr="00C97145">
        <w:rPr>
          <w:rFonts w:ascii="Arial" w:hAnsi="Arial" w:cs="Arial"/>
          <w:sz w:val="20"/>
          <w:szCs w:val="20"/>
        </w:rPr>
        <w:t>l</w:t>
      </w:r>
      <w:r w:rsidRPr="00C97145">
        <w:rPr>
          <w:rFonts w:ascii="Arial" w:hAnsi="Arial" w:cs="Arial"/>
          <w:sz w:val="20"/>
          <w:szCs w:val="20"/>
        </w:rPr>
        <w:t xml:space="preserve"> Zakon o skupnih temeljih sistema plač v javnem sektorju. </w:t>
      </w:r>
    </w:p>
    <w:p w14:paraId="70497DD7" w14:textId="77777777" w:rsidR="00CE3451" w:rsidRPr="00C97145" w:rsidRDefault="00CE3451">
      <w:pPr>
        <w:spacing w:after="160" w:line="259" w:lineRule="auto"/>
        <w:rPr>
          <w:rFonts w:ascii="Arial" w:hAnsi="Arial" w:cs="Arial"/>
          <w:sz w:val="20"/>
          <w:szCs w:val="20"/>
        </w:rPr>
      </w:pPr>
      <w:r w:rsidRPr="00C97145">
        <w:rPr>
          <w:rFonts w:ascii="Arial" w:hAnsi="Arial" w:cs="Arial"/>
          <w:sz w:val="20"/>
          <w:szCs w:val="20"/>
        </w:rPr>
        <w:br w:type="page"/>
      </w:r>
    </w:p>
    <w:p w14:paraId="095EA2DC" w14:textId="1BA3A6FA" w:rsidR="004226FF" w:rsidRPr="00C97145" w:rsidRDefault="00F96AEC" w:rsidP="00774F45">
      <w:pPr>
        <w:jc w:val="both"/>
        <w:rPr>
          <w:rFonts w:ascii="Arial" w:hAnsi="Arial" w:cs="Arial"/>
          <w:sz w:val="20"/>
          <w:szCs w:val="20"/>
        </w:rPr>
      </w:pPr>
      <w:r w:rsidRPr="00C97145">
        <w:rPr>
          <w:rFonts w:ascii="Arial" w:hAnsi="Arial" w:cs="Arial"/>
          <w:sz w:val="20"/>
          <w:szCs w:val="20"/>
        </w:rPr>
        <w:lastRenderedPageBreak/>
        <w:t xml:space="preserve">Cilji </w:t>
      </w:r>
      <w:r w:rsidR="004226FF" w:rsidRPr="00C97145">
        <w:rPr>
          <w:rFonts w:ascii="Arial" w:hAnsi="Arial" w:cs="Arial"/>
          <w:sz w:val="20"/>
          <w:szCs w:val="20"/>
        </w:rPr>
        <w:t>prenov</w:t>
      </w:r>
      <w:r w:rsidRPr="00C97145">
        <w:rPr>
          <w:rFonts w:ascii="Arial" w:hAnsi="Arial" w:cs="Arial"/>
          <w:sz w:val="20"/>
          <w:szCs w:val="20"/>
        </w:rPr>
        <w:t>e</w:t>
      </w:r>
      <w:r w:rsidR="004226FF" w:rsidRPr="00C97145">
        <w:rPr>
          <w:rFonts w:ascii="Arial" w:hAnsi="Arial" w:cs="Arial"/>
          <w:sz w:val="20"/>
          <w:szCs w:val="20"/>
        </w:rPr>
        <w:t xml:space="preserve"> plačnega sistema</w:t>
      </w:r>
      <w:r w:rsidRPr="00C97145">
        <w:rPr>
          <w:rFonts w:ascii="Arial" w:hAnsi="Arial" w:cs="Arial"/>
          <w:sz w:val="20"/>
          <w:szCs w:val="20"/>
        </w:rPr>
        <w:t xml:space="preserve"> javnega sektorja so</w:t>
      </w:r>
      <w:r w:rsidR="004226FF" w:rsidRPr="00C97145">
        <w:rPr>
          <w:rFonts w:ascii="Arial" w:hAnsi="Arial" w:cs="Arial"/>
          <w:sz w:val="20"/>
          <w:szCs w:val="20"/>
        </w:rPr>
        <w:t>:</w:t>
      </w:r>
    </w:p>
    <w:p w14:paraId="5966C6F1" w14:textId="4236E090" w:rsidR="004226FF" w:rsidRPr="00C97145" w:rsidRDefault="004226FF" w:rsidP="00774F45">
      <w:pPr>
        <w:pStyle w:val="Odstavekseznama"/>
        <w:numPr>
          <w:ilvl w:val="0"/>
          <w:numId w:val="40"/>
        </w:numPr>
        <w:spacing w:after="160" w:line="259" w:lineRule="auto"/>
        <w:rPr>
          <w:rFonts w:ascii="Arial" w:hAnsi="Arial" w:cs="Arial"/>
          <w:sz w:val="20"/>
          <w:szCs w:val="20"/>
        </w:rPr>
      </w:pPr>
      <w:r w:rsidRPr="00C97145">
        <w:rPr>
          <w:rFonts w:ascii="Arial" w:hAnsi="Arial" w:cs="Arial"/>
          <w:sz w:val="20"/>
          <w:szCs w:val="20"/>
        </w:rPr>
        <w:t>ohranitev transparentnosti in javno finančna obvladljivost plačnega sistema</w:t>
      </w:r>
      <w:r w:rsidR="00A32CB7" w:rsidRPr="00C97145">
        <w:rPr>
          <w:rFonts w:ascii="Arial" w:hAnsi="Arial" w:cs="Arial"/>
          <w:sz w:val="20"/>
          <w:szCs w:val="20"/>
        </w:rPr>
        <w:t>,</w:t>
      </w:r>
      <w:r w:rsidRPr="00C97145">
        <w:rPr>
          <w:rFonts w:ascii="Arial" w:hAnsi="Arial" w:cs="Arial"/>
          <w:sz w:val="20"/>
          <w:szCs w:val="20"/>
        </w:rPr>
        <w:t xml:space="preserve"> </w:t>
      </w:r>
    </w:p>
    <w:p w14:paraId="56EAE5EA" w14:textId="4E51C1D3" w:rsidR="004226FF" w:rsidRPr="00C97145" w:rsidRDefault="004226FF" w:rsidP="00774F45">
      <w:pPr>
        <w:pStyle w:val="Odstavekseznama"/>
        <w:numPr>
          <w:ilvl w:val="0"/>
          <w:numId w:val="40"/>
        </w:numPr>
        <w:spacing w:after="160" w:line="259" w:lineRule="auto"/>
        <w:rPr>
          <w:rFonts w:ascii="Arial" w:hAnsi="Arial" w:cs="Arial"/>
          <w:sz w:val="20"/>
          <w:szCs w:val="20"/>
        </w:rPr>
      </w:pPr>
      <w:r w:rsidRPr="00C97145">
        <w:rPr>
          <w:rFonts w:ascii="Arial" w:hAnsi="Arial" w:cs="Arial"/>
          <w:sz w:val="20"/>
          <w:szCs w:val="20"/>
        </w:rPr>
        <w:t>enotna ureditev vsebin, ki predstavljajo skupne temelje plačnega sistema</w:t>
      </w:r>
      <w:r w:rsidR="00A32CB7" w:rsidRPr="00C97145">
        <w:rPr>
          <w:rFonts w:ascii="Arial" w:hAnsi="Arial" w:cs="Arial"/>
          <w:sz w:val="20"/>
          <w:szCs w:val="20"/>
        </w:rPr>
        <w:t>,</w:t>
      </w:r>
      <w:r w:rsidRPr="00C97145">
        <w:rPr>
          <w:rFonts w:ascii="Arial" w:hAnsi="Arial" w:cs="Arial"/>
          <w:sz w:val="20"/>
          <w:szCs w:val="20"/>
        </w:rPr>
        <w:t xml:space="preserve"> </w:t>
      </w:r>
    </w:p>
    <w:p w14:paraId="0C831E19" w14:textId="3185A527" w:rsidR="004226FF" w:rsidRPr="00C97145" w:rsidRDefault="004226FF" w:rsidP="00774F45">
      <w:pPr>
        <w:pStyle w:val="Odstavekseznama"/>
        <w:numPr>
          <w:ilvl w:val="0"/>
          <w:numId w:val="40"/>
        </w:numPr>
        <w:spacing w:after="160" w:line="259" w:lineRule="auto"/>
        <w:rPr>
          <w:rFonts w:ascii="Arial" w:hAnsi="Arial" w:cs="Arial"/>
          <w:sz w:val="20"/>
          <w:szCs w:val="20"/>
        </w:rPr>
      </w:pPr>
      <w:r w:rsidRPr="00C97145">
        <w:rPr>
          <w:rFonts w:ascii="Arial" w:hAnsi="Arial" w:cs="Arial"/>
          <w:sz w:val="20"/>
          <w:szCs w:val="20"/>
        </w:rPr>
        <w:t>upoštevanje specifik posameznih delov javnega sektorja in dopustitev možnosti, da se določene vsebine uredijo ločeno po posameznih stebrih plačnega sistema</w:t>
      </w:r>
      <w:r w:rsidR="00A32CB7" w:rsidRPr="00C97145">
        <w:rPr>
          <w:rFonts w:ascii="Arial" w:hAnsi="Arial" w:cs="Arial"/>
          <w:sz w:val="20"/>
          <w:szCs w:val="20"/>
        </w:rPr>
        <w:t>,</w:t>
      </w:r>
    </w:p>
    <w:p w14:paraId="1D2661A0" w14:textId="6F1D996A" w:rsidR="004226FF" w:rsidRPr="00C97145" w:rsidRDefault="004226FF" w:rsidP="00774F45">
      <w:pPr>
        <w:pStyle w:val="Odstavekseznama"/>
        <w:numPr>
          <w:ilvl w:val="0"/>
          <w:numId w:val="40"/>
        </w:numPr>
        <w:spacing w:after="160" w:line="259" w:lineRule="auto"/>
        <w:rPr>
          <w:rFonts w:ascii="Arial" w:hAnsi="Arial" w:cs="Arial"/>
          <w:sz w:val="20"/>
          <w:szCs w:val="20"/>
        </w:rPr>
      </w:pPr>
      <w:r w:rsidRPr="00C97145">
        <w:rPr>
          <w:rFonts w:ascii="Arial" w:hAnsi="Arial" w:cs="Arial"/>
          <w:sz w:val="20"/>
          <w:szCs w:val="20"/>
        </w:rPr>
        <w:t>odprava uravnilovke v spodnjem delu plačne lestvice zaradi učinka minimalne plače in vzpostavitev ustreznejših razmerij v plačah med funkcionarji, direktorji in javnimi uslužbenci ter znotraj posameznih stebrov</w:t>
      </w:r>
      <w:r w:rsidR="00A32CB7" w:rsidRPr="00C97145">
        <w:rPr>
          <w:rFonts w:ascii="Arial" w:hAnsi="Arial" w:cs="Arial"/>
          <w:sz w:val="20"/>
          <w:szCs w:val="20"/>
        </w:rPr>
        <w:t>,</w:t>
      </w:r>
      <w:r w:rsidRPr="00C97145">
        <w:rPr>
          <w:rFonts w:ascii="Arial" w:hAnsi="Arial" w:cs="Arial"/>
          <w:sz w:val="20"/>
          <w:szCs w:val="20"/>
        </w:rPr>
        <w:t xml:space="preserve"> </w:t>
      </w:r>
    </w:p>
    <w:p w14:paraId="647C07F9" w14:textId="44D80A7C" w:rsidR="004226FF" w:rsidRPr="00C97145" w:rsidRDefault="004226FF" w:rsidP="00774F45">
      <w:pPr>
        <w:pStyle w:val="Odstavekseznama"/>
        <w:numPr>
          <w:ilvl w:val="0"/>
          <w:numId w:val="40"/>
        </w:numPr>
        <w:spacing w:after="160" w:line="259" w:lineRule="auto"/>
        <w:rPr>
          <w:rFonts w:ascii="Arial" w:hAnsi="Arial" w:cs="Arial"/>
          <w:sz w:val="20"/>
          <w:szCs w:val="20"/>
        </w:rPr>
      </w:pPr>
      <w:r w:rsidRPr="00C97145">
        <w:rPr>
          <w:rFonts w:ascii="Arial" w:hAnsi="Arial" w:cs="Arial"/>
          <w:sz w:val="20"/>
          <w:szCs w:val="20"/>
        </w:rPr>
        <w:t xml:space="preserve">večja variabilnost, povezana z učinkovitostjo </w:t>
      </w:r>
      <w:r w:rsidR="00F96AEC" w:rsidRPr="00C97145">
        <w:rPr>
          <w:rFonts w:ascii="Arial" w:hAnsi="Arial" w:cs="Arial"/>
          <w:sz w:val="20"/>
          <w:szCs w:val="20"/>
        </w:rPr>
        <w:t xml:space="preserve">dela </w:t>
      </w:r>
      <w:r w:rsidRPr="00C97145">
        <w:rPr>
          <w:rFonts w:ascii="Arial" w:hAnsi="Arial" w:cs="Arial"/>
          <w:sz w:val="20"/>
          <w:szCs w:val="20"/>
        </w:rPr>
        <w:t>(povezanost plače z rezultati dela)</w:t>
      </w:r>
      <w:r w:rsidR="00B174C2" w:rsidRPr="00C97145">
        <w:rPr>
          <w:rFonts w:ascii="Arial" w:hAnsi="Arial" w:cs="Arial"/>
          <w:sz w:val="20"/>
          <w:szCs w:val="20"/>
        </w:rPr>
        <w:t>,</w:t>
      </w:r>
    </w:p>
    <w:p w14:paraId="288B984C" w14:textId="7B8AA335" w:rsidR="00AF5122" w:rsidRPr="00C97145" w:rsidRDefault="004226FF" w:rsidP="00774F45">
      <w:pPr>
        <w:pStyle w:val="Odstavekseznama"/>
        <w:numPr>
          <w:ilvl w:val="0"/>
          <w:numId w:val="40"/>
        </w:numPr>
        <w:spacing w:after="160" w:line="259" w:lineRule="auto"/>
        <w:rPr>
          <w:rFonts w:ascii="Arial" w:hAnsi="Arial" w:cs="Arial"/>
          <w:sz w:val="20"/>
          <w:szCs w:val="20"/>
        </w:rPr>
      </w:pPr>
      <w:r w:rsidRPr="00C97145">
        <w:rPr>
          <w:rFonts w:ascii="Arial" w:hAnsi="Arial" w:cs="Arial"/>
          <w:sz w:val="20"/>
          <w:szCs w:val="20"/>
        </w:rPr>
        <w:t xml:space="preserve">večja </w:t>
      </w:r>
      <w:r w:rsidR="00AF5122" w:rsidRPr="00C97145">
        <w:rPr>
          <w:rFonts w:ascii="Arial" w:hAnsi="Arial" w:cs="Arial"/>
          <w:sz w:val="20"/>
          <w:szCs w:val="20"/>
        </w:rPr>
        <w:t>privlačnost sistema za mlade</w:t>
      </w:r>
      <w:r w:rsidR="00B174C2" w:rsidRPr="00C97145">
        <w:rPr>
          <w:rFonts w:ascii="Arial" w:hAnsi="Arial" w:cs="Arial"/>
          <w:sz w:val="20"/>
          <w:szCs w:val="20"/>
        </w:rPr>
        <w:t>,</w:t>
      </w:r>
    </w:p>
    <w:p w14:paraId="10A41E6B" w14:textId="07809630" w:rsidR="00CE3451" w:rsidRPr="00C97145" w:rsidRDefault="00CE3451" w:rsidP="00774F45">
      <w:pPr>
        <w:pStyle w:val="Odstavekseznama"/>
        <w:numPr>
          <w:ilvl w:val="0"/>
          <w:numId w:val="40"/>
        </w:numPr>
        <w:spacing w:after="160" w:line="259" w:lineRule="auto"/>
        <w:rPr>
          <w:rFonts w:ascii="Arial" w:hAnsi="Arial" w:cs="Arial"/>
          <w:sz w:val="20"/>
          <w:szCs w:val="20"/>
        </w:rPr>
      </w:pPr>
      <w:r w:rsidRPr="00C97145">
        <w:rPr>
          <w:rFonts w:ascii="Arial" w:hAnsi="Arial" w:cs="Arial"/>
          <w:sz w:val="20"/>
          <w:szCs w:val="20"/>
        </w:rPr>
        <w:t xml:space="preserve">zmanjšanje vpliva </w:t>
      </w:r>
      <w:proofErr w:type="spellStart"/>
      <w:r w:rsidRPr="00C97145">
        <w:rPr>
          <w:rFonts w:ascii="Arial" w:hAnsi="Arial" w:cs="Arial"/>
          <w:sz w:val="20"/>
          <w:szCs w:val="20"/>
        </w:rPr>
        <w:t>senioritete</w:t>
      </w:r>
      <w:proofErr w:type="spellEnd"/>
      <w:r w:rsidRPr="00C97145">
        <w:rPr>
          <w:rFonts w:ascii="Arial" w:hAnsi="Arial" w:cs="Arial"/>
          <w:sz w:val="20"/>
          <w:szCs w:val="20"/>
        </w:rPr>
        <w:t xml:space="preserve"> na višino plače</w:t>
      </w:r>
    </w:p>
    <w:p w14:paraId="4EF3B1DE" w14:textId="256DC96E" w:rsidR="00AF5122" w:rsidRPr="00C97145" w:rsidRDefault="004226FF" w:rsidP="00774F45">
      <w:pPr>
        <w:pStyle w:val="Odstavekseznama"/>
        <w:numPr>
          <w:ilvl w:val="0"/>
          <w:numId w:val="40"/>
        </w:numPr>
        <w:spacing w:after="160" w:line="259" w:lineRule="auto"/>
        <w:rPr>
          <w:rFonts w:ascii="Arial" w:hAnsi="Arial" w:cs="Arial"/>
          <w:sz w:val="20"/>
          <w:szCs w:val="20"/>
        </w:rPr>
      </w:pPr>
      <w:r w:rsidRPr="00C97145">
        <w:rPr>
          <w:rFonts w:ascii="Arial" w:hAnsi="Arial" w:cs="Arial"/>
          <w:sz w:val="20"/>
          <w:szCs w:val="20"/>
        </w:rPr>
        <w:t>odprava pravno sistemskih pomanjkljivosti, ki so se pokazale pri delovanju sedanjega plačnega sistema</w:t>
      </w:r>
      <w:r w:rsidR="00B174C2" w:rsidRPr="00C97145">
        <w:rPr>
          <w:rFonts w:ascii="Arial" w:hAnsi="Arial" w:cs="Arial"/>
          <w:sz w:val="20"/>
          <w:szCs w:val="20"/>
        </w:rPr>
        <w:t>,</w:t>
      </w:r>
    </w:p>
    <w:p w14:paraId="75FB6125" w14:textId="30848812" w:rsidR="00AF5122" w:rsidRPr="00C97145" w:rsidRDefault="00AF5122" w:rsidP="00774F45">
      <w:pPr>
        <w:pStyle w:val="Odstavekseznama"/>
        <w:numPr>
          <w:ilvl w:val="0"/>
          <w:numId w:val="40"/>
        </w:numPr>
        <w:spacing w:after="160" w:line="259" w:lineRule="auto"/>
        <w:rPr>
          <w:rFonts w:ascii="Arial" w:hAnsi="Arial" w:cs="Arial"/>
          <w:sz w:val="20"/>
          <w:szCs w:val="20"/>
        </w:rPr>
      </w:pPr>
      <w:r w:rsidRPr="00C97145">
        <w:rPr>
          <w:rFonts w:ascii="Arial" w:hAnsi="Arial" w:cs="Arial"/>
          <w:sz w:val="20"/>
          <w:szCs w:val="20"/>
        </w:rPr>
        <w:t>manj administriranja in poenostavitve sistema.</w:t>
      </w:r>
    </w:p>
    <w:p w14:paraId="1E0B96EE" w14:textId="47CABDEE" w:rsidR="004226FF" w:rsidRPr="00C97145" w:rsidRDefault="004226FF" w:rsidP="00AF5122">
      <w:pPr>
        <w:pStyle w:val="Odstavekseznama"/>
        <w:spacing w:after="160" w:line="259" w:lineRule="auto"/>
        <w:rPr>
          <w:rFonts w:ascii="Arial" w:hAnsi="Arial" w:cs="Arial"/>
          <w:sz w:val="20"/>
          <w:szCs w:val="20"/>
        </w:rPr>
      </w:pPr>
    </w:p>
    <w:p w14:paraId="3DA9F018" w14:textId="77777777" w:rsidR="004226FF" w:rsidRPr="00C97145" w:rsidRDefault="004226FF" w:rsidP="004226FF">
      <w:pPr>
        <w:jc w:val="both"/>
        <w:rPr>
          <w:rFonts w:ascii="Arial" w:hAnsi="Arial" w:cs="Arial"/>
          <w:sz w:val="20"/>
          <w:szCs w:val="20"/>
        </w:rPr>
      </w:pPr>
    </w:p>
    <w:p w14:paraId="3B6C9512" w14:textId="77777777" w:rsidR="004226FF" w:rsidRPr="00C97145" w:rsidRDefault="004226FF" w:rsidP="00E91780">
      <w:pPr>
        <w:pStyle w:val="Odstavekseznama"/>
        <w:numPr>
          <w:ilvl w:val="0"/>
          <w:numId w:val="44"/>
        </w:numPr>
        <w:spacing w:after="0" w:line="260" w:lineRule="atLeast"/>
        <w:jc w:val="both"/>
        <w:rPr>
          <w:rFonts w:ascii="Arial" w:hAnsi="Arial" w:cs="Arial"/>
          <w:b/>
          <w:bCs/>
          <w:sz w:val="20"/>
          <w:szCs w:val="20"/>
        </w:rPr>
      </w:pPr>
      <w:r w:rsidRPr="00C97145">
        <w:rPr>
          <w:rFonts w:ascii="Arial" w:hAnsi="Arial" w:cs="Arial"/>
          <w:b/>
          <w:bCs/>
          <w:sz w:val="20"/>
          <w:szCs w:val="20"/>
        </w:rPr>
        <w:t>PREDLAGANA UREDITEV</w:t>
      </w:r>
    </w:p>
    <w:p w14:paraId="5C2796D1" w14:textId="77777777" w:rsidR="00C35E7F" w:rsidRPr="00C97145" w:rsidRDefault="00C35E7F" w:rsidP="004226FF">
      <w:pPr>
        <w:jc w:val="both"/>
        <w:rPr>
          <w:rFonts w:ascii="Arial" w:hAnsi="Arial" w:cs="Arial"/>
          <w:sz w:val="20"/>
          <w:szCs w:val="20"/>
        </w:rPr>
      </w:pPr>
    </w:p>
    <w:p w14:paraId="3C524DD5" w14:textId="71802565" w:rsidR="004226FF" w:rsidRPr="00C97145" w:rsidRDefault="004226FF" w:rsidP="004226FF">
      <w:pPr>
        <w:jc w:val="both"/>
        <w:rPr>
          <w:rFonts w:ascii="Arial" w:hAnsi="Arial" w:cs="Arial"/>
          <w:sz w:val="20"/>
          <w:szCs w:val="20"/>
        </w:rPr>
      </w:pPr>
      <w:r w:rsidRPr="00C97145">
        <w:rPr>
          <w:rFonts w:ascii="Arial" w:hAnsi="Arial" w:cs="Arial"/>
          <w:sz w:val="20"/>
          <w:szCs w:val="20"/>
        </w:rPr>
        <w:t>Za uresničitev zgoraj navedenih ciljev vlada predlaga naslednje ključne rešitve:</w:t>
      </w:r>
    </w:p>
    <w:p w14:paraId="31B52007" w14:textId="77777777" w:rsidR="004226FF" w:rsidRPr="00C97145" w:rsidRDefault="004226FF" w:rsidP="00A46986">
      <w:pPr>
        <w:pStyle w:val="Odstavekseznama"/>
        <w:numPr>
          <w:ilvl w:val="0"/>
          <w:numId w:val="13"/>
        </w:numPr>
        <w:shd w:val="clear" w:color="auto" w:fill="FFFFFF"/>
        <w:spacing w:after="0" w:line="240" w:lineRule="auto"/>
        <w:jc w:val="both"/>
        <w:rPr>
          <w:rFonts w:ascii="Arial" w:hAnsi="Arial" w:cs="Arial"/>
          <w:b/>
          <w:bCs/>
          <w:sz w:val="20"/>
          <w:szCs w:val="20"/>
          <w:lang w:eastAsia="sl-SI"/>
        </w:rPr>
      </w:pPr>
      <w:r w:rsidRPr="00C97145">
        <w:rPr>
          <w:rFonts w:ascii="Arial" w:hAnsi="Arial" w:cs="Arial"/>
          <w:b/>
          <w:bCs/>
          <w:sz w:val="20"/>
          <w:szCs w:val="20"/>
        </w:rPr>
        <w:t>NASLOV ZAKONA:</w:t>
      </w:r>
      <w:r w:rsidRPr="00C97145">
        <w:rPr>
          <w:rFonts w:ascii="Arial" w:hAnsi="Arial" w:cs="Arial"/>
          <w:sz w:val="20"/>
          <w:szCs w:val="20"/>
        </w:rPr>
        <w:t xml:space="preserve"> </w:t>
      </w:r>
      <w:bookmarkStart w:id="0" w:name="_Hlk62825600"/>
      <w:r w:rsidRPr="00C97145">
        <w:rPr>
          <w:rFonts w:ascii="Arial" w:hAnsi="Arial" w:cs="Arial"/>
          <w:sz w:val="20"/>
          <w:szCs w:val="20"/>
          <w:lang w:eastAsia="sl-SI"/>
        </w:rPr>
        <w:t xml:space="preserve">Zakon </w:t>
      </w:r>
      <w:r w:rsidRPr="00C97145">
        <w:rPr>
          <w:rFonts w:ascii="Arial" w:hAnsi="Arial" w:cs="Arial"/>
          <w:b/>
          <w:bCs/>
          <w:sz w:val="20"/>
          <w:szCs w:val="20"/>
          <w:lang w:eastAsia="sl-SI"/>
        </w:rPr>
        <w:t>o  skupnih temeljih sistema</w:t>
      </w:r>
      <w:r w:rsidRPr="00C97145">
        <w:rPr>
          <w:rFonts w:ascii="Arial" w:hAnsi="Arial" w:cs="Arial"/>
          <w:sz w:val="20"/>
          <w:szCs w:val="20"/>
          <w:lang w:eastAsia="sl-SI"/>
        </w:rPr>
        <w:t xml:space="preserve"> plač v javnem sektorju </w:t>
      </w:r>
    </w:p>
    <w:bookmarkEnd w:id="0"/>
    <w:p w14:paraId="0C9A6C3C" w14:textId="77777777" w:rsidR="004226FF" w:rsidRPr="00C97145" w:rsidRDefault="004226FF" w:rsidP="004226FF">
      <w:pPr>
        <w:pStyle w:val="Odstavekseznama"/>
        <w:rPr>
          <w:rFonts w:ascii="Arial" w:hAnsi="Arial" w:cs="Arial"/>
          <w:sz w:val="20"/>
          <w:szCs w:val="20"/>
        </w:rPr>
      </w:pPr>
    </w:p>
    <w:p w14:paraId="1B36FC69" w14:textId="77777777" w:rsidR="004226FF" w:rsidRPr="00C97145" w:rsidRDefault="004226FF" w:rsidP="00A46986">
      <w:pPr>
        <w:pStyle w:val="Odstavekseznama"/>
        <w:numPr>
          <w:ilvl w:val="0"/>
          <w:numId w:val="13"/>
        </w:numPr>
        <w:spacing w:after="160" w:line="259" w:lineRule="auto"/>
        <w:rPr>
          <w:rFonts w:ascii="Arial" w:hAnsi="Arial" w:cs="Arial"/>
          <w:b/>
          <w:bCs/>
          <w:sz w:val="20"/>
          <w:szCs w:val="20"/>
        </w:rPr>
      </w:pPr>
      <w:r w:rsidRPr="00C97145">
        <w:rPr>
          <w:rFonts w:ascii="Arial" w:hAnsi="Arial" w:cs="Arial"/>
          <w:b/>
          <w:bCs/>
          <w:sz w:val="20"/>
          <w:szCs w:val="20"/>
        </w:rPr>
        <w:t xml:space="preserve">SKUPNI TEMELJI PLAČNEGA SISTEMA: </w:t>
      </w:r>
      <w:r w:rsidRPr="00C97145">
        <w:rPr>
          <w:rFonts w:ascii="Arial" w:hAnsi="Arial" w:cs="Arial"/>
          <w:sz w:val="20"/>
          <w:szCs w:val="20"/>
        </w:rPr>
        <w:t xml:space="preserve">določbe, ki veljajo za vse </w:t>
      </w:r>
    </w:p>
    <w:p w14:paraId="277E0DFB" w14:textId="77777777" w:rsidR="004226FF" w:rsidRPr="00C97145" w:rsidRDefault="004226FF" w:rsidP="004226FF">
      <w:pPr>
        <w:pStyle w:val="Odstavekseznama"/>
        <w:ind w:left="1080"/>
        <w:jc w:val="both"/>
        <w:rPr>
          <w:rFonts w:ascii="Arial" w:hAnsi="Arial" w:cs="Arial"/>
          <w:sz w:val="20"/>
          <w:szCs w:val="20"/>
        </w:rPr>
      </w:pPr>
    </w:p>
    <w:p w14:paraId="29EB14C0" w14:textId="77777777" w:rsidR="004226FF" w:rsidRPr="00C97145" w:rsidRDefault="004226FF" w:rsidP="00A46986">
      <w:pPr>
        <w:pStyle w:val="Odstavekseznama"/>
        <w:numPr>
          <w:ilvl w:val="1"/>
          <w:numId w:val="13"/>
        </w:numPr>
        <w:spacing w:after="160" w:line="259" w:lineRule="auto"/>
        <w:jc w:val="both"/>
        <w:rPr>
          <w:rFonts w:ascii="Arial" w:hAnsi="Arial" w:cs="Arial"/>
          <w:b/>
          <w:bCs/>
          <w:sz w:val="20"/>
          <w:szCs w:val="20"/>
          <w:u w:val="single"/>
        </w:rPr>
      </w:pPr>
      <w:r w:rsidRPr="00C97145">
        <w:rPr>
          <w:rFonts w:ascii="Arial" w:hAnsi="Arial" w:cs="Arial"/>
          <w:b/>
          <w:bCs/>
          <w:sz w:val="20"/>
          <w:szCs w:val="20"/>
          <w:u w:val="single"/>
        </w:rPr>
        <w:t>Sestava plače</w:t>
      </w:r>
    </w:p>
    <w:p w14:paraId="3A87D6ED" w14:textId="77777777" w:rsidR="004226FF" w:rsidRPr="00C97145" w:rsidRDefault="004226FF" w:rsidP="00A46986">
      <w:pPr>
        <w:pStyle w:val="Odstavekseznama"/>
        <w:numPr>
          <w:ilvl w:val="0"/>
          <w:numId w:val="15"/>
        </w:numPr>
        <w:spacing w:after="160" w:line="259" w:lineRule="auto"/>
        <w:jc w:val="both"/>
        <w:rPr>
          <w:rFonts w:ascii="Arial" w:hAnsi="Arial" w:cs="Arial"/>
          <w:sz w:val="20"/>
          <w:szCs w:val="20"/>
        </w:rPr>
      </w:pPr>
      <w:r w:rsidRPr="00C97145">
        <w:rPr>
          <w:rFonts w:ascii="Arial" w:hAnsi="Arial" w:cs="Arial"/>
          <w:sz w:val="20"/>
          <w:szCs w:val="20"/>
        </w:rPr>
        <w:t xml:space="preserve">osnovna plača </w:t>
      </w:r>
    </w:p>
    <w:p w14:paraId="084D1F63" w14:textId="77777777" w:rsidR="004226FF" w:rsidRPr="00C97145" w:rsidRDefault="004226FF" w:rsidP="00A46986">
      <w:pPr>
        <w:pStyle w:val="Odstavekseznama"/>
        <w:numPr>
          <w:ilvl w:val="0"/>
          <w:numId w:val="15"/>
        </w:numPr>
        <w:spacing w:after="160" w:line="259" w:lineRule="auto"/>
        <w:jc w:val="both"/>
        <w:rPr>
          <w:rFonts w:ascii="Arial" w:hAnsi="Arial" w:cs="Arial"/>
          <w:sz w:val="20"/>
          <w:szCs w:val="20"/>
        </w:rPr>
      </w:pPr>
      <w:r w:rsidRPr="00C97145">
        <w:rPr>
          <w:rFonts w:ascii="Arial" w:hAnsi="Arial" w:cs="Arial"/>
          <w:sz w:val="20"/>
          <w:szCs w:val="20"/>
        </w:rPr>
        <w:t xml:space="preserve">dodatki </w:t>
      </w:r>
    </w:p>
    <w:p w14:paraId="11B9D1EA" w14:textId="704A8C6D" w:rsidR="004226FF" w:rsidRPr="00C97145" w:rsidRDefault="004226FF" w:rsidP="00A46986">
      <w:pPr>
        <w:pStyle w:val="Odstavekseznama"/>
        <w:numPr>
          <w:ilvl w:val="0"/>
          <w:numId w:val="15"/>
        </w:numPr>
        <w:spacing w:after="160" w:line="259" w:lineRule="auto"/>
        <w:jc w:val="both"/>
        <w:rPr>
          <w:rFonts w:ascii="Arial" w:hAnsi="Arial" w:cs="Arial"/>
          <w:sz w:val="20"/>
          <w:szCs w:val="20"/>
        </w:rPr>
      </w:pPr>
      <w:r w:rsidRPr="00C97145">
        <w:rPr>
          <w:rFonts w:ascii="Arial" w:hAnsi="Arial" w:cs="Arial"/>
          <w:sz w:val="20"/>
          <w:szCs w:val="20"/>
        </w:rPr>
        <w:t xml:space="preserve">delovna uspešnost </w:t>
      </w:r>
    </w:p>
    <w:p w14:paraId="76FA1D44" w14:textId="77777777" w:rsidR="009224F5" w:rsidRPr="00C97145" w:rsidRDefault="009224F5" w:rsidP="009224F5">
      <w:pPr>
        <w:pStyle w:val="Odstavekseznama"/>
        <w:spacing w:after="160" w:line="259" w:lineRule="auto"/>
        <w:jc w:val="both"/>
        <w:rPr>
          <w:rFonts w:ascii="Arial" w:hAnsi="Arial" w:cs="Arial"/>
          <w:sz w:val="20"/>
          <w:szCs w:val="20"/>
        </w:rPr>
      </w:pPr>
    </w:p>
    <w:p w14:paraId="146C609D" w14:textId="77777777" w:rsidR="004226FF" w:rsidRPr="00C97145" w:rsidRDefault="004226FF" w:rsidP="00A46986">
      <w:pPr>
        <w:pStyle w:val="Odstavekseznama"/>
        <w:numPr>
          <w:ilvl w:val="1"/>
          <w:numId w:val="13"/>
        </w:numPr>
        <w:spacing w:after="160" w:line="259" w:lineRule="auto"/>
        <w:jc w:val="both"/>
        <w:rPr>
          <w:rFonts w:ascii="Arial" w:hAnsi="Arial" w:cs="Arial"/>
          <w:b/>
          <w:bCs/>
          <w:sz w:val="20"/>
          <w:szCs w:val="20"/>
          <w:u w:val="single"/>
        </w:rPr>
      </w:pPr>
      <w:r w:rsidRPr="00C97145">
        <w:rPr>
          <w:rFonts w:ascii="Arial" w:hAnsi="Arial" w:cs="Arial"/>
          <w:b/>
          <w:bCs/>
          <w:sz w:val="20"/>
          <w:szCs w:val="20"/>
          <w:u w:val="single"/>
        </w:rPr>
        <w:t>Plačna lestvica</w:t>
      </w:r>
    </w:p>
    <w:p w14:paraId="1CC317E4" w14:textId="714BE8A8" w:rsidR="004226FF" w:rsidRPr="00C97145" w:rsidRDefault="004226FF" w:rsidP="00A46986">
      <w:pPr>
        <w:pStyle w:val="Odstavekseznama"/>
        <w:numPr>
          <w:ilvl w:val="0"/>
          <w:numId w:val="16"/>
        </w:numPr>
        <w:spacing w:after="160" w:line="259" w:lineRule="auto"/>
        <w:jc w:val="both"/>
        <w:rPr>
          <w:rFonts w:ascii="Arial" w:hAnsi="Arial" w:cs="Arial"/>
          <w:sz w:val="20"/>
          <w:szCs w:val="20"/>
        </w:rPr>
      </w:pPr>
      <w:r w:rsidRPr="00C97145">
        <w:rPr>
          <w:rFonts w:ascii="Arial" w:hAnsi="Arial" w:cs="Arial"/>
          <w:sz w:val="20"/>
          <w:szCs w:val="20"/>
        </w:rPr>
        <w:t>6</w:t>
      </w:r>
      <w:r w:rsidR="00996B34">
        <w:rPr>
          <w:rFonts w:ascii="Arial" w:hAnsi="Arial" w:cs="Arial"/>
          <w:sz w:val="20"/>
          <w:szCs w:val="20"/>
        </w:rPr>
        <w:t>7</w:t>
      </w:r>
      <w:r w:rsidRPr="00C97145">
        <w:rPr>
          <w:rFonts w:ascii="Arial" w:hAnsi="Arial" w:cs="Arial"/>
          <w:sz w:val="20"/>
          <w:szCs w:val="20"/>
        </w:rPr>
        <w:t xml:space="preserve"> plačnih razredov</w:t>
      </w:r>
      <w:r w:rsidR="00D960A9" w:rsidRPr="00C97145">
        <w:rPr>
          <w:rFonts w:ascii="Arial" w:hAnsi="Arial" w:cs="Arial"/>
          <w:sz w:val="20"/>
          <w:szCs w:val="20"/>
        </w:rPr>
        <w:t>,</w:t>
      </w:r>
      <w:r w:rsidRPr="00C97145">
        <w:rPr>
          <w:rFonts w:ascii="Arial" w:hAnsi="Arial" w:cs="Arial"/>
          <w:sz w:val="20"/>
          <w:szCs w:val="20"/>
        </w:rPr>
        <w:t xml:space="preserve"> </w:t>
      </w:r>
    </w:p>
    <w:p w14:paraId="037849CB" w14:textId="252D8A45" w:rsidR="004226FF" w:rsidRPr="00C97145" w:rsidRDefault="004226FF" w:rsidP="00A46986">
      <w:pPr>
        <w:pStyle w:val="Odstavekseznama"/>
        <w:numPr>
          <w:ilvl w:val="0"/>
          <w:numId w:val="16"/>
        </w:numPr>
        <w:spacing w:after="160" w:line="259" w:lineRule="auto"/>
        <w:jc w:val="both"/>
        <w:rPr>
          <w:rFonts w:ascii="Arial" w:hAnsi="Arial" w:cs="Arial"/>
          <w:sz w:val="20"/>
          <w:szCs w:val="20"/>
        </w:rPr>
      </w:pPr>
      <w:r w:rsidRPr="00C97145">
        <w:rPr>
          <w:rFonts w:ascii="Arial" w:hAnsi="Arial" w:cs="Arial"/>
          <w:sz w:val="20"/>
          <w:szCs w:val="20"/>
        </w:rPr>
        <w:t xml:space="preserve">razpon med plačnimi razredi znaša 3 </w:t>
      </w:r>
      <w:r w:rsidR="00B560C2" w:rsidRPr="00C97145">
        <w:rPr>
          <w:rFonts w:ascii="Arial" w:hAnsi="Arial" w:cs="Arial"/>
          <w:sz w:val="20"/>
          <w:szCs w:val="20"/>
        </w:rPr>
        <w:t>odstotke</w:t>
      </w:r>
      <w:r w:rsidR="00D960A9" w:rsidRPr="00C97145">
        <w:rPr>
          <w:rFonts w:ascii="Arial" w:hAnsi="Arial" w:cs="Arial"/>
          <w:sz w:val="20"/>
          <w:szCs w:val="20"/>
        </w:rPr>
        <w:t>,</w:t>
      </w:r>
    </w:p>
    <w:p w14:paraId="38B39A8F" w14:textId="1C8CF378" w:rsidR="004226FF" w:rsidRPr="00C97145" w:rsidRDefault="004226FF" w:rsidP="00A46986">
      <w:pPr>
        <w:pStyle w:val="Odstavekseznama"/>
        <w:numPr>
          <w:ilvl w:val="0"/>
          <w:numId w:val="16"/>
        </w:numPr>
        <w:spacing w:after="160" w:line="259" w:lineRule="auto"/>
        <w:jc w:val="both"/>
        <w:rPr>
          <w:rFonts w:ascii="Arial" w:hAnsi="Arial" w:cs="Arial"/>
          <w:sz w:val="20"/>
          <w:szCs w:val="20"/>
        </w:rPr>
      </w:pPr>
      <w:r w:rsidRPr="00C97145">
        <w:rPr>
          <w:rFonts w:ascii="Arial" w:hAnsi="Arial" w:cs="Arial"/>
          <w:sz w:val="20"/>
          <w:szCs w:val="20"/>
        </w:rPr>
        <w:t>plačni razredi se določijo</w:t>
      </w:r>
      <w:r w:rsidR="00996B34">
        <w:rPr>
          <w:rFonts w:ascii="Arial" w:hAnsi="Arial" w:cs="Arial"/>
          <w:sz w:val="20"/>
          <w:szCs w:val="20"/>
        </w:rPr>
        <w:t xml:space="preserve"> v nominalni vrednosti</w:t>
      </w:r>
      <w:r w:rsidRPr="00C97145">
        <w:rPr>
          <w:rFonts w:ascii="Arial" w:hAnsi="Arial" w:cs="Arial"/>
          <w:sz w:val="20"/>
          <w:szCs w:val="20"/>
        </w:rPr>
        <w:t xml:space="preserve">, vrednost plačnih razredov se </w:t>
      </w:r>
      <w:r w:rsidR="00996B34">
        <w:rPr>
          <w:rFonts w:ascii="Arial" w:hAnsi="Arial" w:cs="Arial"/>
          <w:sz w:val="20"/>
          <w:szCs w:val="20"/>
        </w:rPr>
        <w:t>usklajuje enkrat letno, način usklajevanja se določi z zakonom</w:t>
      </w:r>
      <w:r w:rsidR="00D960A9" w:rsidRPr="00C97145">
        <w:rPr>
          <w:rFonts w:ascii="Arial" w:hAnsi="Arial" w:cs="Arial"/>
          <w:sz w:val="20"/>
          <w:szCs w:val="20"/>
        </w:rPr>
        <w:t>,</w:t>
      </w:r>
    </w:p>
    <w:p w14:paraId="5D3D210F" w14:textId="4DFE1725" w:rsidR="004226FF" w:rsidRPr="00C97145" w:rsidRDefault="004226FF" w:rsidP="00A46986">
      <w:pPr>
        <w:pStyle w:val="Odstavekseznama"/>
        <w:numPr>
          <w:ilvl w:val="0"/>
          <w:numId w:val="16"/>
        </w:numPr>
        <w:spacing w:after="160" w:line="259" w:lineRule="auto"/>
        <w:jc w:val="both"/>
        <w:rPr>
          <w:rFonts w:ascii="Arial" w:hAnsi="Arial" w:cs="Arial"/>
          <w:sz w:val="20"/>
          <w:szCs w:val="20"/>
        </w:rPr>
      </w:pPr>
      <w:r w:rsidRPr="00C97145">
        <w:rPr>
          <w:rFonts w:ascii="Arial" w:hAnsi="Arial" w:cs="Arial"/>
          <w:sz w:val="20"/>
          <w:szCs w:val="20"/>
        </w:rPr>
        <w:t xml:space="preserve">1. plačni razred </w:t>
      </w:r>
      <w:r w:rsidR="00996B34">
        <w:rPr>
          <w:rFonts w:ascii="Arial" w:hAnsi="Arial" w:cs="Arial"/>
          <w:sz w:val="20"/>
          <w:szCs w:val="20"/>
        </w:rPr>
        <w:t xml:space="preserve">se določi v višini minimalne </w:t>
      </w:r>
      <w:r w:rsidRPr="00C97145">
        <w:rPr>
          <w:rFonts w:ascii="Arial" w:hAnsi="Arial" w:cs="Arial"/>
          <w:sz w:val="20"/>
          <w:szCs w:val="20"/>
        </w:rPr>
        <w:t xml:space="preserve"> plače v </w:t>
      </w:r>
      <w:r w:rsidR="00996B34">
        <w:rPr>
          <w:rFonts w:ascii="Arial" w:hAnsi="Arial" w:cs="Arial"/>
          <w:sz w:val="20"/>
          <w:szCs w:val="20"/>
        </w:rPr>
        <w:t>januarju 2023</w:t>
      </w:r>
      <w:r w:rsidR="00D960A9" w:rsidRPr="00C97145">
        <w:rPr>
          <w:rFonts w:ascii="Arial" w:hAnsi="Arial" w:cs="Arial"/>
          <w:sz w:val="20"/>
          <w:szCs w:val="20"/>
        </w:rPr>
        <w:t>,</w:t>
      </w:r>
      <w:r w:rsidRPr="00C97145">
        <w:rPr>
          <w:rFonts w:ascii="Arial" w:hAnsi="Arial" w:cs="Arial"/>
          <w:sz w:val="20"/>
          <w:szCs w:val="20"/>
        </w:rPr>
        <w:t xml:space="preserve"> </w:t>
      </w:r>
    </w:p>
    <w:p w14:paraId="7C9D3993" w14:textId="190B28FE" w:rsidR="00996B34" w:rsidRPr="00CF6953" w:rsidRDefault="004226FF" w:rsidP="00996B34">
      <w:pPr>
        <w:pStyle w:val="Odstavekseznama"/>
        <w:numPr>
          <w:ilvl w:val="0"/>
          <w:numId w:val="49"/>
        </w:numPr>
        <w:spacing w:after="0" w:line="240" w:lineRule="auto"/>
        <w:contextualSpacing w:val="0"/>
        <w:rPr>
          <w:rFonts w:eastAsia="Times New Roman"/>
        </w:rPr>
      </w:pPr>
      <w:r w:rsidRPr="00C97145">
        <w:rPr>
          <w:rFonts w:ascii="Arial" w:hAnsi="Arial" w:cs="Arial"/>
          <w:sz w:val="20"/>
          <w:szCs w:val="20"/>
        </w:rPr>
        <w:t xml:space="preserve">izvede se prevedba plače iz sedanjih plačnih razredov na nove plačne razrede po novi plačni lestvici </w:t>
      </w:r>
      <w:r w:rsidR="00996B34">
        <w:rPr>
          <w:rFonts w:ascii="Arial" w:hAnsi="Arial" w:cs="Arial"/>
          <w:sz w:val="20"/>
          <w:szCs w:val="20"/>
        </w:rPr>
        <w:t>na  način, da se delovna mesta, ki so s 1.4.2023 uvrščena v:</w:t>
      </w:r>
    </w:p>
    <w:p w14:paraId="43AB5BFC" w14:textId="7CF5A382" w:rsidR="00996B34" w:rsidRDefault="004226FF" w:rsidP="00CF6953">
      <w:pPr>
        <w:pStyle w:val="Odstavekseznama"/>
        <w:numPr>
          <w:ilvl w:val="1"/>
          <w:numId w:val="49"/>
        </w:numPr>
        <w:spacing w:after="0" w:line="240" w:lineRule="auto"/>
        <w:contextualSpacing w:val="0"/>
        <w:rPr>
          <w:rFonts w:eastAsia="Times New Roman"/>
        </w:rPr>
      </w:pPr>
      <w:r w:rsidRPr="00C97145">
        <w:rPr>
          <w:rFonts w:ascii="Arial" w:hAnsi="Arial" w:cs="Arial"/>
          <w:sz w:val="20"/>
          <w:szCs w:val="20"/>
        </w:rPr>
        <w:t>12</w:t>
      </w:r>
      <w:r w:rsidR="00996B34">
        <w:rPr>
          <w:rFonts w:ascii="Arial" w:hAnsi="Arial" w:cs="Arial"/>
          <w:sz w:val="20"/>
          <w:szCs w:val="20"/>
        </w:rPr>
        <w:t>, 13. in 14</w:t>
      </w:r>
      <w:r w:rsidRPr="00C97145">
        <w:rPr>
          <w:rFonts w:ascii="Arial" w:hAnsi="Arial" w:cs="Arial"/>
          <w:sz w:val="20"/>
          <w:szCs w:val="20"/>
        </w:rPr>
        <w:t xml:space="preserve">. plačni razred, </w:t>
      </w:r>
      <w:r w:rsidR="00996B34">
        <w:rPr>
          <w:rFonts w:ascii="Arial" w:hAnsi="Arial" w:cs="Arial"/>
          <w:sz w:val="20"/>
          <w:szCs w:val="20"/>
        </w:rPr>
        <w:t>prevedejo</w:t>
      </w:r>
      <w:r w:rsidRPr="00C97145">
        <w:rPr>
          <w:rFonts w:ascii="Arial" w:hAnsi="Arial" w:cs="Arial"/>
          <w:sz w:val="20"/>
          <w:szCs w:val="20"/>
        </w:rPr>
        <w:t xml:space="preserve"> v 1. plačni razred, </w:t>
      </w:r>
    </w:p>
    <w:p w14:paraId="236E4B3E" w14:textId="1AC6FACC" w:rsidR="00996B34" w:rsidRDefault="00996B34" w:rsidP="00CF6953">
      <w:pPr>
        <w:pStyle w:val="Odstavekseznama"/>
        <w:numPr>
          <w:ilvl w:val="1"/>
          <w:numId w:val="49"/>
        </w:numPr>
        <w:spacing w:after="0" w:line="240" w:lineRule="auto"/>
        <w:contextualSpacing w:val="0"/>
        <w:rPr>
          <w:rFonts w:eastAsia="Times New Roman"/>
        </w:rPr>
      </w:pPr>
      <w:r>
        <w:rPr>
          <w:rFonts w:eastAsia="Times New Roman"/>
        </w:rPr>
        <w:t>15., 16. in 17 PR  se prevedejo v 2. PR</w:t>
      </w:r>
    </w:p>
    <w:p w14:paraId="59494BE9" w14:textId="77777777" w:rsidR="00996B34" w:rsidRDefault="00996B34" w:rsidP="00CF6953">
      <w:pPr>
        <w:pStyle w:val="Odstavekseznama"/>
        <w:numPr>
          <w:ilvl w:val="1"/>
          <w:numId w:val="49"/>
        </w:numPr>
        <w:spacing w:after="0" w:line="240" w:lineRule="auto"/>
        <w:contextualSpacing w:val="0"/>
        <w:rPr>
          <w:rFonts w:eastAsia="Times New Roman"/>
        </w:rPr>
      </w:pPr>
      <w:r>
        <w:rPr>
          <w:rFonts w:eastAsia="Times New Roman"/>
        </w:rPr>
        <w:t>18. in 19. PR se prevedeta v 3. PR</w:t>
      </w:r>
    </w:p>
    <w:p w14:paraId="6BF200EF" w14:textId="77777777" w:rsidR="00996B34" w:rsidRDefault="00996B34" w:rsidP="00CF6953">
      <w:pPr>
        <w:pStyle w:val="Odstavekseznama"/>
        <w:numPr>
          <w:ilvl w:val="1"/>
          <w:numId w:val="49"/>
        </w:numPr>
        <w:spacing w:after="0" w:line="240" w:lineRule="auto"/>
        <w:contextualSpacing w:val="0"/>
        <w:rPr>
          <w:rFonts w:eastAsia="Times New Roman"/>
        </w:rPr>
      </w:pPr>
      <w:r>
        <w:rPr>
          <w:rFonts w:eastAsia="Times New Roman"/>
        </w:rPr>
        <w:t>20 in 21. PR se prevedeta v 4. PR</w:t>
      </w:r>
    </w:p>
    <w:p w14:paraId="3E1AC21E" w14:textId="77777777" w:rsidR="00996B34" w:rsidRDefault="00996B34" w:rsidP="00CF6953">
      <w:pPr>
        <w:pStyle w:val="Odstavekseznama"/>
        <w:numPr>
          <w:ilvl w:val="1"/>
          <w:numId w:val="49"/>
        </w:numPr>
        <w:spacing w:after="0" w:line="240" w:lineRule="auto"/>
        <w:contextualSpacing w:val="0"/>
        <w:rPr>
          <w:rFonts w:eastAsia="Times New Roman"/>
        </w:rPr>
      </w:pPr>
      <w:r>
        <w:rPr>
          <w:rFonts w:eastAsia="Times New Roman"/>
        </w:rPr>
        <w:t>22. in 23. PR se prevedeta v 5. PR</w:t>
      </w:r>
    </w:p>
    <w:p w14:paraId="2395C4F4" w14:textId="2B9CD964" w:rsidR="00996B34" w:rsidRDefault="00996B34" w:rsidP="00CF6953">
      <w:pPr>
        <w:pStyle w:val="Odstavekseznama"/>
        <w:numPr>
          <w:ilvl w:val="1"/>
          <w:numId w:val="49"/>
        </w:numPr>
        <w:spacing w:after="0" w:line="240" w:lineRule="auto"/>
        <w:contextualSpacing w:val="0"/>
        <w:rPr>
          <w:rFonts w:eastAsia="Times New Roman"/>
        </w:rPr>
      </w:pPr>
      <w:r>
        <w:rPr>
          <w:rFonts w:eastAsia="Times New Roman"/>
        </w:rPr>
        <w:t>24. do 42. PR se prevedejo v naslednji po vrsti (24. v 6., 25. v 7.</w:t>
      </w:r>
      <w:r w:rsidR="009555F5">
        <w:rPr>
          <w:rFonts w:eastAsia="Times New Roman"/>
        </w:rPr>
        <w:t>,</w:t>
      </w:r>
      <w:r w:rsidR="006505C8">
        <w:rPr>
          <w:rFonts w:eastAsia="Times New Roman"/>
        </w:rPr>
        <w:t xml:space="preserve"> </w:t>
      </w:r>
      <w:proofErr w:type="spellStart"/>
      <w:r w:rsidR="006505C8">
        <w:rPr>
          <w:rFonts w:eastAsia="Times New Roman"/>
        </w:rPr>
        <w:t>itd</w:t>
      </w:r>
      <w:proofErr w:type="spellEnd"/>
      <w:r>
        <w:rPr>
          <w:rFonts w:eastAsia="Times New Roman"/>
        </w:rPr>
        <w:t>)</w:t>
      </w:r>
    </w:p>
    <w:p w14:paraId="43B18621" w14:textId="6D2EE3FB" w:rsidR="00996B34" w:rsidRDefault="00996B34" w:rsidP="00CF6953">
      <w:pPr>
        <w:pStyle w:val="Odstavekseznama"/>
        <w:numPr>
          <w:ilvl w:val="1"/>
          <w:numId w:val="49"/>
        </w:numPr>
        <w:spacing w:after="0" w:line="240" w:lineRule="auto"/>
        <w:contextualSpacing w:val="0"/>
        <w:rPr>
          <w:rFonts w:eastAsia="Times New Roman"/>
        </w:rPr>
      </w:pPr>
      <w:r>
        <w:rPr>
          <w:rFonts w:eastAsia="Times New Roman"/>
        </w:rPr>
        <w:t>43. do 66. PR se prevedejo v prvi po vrednosti višji PR nove lestvice.</w:t>
      </w:r>
    </w:p>
    <w:p w14:paraId="0D2A36BC" w14:textId="549C5DB7" w:rsidR="004226FF" w:rsidRPr="00C97145" w:rsidRDefault="004226FF" w:rsidP="00A46986">
      <w:pPr>
        <w:pStyle w:val="Odstavekseznama"/>
        <w:numPr>
          <w:ilvl w:val="0"/>
          <w:numId w:val="16"/>
        </w:numPr>
        <w:spacing w:after="160" w:line="259" w:lineRule="auto"/>
        <w:jc w:val="both"/>
        <w:rPr>
          <w:rFonts w:ascii="Arial" w:hAnsi="Arial" w:cs="Arial"/>
          <w:sz w:val="20"/>
          <w:szCs w:val="20"/>
        </w:rPr>
      </w:pPr>
      <w:r w:rsidRPr="00C97145">
        <w:rPr>
          <w:rFonts w:ascii="Arial" w:hAnsi="Arial" w:cs="Arial"/>
          <w:sz w:val="20"/>
          <w:szCs w:val="20"/>
        </w:rPr>
        <w:t>s tem bi se izhodiščne osnovne plače povišale za vsa delovna mesta, bistveno bolj v spodnjem delu plačne lestvice</w:t>
      </w:r>
      <w:r w:rsidR="00D960A9" w:rsidRPr="00C97145">
        <w:rPr>
          <w:rFonts w:ascii="Arial" w:hAnsi="Arial" w:cs="Arial"/>
          <w:sz w:val="20"/>
          <w:szCs w:val="20"/>
        </w:rPr>
        <w:t>,</w:t>
      </w:r>
    </w:p>
    <w:p w14:paraId="27828E8F" w14:textId="5427F4E0" w:rsidR="004226FF" w:rsidRPr="00C97145" w:rsidRDefault="004226FF" w:rsidP="00A46986">
      <w:pPr>
        <w:pStyle w:val="Odstavekseznama"/>
        <w:numPr>
          <w:ilvl w:val="0"/>
          <w:numId w:val="16"/>
        </w:numPr>
        <w:spacing w:after="160" w:line="259" w:lineRule="auto"/>
        <w:jc w:val="both"/>
        <w:rPr>
          <w:rFonts w:ascii="Arial" w:hAnsi="Arial" w:cs="Arial"/>
          <w:sz w:val="20"/>
          <w:szCs w:val="20"/>
        </w:rPr>
      </w:pPr>
      <w:r w:rsidRPr="00C97145">
        <w:rPr>
          <w:rFonts w:ascii="Arial" w:hAnsi="Arial" w:cs="Arial"/>
          <w:sz w:val="20"/>
          <w:szCs w:val="20"/>
        </w:rPr>
        <w:t>uvedba kategorije varovane plače za tiste, ki so napredovali v najvišje plačne razrede in bi zaradi znižanega razpona med plačnimi razredi plačne lestvice imeli nižjo plačo</w:t>
      </w:r>
      <w:r w:rsidR="005B487C" w:rsidRPr="00C97145">
        <w:rPr>
          <w:rFonts w:ascii="Arial" w:hAnsi="Arial" w:cs="Arial"/>
          <w:sz w:val="20"/>
          <w:szCs w:val="20"/>
        </w:rPr>
        <w:t>;</w:t>
      </w:r>
    </w:p>
    <w:p w14:paraId="071E167E" w14:textId="56E48B09" w:rsidR="005B487C" w:rsidRPr="00C97145" w:rsidRDefault="005B487C" w:rsidP="00A46986">
      <w:pPr>
        <w:pStyle w:val="Odstavekseznama"/>
        <w:numPr>
          <w:ilvl w:val="0"/>
          <w:numId w:val="16"/>
        </w:numPr>
        <w:spacing w:after="160" w:line="259" w:lineRule="auto"/>
        <w:jc w:val="both"/>
        <w:rPr>
          <w:rFonts w:ascii="Arial" w:hAnsi="Arial" w:cs="Arial"/>
          <w:sz w:val="20"/>
          <w:szCs w:val="20"/>
        </w:rPr>
      </w:pPr>
      <w:r w:rsidRPr="00C97145">
        <w:rPr>
          <w:rFonts w:ascii="Arial" w:hAnsi="Arial" w:cs="Arial"/>
          <w:sz w:val="20"/>
          <w:szCs w:val="20"/>
        </w:rPr>
        <w:t>nova plačna lestvica in način izvedbe prevedbe sta razvidna iz Priloge 1.</w:t>
      </w:r>
    </w:p>
    <w:p w14:paraId="56A3C9A2" w14:textId="3FC0F21A" w:rsidR="004226FF" w:rsidRPr="00C97145" w:rsidRDefault="004226FF" w:rsidP="004226FF">
      <w:pPr>
        <w:spacing w:after="160" w:line="259" w:lineRule="auto"/>
        <w:jc w:val="both"/>
        <w:rPr>
          <w:rFonts w:ascii="Arial" w:hAnsi="Arial" w:cs="Arial"/>
          <w:sz w:val="20"/>
          <w:szCs w:val="20"/>
        </w:rPr>
      </w:pPr>
      <w:r w:rsidRPr="00C97145">
        <w:rPr>
          <w:rFonts w:ascii="Arial" w:hAnsi="Arial" w:cs="Arial"/>
          <w:sz w:val="20"/>
          <w:szCs w:val="20"/>
        </w:rPr>
        <w:t>Z novo plačno lestvico in prevedbo plač delovnih mest se odpravlja problem velikega števila delovnih mest,</w:t>
      </w:r>
      <w:r w:rsidR="00B174C2" w:rsidRPr="00C97145">
        <w:rPr>
          <w:rFonts w:ascii="Arial" w:hAnsi="Arial" w:cs="Arial"/>
          <w:sz w:val="20"/>
          <w:szCs w:val="20"/>
        </w:rPr>
        <w:t xml:space="preserve"> </w:t>
      </w:r>
      <w:r w:rsidRPr="00C97145">
        <w:rPr>
          <w:rFonts w:ascii="Arial" w:hAnsi="Arial" w:cs="Arial"/>
          <w:sz w:val="20"/>
          <w:szCs w:val="20"/>
        </w:rPr>
        <w:t xml:space="preserve">katerih izhodiščna plača je nižja od minimalne plače in problem enakega plačila javnih uslužbencev, katerih osnovna plača je pod višino minimalne plače ne glede na to, da so uvrščeni v različne plačne razrede. Nova plačna lestvica odpira tudi možnosti za odpravo kompresije v zgornjem </w:t>
      </w:r>
      <w:r w:rsidRPr="00C97145">
        <w:rPr>
          <w:rFonts w:ascii="Arial" w:hAnsi="Arial" w:cs="Arial"/>
          <w:sz w:val="20"/>
          <w:szCs w:val="20"/>
        </w:rPr>
        <w:lastRenderedPageBreak/>
        <w:t>delu lestvice (odpravo nesorazmerij med plačami  funkcionarjev, direktorjev  in javnih uslužbencev)  ter daje večje možnosti za ustreznejša razmerja znotraj posameznih stebrov</w:t>
      </w:r>
      <w:r w:rsidR="007230FD" w:rsidRPr="00C97145">
        <w:rPr>
          <w:rFonts w:ascii="Arial" w:hAnsi="Arial" w:cs="Arial"/>
          <w:sz w:val="20"/>
          <w:szCs w:val="20"/>
        </w:rPr>
        <w:t>.</w:t>
      </w:r>
      <w:r w:rsidRPr="00C97145">
        <w:rPr>
          <w:rFonts w:ascii="Arial" w:hAnsi="Arial" w:cs="Arial"/>
          <w:sz w:val="20"/>
          <w:szCs w:val="20"/>
        </w:rPr>
        <w:t xml:space="preserve"> </w:t>
      </w:r>
    </w:p>
    <w:p w14:paraId="216C35EA" w14:textId="50F6D725" w:rsidR="004C0850" w:rsidRPr="00C97145" w:rsidRDefault="004226FF" w:rsidP="004226FF">
      <w:pPr>
        <w:spacing w:after="160" w:line="259" w:lineRule="auto"/>
        <w:jc w:val="both"/>
        <w:rPr>
          <w:rFonts w:ascii="Arial" w:hAnsi="Arial" w:cs="Arial"/>
          <w:sz w:val="20"/>
          <w:szCs w:val="20"/>
        </w:rPr>
      </w:pPr>
      <w:r w:rsidRPr="00C97145">
        <w:rPr>
          <w:rFonts w:ascii="Arial" w:hAnsi="Arial" w:cs="Arial"/>
          <w:sz w:val="20"/>
          <w:szCs w:val="20"/>
        </w:rPr>
        <w:t xml:space="preserve">Hkrati se odpravlja tudi problem </w:t>
      </w:r>
      <w:proofErr w:type="spellStart"/>
      <w:r w:rsidRPr="00C97145">
        <w:rPr>
          <w:rFonts w:ascii="Arial" w:hAnsi="Arial" w:cs="Arial"/>
          <w:sz w:val="20"/>
          <w:szCs w:val="20"/>
        </w:rPr>
        <w:t>neusklajevanja</w:t>
      </w:r>
      <w:proofErr w:type="spellEnd"/>
      <w:r w:rsidRPr="00C97145">
        <w:rPr>
          <w:rFonts w:ascii="Arial" w:hAnsi="Arial" w:cs="Arial"/>
          <w:sz w:val="20"/>
          <w:szCs w:val="20"/>
        </w:rPr>
        <w:t xml:space="preserve"> vrednosti plačnih razredov plačne lestvice. Zaradi nujnosti upoštevanja vpliva minimalne plače pa je treba znižati razpon med plačnimi razredi na 3</w:t>
      </w:r>
      <w:r w:rsidR="00B560C2" w:rsidRPr="00C97145">
        <w:rPr>
          <w:rFonts w:ascii="Arial" w:hAnsi="Arial" w:cs="Arial"/>
          <w:sz w:val="20"/>
          <w:szCs w:val="20"/>
        </w:rPr>
        <w:t xml:space="preserve"> odstotke</w:t>
      </w:r>
      <w:r w:rsidRPr="00C97145">
        <w:rPr>
          <w:rFonts w:ascii="Arial" w:hAnsi="Arial" w:cs="Arial"/>
          <w:sz w:val="20"/>
          <w:szCs w:val="20"/>
        </w:rPr>
        <w:t xml:space="preserve">, saj bi predlagano povišanje 1. plačnega razreda in hkratna ohranitev razpona v višini 4 </w:t>
      </w:r>
      <w:r w:rsidR="00B560C2" w:rsidRPr="00C97145">
        <w:rPr>
          <w:rFonts w:ascii="Arial" w:hAnsi="Arial" w:cs="Arial"/>
          <w:sz w:val="20"/>
          <w:szCs w:val="20"/>
        </w:rPr>
        <w:t>odstotkov</w:t>
      </w:r>
      <w:r w:rsidRPr="00C97145">
        <w:rPr>
          <w:rFonts w:ascii="Arial" w:hAnsi="Arial" w:cs="Arial"/>
          <w:sz w:val="20"/>
          <w:szCs w:val="20"/>
        </w:rPr>
        <w:t xml:space="preserve"> pomenila prekomerno povišanje plač v najvišjih plačnih razredih</w:t>
      </w:r>
      <w:r w:rsidR="009555F5">
        <w:rPr>
          <w:rFonts w:ascii="Arial" w:hAnsi="Arial" w:cs="Arial"/>
          <w:sz w:val="20"/>
          <w:szCs w:val="20"/>
        </w:rPr>
        <w:t xml:space="preserve"> in skupen finančni učinek, ki ne bi bil fiskalno zdržen </w:t>
      </w:r>
      <w:r w:rsidRPr="00C97145">
        <w:rPr>
          <w:rFonts w:ascii="Arial" w:hAnsi="Arial" w:cs="Arial"/>
          <w:sz w:val="20"/>
          <w:szCs w:val="20"/>
        </w:rPr>
        <w:t xml:space="preserve">. </w:t>
      </w:r>
    </w:p>
    <w:p w14:paraId="647B22D7" w14:textId="760828EF" w:rsidR="004226FF" w:rsidRPr="00C97145" w:rsidRDefault="00110460" w:rsidP="004226FF">
      <w:pPr>
        <w:spacing w:after="160" w:line="259" w:lineRule="auto"/>
        <w:jc w:val="both"/>
        <w:rPr>
          <w:rFonts w:ascii="Arial" w:hAnsi="Arial" w:cs="Arial"/>
          <w:sz w:val="20"/>
          <w:szCs w:val="20"/>
        </w:rPr>
      </w:pPr>
      <w:r w:rsidRPr="00C97145">
        <w:rPr>
          <w:rFonts w:ascii="Arial" w:hAnsi="Arial" w:cs="Arial"/>
          <w:sz w:val="20"/>
          <w:szCs w:val="20"/>
        </w:rPr>
        <w:t>Način p</w:t>
      </w:r>
      <w:r w:rsidR="004C0850" w:rsidRPr="00C97145">
        <w:rPr>
          <w:rFonts w:ascii="Arial" w:hAnsi="Arial" w:cs="Arial"/>
          <w:sz w:val="20"/>
          <w:szCs w:val="20"/>
        </w:rPr>
        <w:t>revedb</w:t>
      </w:r>
      <w:r w:rsidRPr="00C97145">
        <w:rPr>
          <w:rFonts w:ascii="Arial" w:hAnsi="Arial" w:cs="Arial"/>
          <w:sz w:val="20"/>
          <w:szCs w:val="20"/>
        </w:rPr>
        <w:t>e v</w:t>
      </w:r>
      <w:r w:rsidR="004C0850" w:rsidRPr="00C97145">
        <w:rPr>
          <w:rFonts w:ascii="Arial" w:hAnsi="Arial" w:cs="Arial"/>
          <w:sz w:val="20"/>
          <w:szCs w:val="20"/>
        </w:rPr>
        <w:t xml:space="preserve"> </w:t>
      </w:r>
      <w:r w:rsidRPr="00C97145">
        <w:rPr>
          <w:rFonts w:ascii="Arial" w:hAnsi="Arial" w:cs="Arial"/>
          <w:sz w:val="20"/>
          <w:szCs w:val="20"/>
        </w:rPr>
        <w:t xml:space="preserve">plačne razrede po novi plačni lestvici </w:t>
      </w:r>
      <w:r w:rsidR="004C0850" w:rsidRPr="00C97145">
        <w:rPr>
          <w:rFonts w:ascii="Arial" w:hAnsi="Arial" w:cs="Arial"/>
          <w:sz w:val="20"/>
          <w:szCs w:val="20"/>
        </w:rPr>
        <w:t xml:space="preserve">pomeni tudi višje osnovne plače na začetku delovne kariere, </w:t>
      </w:r>
      <w:r w:rsidRPr="00C97145">
        <w:rPr>
          <w:rFonts w:ascii="Arial" w:hAnsi="Arial" w:cs="Arial"/>
          <w:sz w:val="20"/>
          <w:szCs w:val="20"/>
        </w:rPr>
        <w:t>kar naj bi bil</w:t>
      </w:r>
      <w:r w:rsidR="009555F5">
        <w:rPr>
          <w:rFonts w:ascii="Arial" w:hAnsi="Arial" w:cs="Arial"/>
          <w:sz w:val="20"/>
          <w:szCs w:val="20"/>
        </w:rPr>
        <w:t>o</w:t>
      </w:r>
      <w:r w:rsidRPr="00C97145">
        <w:rPr>
          <w:rFonts w:ascii="Arial" w:hAnsi="Arial" w:cs="Arial"/>
          <w:sz w:val="20"/>
          <w:szCs w:val="20"/>
        </w:rPr>
        <w:t xml:space="preserve"> stimulativno zlasti za mlade, </w:t>
      </w:r>
      <w:r w:rsidR="004C0850" w:rsidRPr="00C97145">
        <w:rPr>
          <w:rFonts w:ascii="Arial" w:hAnsi="Arial" w:cs="Arial"/>
          <w:sz w:val="20"/>
          <w:szCs w:val="20"/>
        </w:rPr>
        <w:t>zaradi manjšega razpona med razredi pa kljub ohranitvi 10 razredov napredovanja manjše povečevanje plače na istem delovnem mestu oz. manjšo razliko v pl</w:t>
      </w:r>
      <w:r w:rsidR="003F1D18" w:rsidRPr="00C97145">
        <w:rPr>
          <w:rFonts w:ascii="Arial" w:hAnsi="Arial" w:cs="Arial"/>
          <w:sz w:val="20"/>
          <w:szCs w:val="20"/>
        </w:rPr>
        <w:t>a</w:t>
      </w:r>
      <w:r w:rsidR="004C0850" w:rsidRPr="00C97145">
        <w:rPr>
          <w:rFonts w:ascii="Arial" w:hAnsi="Arial" w:cs="Arial"/>
          <w:sz w:val="20"/>
          <w:szCs w:val="20"/>
        </w:rPr>
        <w:t>či za isto delo</w:t>
      </w:r>
      <w:r w:rsidR="003F1D18" w:rsidRPr="00C97145">
        <w:rPr>
          <w:rFonts w:ascii="Arial" w:hAnsi="Arial" w:cs="Arial"/>
          <w:sz w:val="20"/>
          <w:szCs w:val="20"/>
        </w:rPr>
        <w:t>.</w:t>
      </w:r>
      <w:r w:rsidR="004226FF" w:rsidRPr="00C97145">
        <w:rPr>
          <w:rFonts w:ascii="Arial" w:hAnsi="Arial" w:cs="Arial"/>
          <w:sz w:val="20"/>
          <w:szCs w:val="20"/>
        </w:rPr>
        <w:t xml:space="preserve">   </w:t>
      </w:r>
    </w:p>
    <w:p w14:paraId="5AF41A00" w14:textId="21FD6BCA" w:rsidR="004226FF" w:rsidRPr="00C97145" w:rsidRDefault="004226FF" w:rsidP="004226FF">
      <w:pPr>
        <w:pStyle w:val="Odstavekseznama"/>
        <w:ind w:left="1080"/>
        <w:jc w:val="both"/>
        <w:rPr>
          <w:rFonts w:ascii="Arial" w:hAnsi="Arial" w:cs="Arial"/>
          <w:sz w:val="20"/>
          <w:szCs w:val="20"/>
        </w:rPr>
      </w:pPr>
    </w:p>
    <w:p w14:paraId="121CEDD1" w14:textId="7ADC1EB3" w:rsidR="008645C7" w:rsidRPr="00C97145" w:rsidRDefault="008645C7" w:rsidP="004226FF">
      <w:pPr>
        <w:pStyle w:val="Odstavekseznama"/>
        <w:ind w:left="1080"/>
        <w:jc w:val="both"/>
        <w:rPr>
          <w:rFonts w:ascii="Arial" w:hAnsi="Arial" w:cs="Arial"/>
          <w:sz w:val="20"/>
          <w:szCs w:val="20"/>
        </w:rPr>
      </w:pPr>
    </w:p>
    <w:p w14:paraId="6992A692" w14:textId="77777777" w:rsidR="008645C7" w:rsidRPr="00C97145" w:rsidRDefault="008645C7" w:rsidP="004226FF">
      <w:pPr>
        <w:pStyle w:val="Odstavekseznama"/>
        <w:ind w:left="1080"/>
        <w:jc w:val="both"/>
        <w:rPr>
          <w:rFonts w:ascii="Arial" w:hAnsi="Arial" w:cs="Arial"/>
          <w:sz w:val="20"/>
          <w:szCs w:val="20"/>
        </w:rPr>
      </w:pPr>
    </w:p>
    <w:p w14:paraId="6196585A" w14:textId="77777777" w:rsidR="004226FF" w:rsidRPr="00C97145" w:rsidRDefault="004226FF" w:rsidP="00A46986">
      <w:pPr>
        <w:pStyle w:val="Odstavekseznama"/>
        <w:numPr>
          <w:ilvl w:val="1"/>
          <w:numId w:val="13"/>
        </w:numPr>
        <w:spacing w:after="160" w:line="259" w:lineRule="auto"/>
        <w:jc w:val="both"/>
        <w:rPr>
          <w:rFonts w:ascii="Arial" w:hAnsi="Arial" w:cs="Arial"/>
          <w:b/>
          <w:bCs/>
          <w:sz w:val="20"/>
          <w:szCs w:val="20"/>
          <w:u w:val="single"/>
        </w:rPr>
      </w:pPr>
      <w:bookmarkStart w:id="1" w:name="_Hlk125559191"/>
      <w:r w:rsidRPr="00C97145">
        <w:rPr>
          <w:rFonts w:ascii="Arial" w:hAnsi="Arial" w:cs="Arial"/>
          <w:b/>
          <w:bCs/>
          <w:sz w:val="20"/>
          <w:szCs w:val="20"/>
          <w:u w:val="single"/>
        </w:rPr>
        <w:t xml:space="preserve">Način uvrščanja delovnih mest in nazivov v plačne razrede </w:t>
      </w:r>
    </w:p>
    <w:bookmarkEnd w:id="1"/>
    <w:p w14:paraId="5FC8532E" w14:textId="71E8D153" w:rsidR="004226FF" w:rsidRPr="00C97145" w:rsidRDefault="004226FF" w:rsidP="00A46986">
      <w:pPr>
        <w:pStyle w:val="Odstavekseznama"/>
        <w:numPr>
          <w:ilvl w:val="0"/>
          <w:numId w:val="17"/>
        </w:numPr>
        <w:spacing w:after="160" w:line="259" w:lineRule="auto"/>
        <w:jc w:val="both"/>
        <w:rPr>
          <w:rFonts w:ascii="Arial" w:hAnsi="Arial" w:cs="Arial"/>
          <w:sz w:val="20"/>
          <w:szCs w:val="20"/>
        </w:rPr>
      </w:pPr>
      <w:r w:rsidRPr="00C97145">
        <w:rPr>
          <w:rFonts w:ascii="Arial" w:hAnsi="Arial" w:cs="Arial"/>
          <w:sz w:val="20"/>
          <w:szCs w:val="20"/>
        </w:rPr>
        <w:t>orientacijska delovna mesta v KPJS se ukinejo, saj niso odigrala svoje vloge</w:t>
      </w:r>
      <w:r w:rsidR="00F96AEC" w:rsidRPr="00C97145">
        <w:rPr>
          <w:rFonts w:ascii="Arial" w:hAnsi="Arial" w:cs="Arial"/>
          <w:sz w:val="20"/>
          <w:szCs w:val="20"/>
        </w:rPr>
        <w:t xml:space="preserve"> pri vrednotenju primerljivih delovnih mest</w:t>
      </w:r>
      <w:r w:rsidR="00B174C2" w:rsidRPr="00C97145">
        <w:rPr>
          <w:rFonts w:ascii="Arial" w:hAnsi="Arial" w:cs="Arial"/>
          <w:sz w:val="20"/>
          <w:szCs w:val="20"/>
        </w:rPr>
        <w:t>,</w:t>
      </w:r>
    </w:p>
    <w:p w14:paraId="04755549" w14:textId="5F3E443D" w:rsidR="00A46986" w:rsidRPr="00C97145" w:rsidRDefault="00A46986" w:rsidP="00A46986">
      <w:pPr>
        <w:pStyle w:val="Odstavekseznama"/>
        <w:numPr>
          <w:ilvl w:val="0"/>
          <w:numId w:val="17"/>
        </w:numPr>
        <w:spacing w:after="160" w:line="259" w:lineRule="auto"/>
        <w:jc w:val="both"/>
        <w:rPr>
          <w:rFonts w:ascii="Arial" w:hAnsi="Arial" w:cs="Arial"/>
          <w:sz w:val="20"/>
          <w:szCs w:val="20"/>
        </w:rPr>
      </w:pPr>
      <w:r w:rsidRPr="00C97145">
        <w:rPr>
          <w:rFonts w:ascii="Arial" w:hAnsi="Arial" w:cs="Arial"/>
          <w:sz w:val="20"/>
          <w:szCs w:val="20"/>
        </w:rPr>
        <w:t>načelo primerljivost</w:t>
      </w:r>
      <w:r w:rsidR="00B174C2" w:rsidRPr="00C97145">
        <w:rPr>
          <w:rFonts w:ascii="Arial" w:hAnsi="Arial" w:cs="Arial"/>
          <w:sz w:val="20"/>
          <w:szCs w:val="20"/>
        </w:rPr>
        <w:t>i</w:t>
      </w:r>
      <w:r w:rsidRPr="00C97145">
        <w:rPr>
          <w:rFonts w:ascii="Arial" w:hAnsi="Arial" w:cs="Arial"/>
          <w:sz w:val="20"/>
          <w:szCs w:val="20"/>
        </w:rPr>
        <w:t xml:space="preserve"> (enako plačilo za delo na primerljivih delovnih mestih)</w:t>
      </w:r>
      <w:r w:rsidR="00F96AEC" w:rsidRPr="00C97145">
        <w:rPr>
          <w:rFonts w:ascii="Arial" w:hAnsi="Arial" w:cs="Arial"/>
          <w:sz w:val="20"/>
          <w:szCs w:val="20"/>
        </w:rPr>
        <w:t xml:space="preserve"> se </w:t>
      </w:r>
      <w:r w:rsidR="00B174C2" w:rsidRPr="00C97145">
        <w:rPr>
          <w:rFonts w:ascii="Arial" w:hAnsi="Arial" w:cs="Arial"/>
          <w:sz w:val="20"/>
          <w:szCs w:val="20"/>
        </w:rPr>
        <w:t>v</w:t>
      </w:r>
      <w:r w:rsidR="00F96AEC" w:rsidRPr="00C97145">
        <w:rPr>
          <w:rFonts w:ascii="Arial" w:hAnsi="Arial" w:cs="Arial"/>
          <w:sz w:val="20"/>
          <w:szCs w:val="20"/>
        </w:rPr>
        <w:t xml:space="preserve"> prenovljenem sistemu uveljavi</w:t>
      </w:r>
      <w:r w:rsidRPr="00C97145">
        <w:rPr>
          <w:rFonts w:ascii="Arial" w:hAnsi="Arial" w:cs="Arial"/>
          <w:sz w:val="20"/>
          <w:szCs w:val="20"/>
        </w:rPr>
        <w:t xml:space="preserve"> znotraj plačnih stebrov,</w:t>
      </w:r>
    </w:p>
    <w:p w14:paraId="665A00A9" w14:textId="10AA5E12" w:rsidR="004226FF" w:rsidRPr="00C97145" w:rsidRDefault="004226FF" w:rsidP="00A46986">
      <w:pPr>
        <w:pStyle w:val="Odstavekseznama"/>
        <w:numPr>
          <w:ilvl w:val="0"/>
          <w:numId w:val="17"/>
        </w:numPr>
        <w:spacing w:after="160" w:line="259" w:lineRule="auto"/>
        <w:jc w:val="both"/>
        <w:rPr>
          <w:rFonts w:ascii="Arial" w:hAnsi="Arial" w:cs="Arial"/>
          <w:sz w:val="20"/>
          <w:szCs w:val="20"/>
        </w:rPr>
      </w:pPr>
      <w:r w:rsidRPr="00C97145">
        <w:rPr>
          <w:rFonts w:ascii="Arial" w:hAnsi="Arial" w:cs="Arial"/>
          <w:sz w:val="20"/>
          <w:szCs w:val="20"/>
        </w:rPr>
        <w:t>delovna mesta in nazivi se za javne uslužbence uvrščajo v plačne razrede s kolektivno pogodbo ali z uredbo vlade, za funkcionarje pa z zakonom</w:t>
      </w:r>
      <w:r w:rsidR="00D960A9" w:rsidRPr="00C97145">
        <w:rPr>
          <w:rFonts w:ascii="Arial" w:hAnsi="Arial" w:cs="Arial"/>
          <w:sz w:val="20"/>
          <w:szCs w:val="20"/>
        </w:rPr>
        <w:t>,</w:t>
      </w:r>
    </w:p>
    <w:p w14:paraId="25D838D9" w14:textId="639318B9" w:rsidR="004226FF" w:rsidRPr="00C97145" w:rsidRDefault="004226FF" w:rsidP="00A46986">
      <w:pPr>
        <w:pStyle w:val="Odstavekseznama"/>
        <w:numPr>
          <w:ilvl w:val="0"/>
          <w:numId w:val="17"/>
        </w:numPr>
        <w:spacing w:after="160" w:line="259" w:lineRule="auto"/>
        <w:jc w:val="both"/>
        <w:rPr>
          <w:rFonts w:ascii="Arial" w:hAnsi="Arial" w:cs="Arial"/>
          <w:sz w:val="20"/>
          <w:szCs w:val="20"/>
        </w:rPr>
      </w:pPr>
      <w:r w:rsidRPr="00C97145">
        <w:rPr>
          <w:rFonts w:ascii="Arial" w:hAnsi="Arial" w:cs="Arial"/>
          <w:sz w:val="20"/>
          <w:szCs w:val="20"/>
        </w:rPr>
        <w:t>pooblaščene uradne osebe  se uvršajo v plačne razrede z uredbo vlade</w:t>
      </w:r>
      <w:r w:rsidR="00BA7E88">
        <w:rPr>
          <w:rFonts w:ascii="Arial" w:hAnsi="Arial" w:cs="Arial"/>
          <w:sz w:val="20"/>
          <w:szCs w:val="20"/>
        </w:rPr>
        <w:t xml:space="preserve"> ali s kolektivno pogodbo</w:t>
      </w:r>
      <w:r w:rsidR="00D960A9" w:rsidRPr="00C97145">
        <w:rPr>
          <w:rFonts w:ascii="Arial" w:hAnsi="Arial" w:cs="Arial"/>
          <w:sz w:val="20"/>
          <w:szCs w:val="20"/>
        </w:rPr>
        <w:t>.</w:t>
      </w:r>
    </w:p>
    <w:p w14:paraId="7309B46C" w14:textId="77777777" w:rsidR="004226FF" w:rsidRPr="00C97145" w:rsidRDefault="004226FF" w:rsidP="004226FF">
      <w:pPr>
        <w:pStyle w:val="Odstavekseznama"/>
        <w:ind w:left="1080"/>
        <w:jc w:val="both"/>
        <w:rPr>
          <w:rFonts w:ascii="Arial" w:hAnsi="Arial" w:cs="Arial"/>
          <w:sz w:val="20"/>
          <w:szCs w:val="20"/>
        </w:rPr>
      </w:pPr>
    </w:p>
    <w:p w14:paraId="41C9F5EE" w14:textId="77777777" w:rsidR="00B174C2" w:rsidRPr="00C97145" w:rsidRDefault="00B174C2" w:rsidP="004226FF">
      <w:pPr>
        <w:pStyle w:val="Odstavekseznama"/>
        <w:ind w:left="1080"/>
        <w:jc w:val="both"/>
        <w:rPr>
          <w:rFonts w:ascii="Arial" w:hAnsi="Arial" w:cs="Arial"/>
          <w:sz w:val="20"/>
          <w:szCs w:val="20"/>
        </w:rPr>
      </w:pPr>
    </w:p>
    <w:p w14:paraId="0E658D34" w14:textId="77777777" w:rsidR="004226FF" w:rsidRPr="00C97145" w:rsidRDefault="004226FF" w:rsidP="00A46986">
      <w:pPr>
        <w:pStyle w:val="Odstavekseznama"/>
        <w:numPr>
          <w:ilvl w:val="1"/>
          <w:numId w:val="13"/>
        </w:numPr>
        <w:spacing w:after="160" w:line="259" w:lineRule="auto"/>
        <w:jc w:val="both"/>
        <w:rPr>
          <w:rFonts w:ascii="Arial" w:hAnsi="Arial" w:cs="Arial"/>
          <w:b/>
          <w:bCs/>
          <w:sz w:val="20"/>
          <w:szCs w:val="20"/>
          <w:u w:val="single"/>
        </w:rPr>
      </w:pPr>
      <w:r w:rsidRPr="00C97145">
        <w:rPr>
          <w:rFonts w:ascii="Arial" w:hAnsi="Arial" w:cs="Arial"/>
          <w:b/>
          <w:bCs/>
          <w:sz w:val="20"/>
          <w:szCs w:val="20"/>
          <w:u w:val="single"/>
        </w:rPr>
        <w:t>Razpon za uvrščanje delovnih mest v plačne razrede</w:t>
      </w:r>
    </w:p>
    <w:p w14:paraId="68E6C6E0" w14:textId="42BB375B" w:rsidR="004226FF" w:rsidRPr="00C97145" w:rsidRDefault="004226FF" w:rsidP="00A46986">
      <w:pPr>
        <w:pStyle w:val="Odstavekseznama"/>
        <w:numPr>
          <w:ilvl w:val="0"/>
          <w:numId w:val="18"/>
        </w:numPr>
        <w:spacing w:after="160" w:line="259" w:lineRule="auto"/>
        <w:rPr>
          <w:rFonts w:ascii="Arial" w:hAnsi="Arial" w:cs="Arial"/>
          <w:sz w:val="20"/>
          <w:szCs w:val="20"/>
        </w:rPr>
      </w:pPr>
      <w:r w:rsidRPr="00C97145">
        <w:rPr>
          <w:rFonts w:ascii="Arial" w:hAnsi="Arial" w:cs="Arial"/>
          <w:sz w:val="20"/>
          <w:szCs w:val="20"/>
        </w:rPr>
        <w:t>z zakonom se določi možen razpon za uvrščanje po tarifnih razredih</w:t>
      </w:r>
      <w:r w:rsidR="00A46986" w:rsidRPr="00C97145">
        <w:rPr>
          <w:rFonts w:ascii="Arial" w:hAnsi="Arial" w:cs="Arial"/>
          <w:sz w:val="20"/>
          <w:szCs w:val="20"/>
        </w:rPr>
        <w:t xml:space="preserve">, </w:t>
      </w:r>
      <w:r w:rsidR="00576432" w:rsidRPr="00C97145">
        <w:rPr>
          <w:rFonts w:ascii="Arial" w:hAnsi="Arial" w:cs="Arial"/>
          <w:sz w:val="20"/>
          <w:szCs w:val="20"/>
        </w:rPr>
        <w:t xml:space="preserve">torej glede na zahtevnost dela, </w:t>
      </w:r>
      <w:r w:rsidR="00A46986" w:rsidRPr="00C97145">
        <w:rPr>
          <w:rFonts w:ascii="Arial" w:hAnsi="Arial" w:cs="Arial"/>
          <w:sz w:val="20"/>
          <w:szCs w:val="20"/>
        </w:rPr>
        <w:t>kar je okvir, ki omogoča ustrezna razmerja tudi med plačnimi stebri</w:t>
      </w:r>
      <w:r w:rsidR="00F92208" w:rsidRPr="00C97145">
        <w:rPr>
          <w:rFonts w:ascii="Arial" w:hAnsi="Arial" w:cs="Arial"/>
          <w:sz w:val="20"/>
          <w:szCs w:val="20"/>
        </w:rPr>
        <w:t xml:space="preserve"> (razponi v Prilogi 2)</w:t>
      </w:r>
    </w:p>
    <w:p w14:paraId="7868680C" w14:textId="77777777" w:rsidR="004226FF" w:rsidRPr="00C97145" w:rsidRDefault="004226FF" w:rsidP="004226FF">
      <w:pPr>
        <w:pStyle w:val="Odstavekseznama"/>
        <w:ind w:left="1080"/>
        <w:jc w:val="both"/>
        <w:rPr>
          <w:rFonts w:ascii="Arial" w:hAnsi="Arial" w:cs="Arial"/>
          <w:sz w:val="20"/>
          <w:szCs w:val="20"/>
        </w:rPr>
      </w:pPr>
    </w:p>
    <w:p w14:paraId="586C8B0B" w14:textId="77777777" w:rsidR="004226FF" w:rsidRPr="00C97145" w:rsidRDefault="004226FF" w:rsidP="004226FF">
      <w:pPr>
        <w:pStyle w:val="Odstavekseznama"/>
        <w:ind w:left="1080"/>
        <w:jc w:val="both"/>
        <w:rPr>
          <w:rFonts w:ascii="Arial" w:hAnsi="Arial" w:cs="Arial"/>
          <w:sz w:val="20"/>
          <w:szCs w:val="20"/>
        </w:rPr>
      </w:pPr>
    </w:p>
    <w:p w14:paraId="571F1A68" w14:textId="77777777" w:rsidR="004226FF" w:rsidRPr="00C97145" w:rsidRDefault="004226FF" w:rsidP="00A46986">
      <w:pPr>
        <w:pStyle w:val="Odstavekseznama"/>
        <w:numPr>
          <w:ilvl w:val="1"/>
          <w:numId w:val="13"/>
        </w:numPr>
        <w:spacing w:after="160" w:line="259" w:lineRule="auto"/>
        <w:jc w:val="both"/>
        <w:rPr>
          <w:rFonts w:ascii="Arial" w:hAnsi="Arial" w:cs="Arial"/>
          <w:b/>
          <w:bCs/>
          <w:sz w:val="20"/>
          <w:szCs w:val="20"/>
          <w:u w:val="single"/>
        </w:rPr>
      </w:pPr>
      <w:r w:rsidRPr="00C97145">
        <w:rPr>
          <w:rFonts w:ascii="Arial" w:hAnsi="Arial" w:cs="Arial"/>
          <w:b/>
          <w:bCs/>
          <w:sz w:val="20"/>
          <w:szCs w:val="20"/>
          <w:u w:val="single"/>
        </w:rPr>
        <w:t>Način določitve osnovne plače</w:t>
      </w:r>
    </w:p>
    <w:p w14:paraId="5F44F9D2" w14:textId="4A62416B" w:rsidR="004226FF" w:rsidRPr="00C97145" w:rsidRDefault="004226FF" w:rsidP="00A46986">
      <w:pPr>
        <w:pStyle w:val="Odstavekseznama"/>
        <w:numPr>
          <w:ilvl w:val="0"/>
          <w:numId w:val="19"/>
        </w:numPr>
        <w:spacing w:after="160" w:line="259" w:lineRule="auto"/>
        <w:jc w:val="both"/>
        <w:rPr>
          <w:rFonts w:ascii="Arial" w:hAnsi="Arial" w:cs="Arial"/>
          <w:sz w:val="20"/>
          <w:szCs w:val="20"/>
        </w:rPr>
      </w:pPr>
      <w:r w:rsidRPr="00C97145">
        <w:rPr>
          <w:rFonts w:ascii="Arial" w:hAnsi="Arial" w:cs="Arial"/>
          <w:sz w:val="20"/>
          <w:szCs w:val="20"/>
        </w:rPr>
        <w:t>ohrani se dosedanji</w:t>
      </w:r>
      <w:r w:rsidR="00D960A9" w:rsidRPr="00C97145">
        <w:rPr>
          <w:rFonts w:ascii="Arial" w:hAnsi="Arial" w:cs="Arial"/>
          <w:sz w:val="20"/>
          <w:szCs w:val="20"/>
        </w:rPr>
        <w:t xml:space="preserve"> </w:t>
      </w:r>
      <w:r w:rsidRPr="00C97145">
        <w:rPr>
          <w:rFonts w:ascii="Arial" w:hAnsi="Arial" w:cs="Arial"/>
          <w:sz w:val="20"/>
          <w:szCs w:val="20"/>
        </w:rPr>
        <w:t>način ob zaposlitvi, premestitvi, prekinitvi delovnega razmerja, napredovanju</w:t>
      </w:r>
      <w:r w:rsidR="00D960A9" w:rsidRPr="00C97145">
        <w:rPr>
          <w:rFonts w:ascii="Arial" w:hAnsi="Arial" w:cs="Arial"/>
          <w:sz w:val="20"/>
          <w:szCs w:val="20"/>
        </w:rPr>
        <w:t>,</w:t>
      </w:r>
      <w:r w:rsidR="00F92208" w:rsidRPr="00C97145">
        <w:rPr>
          <w:rFonts w:ascii="Arial" w:hAnsi="Arial" w:cs="Arial"/>
          <w:sz w:val="20"/>
          <w:szCs w:val="20"/>
        </w:rPr>
        <w:t xml:space="preserve"> vključno z možnostjo povečanja za +5, vendar brez potrebe po pridobitvi soglasja</w:t>
      </w:r>
    </w:p>
    <w:p w14:paraId="7430D8A9" w14:textId="44E6CD32" w:rsidR="004226FF" w:rsidRPr="00C97145" w:rsidRDefault="004226FF" w:rsidP="00A46986">
      <w:pPr>
        <w:pStyle w:val="Odstavekseznama"/>
        <w:numPr>
          <w:ilvl w:val="0"/>
          <w:numId w:val="14"/>
        </w:numPr>
        <w:spacing w:after="160" w:line="259" w:lineRule="auto"/>
        <w:rPr>
          <w:rFonts w:ascii="Arial" w:hAnsi="Arial" w:cs="Arial"/>
          <w:sz w:val="20"/>
          <w:szCs w:val="20"/>
        </w:rPr>
      </w:pPr>
      <w:r w:rsidRPr="00C97145">
        <w:rPr>
          <w:rFonts w:ascii="Arial" w:hAnsi="Arial" w:cs="Arial"/>
          <w:sz w:val="20"/>
          <w:szCs w:val="20"/>
        </w:rPr>
        <w:t>dodatno se uvede možnost začasnega povišanja plače za +5 PR zaradi vodenja projekta, delovne skupine ali drugih začasno zahtevnejših nalog</w:t>
      </w:r>
      <w:r w:rsidR="00D960A9" w:rsidRPr="00C97145">
        <w:rPr>
          <w:rFonts w:ascii="Arial" w:hAnsi="Arial" w:cs="Arial"/>
          <w:sz w:val="20"/>
          <w:szCs w:val="20"/>
        </w:rPr>
        <w:t>,</w:t>
      </w:r>
    </w:p>
    <w:p w14:paraId="10F4B067" w14:textId="655AC95C" w:rsidR="004226FF" w:rsidRPr="00C97145" w:rsidRDefault="004226FF" w:rsidP="00A46986">
      <w:pPr>
        <w:pStyle w:val="Odstavekseznama"/>
        <w:numPr>
          <w:ilvl w:val="0"/>
          <w:numId w:val="14"/>
        </w:numPr>
        <w:spacing w:after="160" w:line="259" w:lineRule="auto"/>
        <w:rPr>
          <w:rFonts w:ascii="Arial" w:hAnsi="Arial" w:cs="Arial"/>
          <w:sz w:val="20"/>
          <w:szCs w:val="20"/>
        </w:rPr>
      </w:pPr>
      <w:r w:rsidRPr="00C97145">
        <w:rPr>
          <w:rFonts w:ascii="Arial" w:hAnsi="Arial" w:cs="Arial"/>
          <w:sz w:val="20"/>
          <w:szCs w:val="20"/>
        </w:rPr>
        <w:t>dodatno se uvede možnost uvrstitve v višji plačni razred, kot je določen v okviru razpona glede na tarifni razred, zaradi specifičnih oziroma redkih kompetenc, ki se zahtevajo glede na potrebe delovnih procesov</w:t>
      </w:r>
      <w:r w:rsidR="00D960A9" w:rsidRPr="00C97145">
        <w:rPr>
          <w:rFonts w:ascii="Arial" w:hAnsi="Arial" w:cs="Arial"/>
          <w:sz w:val="20"/>
          <w:szCs w:val="20"/>
        </w:rPr>
        <w:t>.</w:t>
      </w:r>
      <w:r w:rsidRPr="00C97145">
        <w:rPr>
          <w:rFonts w:ascii="Arial" w:hAnsi="Arial" w:cs="Arial"/>
          <w:sz w:val="20"/>
          <w:szCs w:val="20"/>
        </w:rPr>
        <w:t xml:space="preserve">  </w:t>
      </w:r>
    </w:p>
    <w:p w14:paraId="16200D34" w14:textId="77777777" w:rsidR="004226FF" w:rsidRPr="00C97145" w:rsidRDefault="004226FF" w:rsidP="004226FF">
      <w:pPr>
        <w:pStyle w:val="Odstavekseznama"/>
        <w:ind w:left="1080"/>
        <w:jc w:val="both"/>
        <w:rPr>
          <w:rFonts w:ascii="Arial" w:hAnsi="Arial" w:cs="Arial"/>
          <w:sz w:val="20"/>
          <w:szCs w:val="20"/>
        </w:rPr>
      </w:pPr>
    </w:p>
    <w:p w14:paraId="66A736B1" w14:textId="77777777" w:rsidR="004226FF" w:rsidRPr="00C97145" w:rsidRDefault="004226FF" w:rsidP="004226FF">
      <w:pPr>
        <w:pStyle w:val="Odstavekseznama"/>
        <w:ind w:left="1080"/>
        <w:jc w:val="both"/>
        <w:rPr>
          <w:rFonts w:ascii="Arial" w:hAnsi="Arial" w:cs="Arial"/>
          <w:sz w:val="20"/>
          <w:szCs w:val="20"/>
        </w:rPr>
      </w:pPr>
    </w:p>
    <w:p w14:paraId="37EA03FC" w14:textId="77777777" w:rsidR="004226FF" w:rsidRPr="00C97145" w:rsidRDefault="004226FF" w:rsidP="00A46986">
      <w:pPr>
        <w:pStyle w:val="Odstavekseznama"/>
        <w:numPr>
          <w:ilvl w:val="1"/>
          <w:numId w:val="13"/>
        </w:numPr>
        <w:spacing w:after="160" w:line="259" w:lineRule="auto"/>
        <w:jc w:val="both"/>
        <w:rPr>
          <w:rFonts w:ascii="Arial" w:hAnsi="Arial" w:cs="Arial"/>
          <w:b/>
          <w:bCs/>
          <w:sz w:val="20"/>
          <w:szCs w:val="20"/>
        </w:rPr>
      </w:pPr>
      <w:r w:rsidRPr="00C97145">
        <w:rPr>
          <w:rFonts w:ascii="Arial" w:hAnsi="Arial" w:cs="Arial"/>
          <w:b/>
          <w:bCs/>
          <w:sz w:val="20"/>
          <w:szCs w:val="20"/>
          <w:u w:val="single"/>
        </w:rPr>
        <w:t xml:space="preserve">Napredovanje </w:t>
      </w:r>
    </w:p>
    <w:p w14:paraId="42B6971A" w14:textId="13C00262" w:rsidR="00850605" w:rsidRPr="00CF6953" w:rsidRDefault="002858A7" w:rsidP="00CF6953">
      <w:pPr>
        <w:pStyle w:val="Odstavekseznama"/>
        <w:numPr>
          <w:ilvl w:val="0"/>
          <w:numId w:val="14"/>
        </w:numPr>
        <w:spacing w:after="160" w:line="259" w:lineRule="auto"/>
        <w:rPr>
          <w:rFonts w:ascii="Arial" w:hAnsi="Arial" w:cs="Arial"/>
          <w:sz w:val="20"/>
          <w:szCs w:val="20"/>
        </w:rPr>
      </w:pPr>
      <w:r w:rsidRPr="00CF6953">
        <w:rPr>
          <w:rFonts w:ascii="Arial" w:hAnsi="Arial" w:cs="Arial"/>
          <w:sz w:val="20"/>
          <w:szCs w:val="20"/>
        </w:rPr>
        <w:t xml:space="preserve">prenovi se sistem napredovanja, na način, da se zmanjša pomen </w:t>
      </w:r>
      <w:proofErr w:type="spellStart"/>
      <w:r w:rsidRPr="00CF6953">
        <w:rPr>
          <w:rFonts w:ascii="Arial" w:hAnsi="Arial" w:cs="Arial"/>
          <w:sz w:val="20"/>
          <w:szCs w:val="20"/>
        </w:rPr>
        <w:t>senioritete</w:t>
      </w:r>
      <w:proofErr w:type="spellEnd"/>
      <w:r w:rsidRPr="00CF6953">
        <w:rPr>
          <w:rFonts w:ascii="Arial" w:hAnsi="Arial" w:cs="Arial"/>
          <w:sz w:val="20"/>
          <w:szCs w:val="20"/>
        </w:rPr>
        <w:t xml:space="preserve"> v veljavnem sistem</w:t>
      </w:r>
      <w:r>
        <w:rPr>
          <w:rFonts w:ascii="Arial" w:hAnsi="Arial" w:cs="Arial"/>
          <w:sz w:val="20"/>
          <w:szCs w:val="20"/>
        </w:rPr>
        <w:t>,</w:t>
      </w:r>
    </w:p>
    <w:p w14:paraId="77E3B30A" w14:textId="5724473B" w:rsidR="00780CD3" w:rsidRPr="00C97145" w:rsidRDefault="00780CD3" w:rsidP="00780CD3">
      <w:pPr>
        <w:pStyle w:val="Odstavekseznama"/>
        <w:numPr>
          <w:ilvl w:val="0"/>
          <w:numId w:val="14"/>
        </w:numPr>
        <w:spacing w:after="160" w:line="259" w:lineRule="auto"/>
        <w:rPr>
          <w:rFonts w:ascii="Arial" w:hAnsi="Arial" w:cs="Arial"/>
          <w:sz w:val="20"/>
          <w:szCs w:val="20"/>
        </w:rPr>
      </w:pPr>
      <w:r w:rsidRPr="00C97145">
        <w:rPr>
          <w:rFonts w:ascii="Arial" w:hAnsi="Arial" w:cs="Arial"/>
          <w:sz w:val="20"/>
          <w:szCs w:val="20"/>
        </w:rPr>
        <w:t>ohrani se dosedanje število možnih napredovanj (5 PR v nazivu, 10 PR brez naziva), kar pa zaradi manjšega razpona med plačnimi razredi pomeni manjše povečanje osnovne plače na istem delovnem mestu oziroma manjš</w:t>
      </w:r>
      <w:r>
        <w:rPr>
          <w:rFonts w:ascii="Arial" w:hAnsi="Arial" w:cs="Arial"/>
          <w:sz w:val="20"/>
          <w:szCs w:val="20"/>
        </w:rPr>
        <w:t>o</w:t>
      </w:r>
      <w:r w:rsidRPr="00C97145">
        <w:rPr>
          <w:rFonts w:ascii="Arial" w:hAnsi="Arial" w:cs="Arial"/>
          <w:sz w:val="20"/>
          <w:szCs w:val="20"/>
        </w:rPr>
        <w:t xml:space="preserve"> razliko v plači za isto delo,</w:t>
      </w:r>
    </w:p>
    <w:p w14:paraId="71CF969C" w14:textId="121C5731" w:rsidR="00850605" w:rsidRDefault="002858A7" w:rsidP="00BA7E88">
      <w:pPr>
        <w:pStyle w:val="Odstavekseznama"/>
        <w:numPr>
          <w:ilvl w:val="0"/>
          <w:numId w:val="14"/>
        </w:numPr>
        <w:spacing w:after="160" w:line="259" w:lineRule="auto"/>
        <w:rPr>
          <w:rFonts w:ascii="Arial" w:hAnsi="Arial" w:cs="Arial"/>
          <w:sz w:val="20"/>
          <w:szCs w:val="20"/>
        </w:rPr>
      </w:pPr>
      <w:r w:rsidRPr="00CF6953">
        <w:rPr>
          <w:rFonts w:ascii="Arial" w:hAnsi="Arial" w:cs="Arial"/>
          <w:sz w:val="20"/>
          <w:szCs w:val="20"/>
        </w:rPr>
        <w:t>omogoči se hitrejše napredovanje v začetku delovne kariere ter počasnejše napredovanje v kasnejših obdobjih kariere</w:t>
      </w:r>
      <w:r>
        <w:rPr>
          <w:rFonts w:ascii="Arial" w:hAnsi="Arial" w:cs="Arial"/>
          <w:sz w:val="20"/>
          <w:szCs w:val="20"/>
        </w:rPr>
        <w:t>,</w:t>
      </w:r>
      <w:r w:rsidRPr="00CF6953">
        <w:rPr>
          <w:rFonts w:ascii="Arial" w:hAnsi="Arial" w:cs="Arial"/>
          <w:sz w:val="20"/>
          <w:szCs w:val="20"/>
        </w:rPr>
        <w:t xml:space="preserve"> </w:t>
      </w:r>
    </w:p>
    <w:p w14:paraId="1915B197" w14:textId="60AE772B" w:rsidR="00BA7E88" w:rsidRPr="00C97145" w:rsidRDefault="002858A7" w:rsidP="00BA7E88">
      <w:pPr>
        <w:pStyle w:val="Odstavekseznama"/>
        <w:numPr>
          <w:ilvl w:val="0"/>
          <w:numId w:val="14"/>
        </w:numPr>
        <w:spacing w:after="160" w:line="259" w:lineRule="auto"/>
        <w:rPr>
          <w:rFonts w:ascii="Arial" w:hAnsi="Arial" w:cs="Arial"/>
          <w:sz w:val="20"/>
          <w:szCs w:val="20"/>
        </w:rPr>
      </w:pPr>
      <w:r>
        <w:rPr>
          <w:rFonts w:ascii="Arial" w:hAnsi="Arial" w:cs="Arial"/>
          <w:sz w:val="20"/>
          <w:szCs w:val="20"/>
        </w:rPr>
        <w:t>p</w:t>
      </w:r>
      <w:r w:rsidRPr="00C97145">
        <w:rPr>
          <w:rFonts w:ascii="Arial" w:hAnsi="Arial" w:cs="Arial"/>
          <w:sz w:val="20"/>
          <w:szCs w:val="20"/>
        </w:rPr>
        <w:t xml:space="preserve">ravilo napredovanja je 1 </w:t>
      </w:r>
      <w:r>
        <w:rPr>
          <w:rFonts w:ascii="Arial" w:hAnsi="Arial" w:cs="Arial"/>
          <w:sz w:val="20"/>
          <w:szCs w:val="20"/>
        </w:rPr>
        <w:t>PR,</w:t>
      </w:r>
      <w:r w:rsidRPr="00C97145">
        <w:rPr>
          <w:rFonts w:ascii="Arial" w:hAnsi="Arial" w:cs="Arial"/>
          <w:sz w:val="20"/>
          <w:szCs w:val="20"/>
        </w:rPr>
        <w:t xml:space="preserve"> </w:t>
      </w:r>
    </w:p>
    <w:p w14:paraId="1C90F989" w14:textId="4F5DFFED" w:rsidR="002858A7" w:rsidRDefault="002858A7" w:rsidP="00CF6953">
      <w:pPr>
        <w:pStyle w:val="Odstavekseznama"/>
        <w:numPr>
          <w:ilvl w:val="0"/>
          <w:numId w:val="14"/>
        </w:numPr>
        <w:spacing w:after="160" w:line="259" w:lineRule="auto"/>
        <w:rPr>
          <w:rFonts w:ascii="Arial" w:hAnsi="Arial" w:cs="Arial"/>
          <w:sz w:val="20"/>
          <w:szCs w:val="20"/>
        </w:rPr>
      </w:pPr>
      <w:r>
        <w:rPr>
          <w:rFonts w:ascii="Arial" w:hAnsi="Arial" w:cs="Arial"/>
          <w:sz w:val="20"/>
          <w:szCs w:val="20"/>
        </w:rPr>
        <w:t>ukine se napredovanje na podlagi ocen,</w:t>
      </w:r>
    </w:p>
    <w:p w14:paraId="43D1DA87" w14:textId="1FC372D2" w:rsidR="00850605" w:rsidRPr="00CF6953" w:rsidRDefault="002858A7" w:rsidP="00CF6953">
      <w:pPr>
        <w:pStyle w:val="Odstavekseznama"/>
        <w:numPr>
          <w:ilvl w:val="0"/>
          <w:numId w:val="14"/>
        </w:numPr>
        <w:spacing w:after="160" w:line="259" w:lineRule="auto"/>
        <w:rPr>
          <w:rFonts w:ascii="Arial" w:hAnsi="Arial" w:cs="Arial"/>
          <w:sz w:val="20"/>
          <w:szCs w:val="20"/>
        </w:rPr>
      </w:pPr>
      <w:r w:rsidRPr="00CF6953">
        <w:rPr>
          <w:rFonts w:ascii="Arial" w:hAnsi="Arial" w:cs="Arial"/>
          <w:sz w:val="20"/>
          <w:szCs w:val="20"/>
        </w:rPr>
        <w:t>kriteriji za napredovanje se vzpostavijo znotraj posameznega stebra, pri čemer se vzporedno prenovi sistem kariernega napredovanja</w:t>
      </w:r>
      <w:r>
        <w:rPr>
          <w:rFonts w:ascii="Arial" w:hAnsi="Arial" w:cs="Arial"/>
          <w:sz w:val="20"/>
          <w:szCs w:val="20"/>
        </w:rPr>
        <w:t>,</w:t>
      </w:r>
      <w:r w:rsidRPr="00CF6953">
        <w:rPr>
          <w:rFonts w:ascii="Arial" w:hAnsi="Arial" w:cs="Arial"/>
          <w:sz w:val="20"/>
          <w:szCs w:val="20"/>
        </w:rPr>
        <w:t xml:space="preserve"> </w:t>
      </w:r>
    </w:p>
    <w:p w14:paraId="64B9509F" w14:textId="5B9D4F74" w:rsidR="00850605" w:rsidRPr="00CF6953" w:rsidRDefault="002858A7" w:rsidP="00CF6953">
      <w:pPr>
        <w:pStyle w:val="Odstavekseznama"/>
        <w:numPr>
          <w:ilvl w:val="0"/>
          <w:numId w:val="14"/>
        </w:numPr>
        <w:spacing w:after="160" w:line="259" w:lineRule="auto"/>
        <w:rPr>
          <w:rFonts w:ascii="Arial" w:hAnsi="Arial" w:cs="Arial"/>
          <w:sz w:val="20"/>
          <w:szCs w:val="20"/>
        </w:rPr>
      </w:pPr>
      <w:r w:rsidRPr="00CF6953">
        <w:rPr>
          <w:rFonts w:ascii="Arial" w:hAnsi="Arial" w:cs="Arial"/>
          <w:sz w:val="20"/>
          <w:szCs w:val="20"/>
        </w:rPr>
        <w:t>do začetka uporabe novih pravil napredovanja se sistem napredovanj ne izvaja.</w:t>
      </w:r>
    </w:p>
    <w:p w14:paraId="7930A5CE" w14:textId="77777777" w:rsidR="004226FF" w:rsidRPr="00C97145" w:rsidRDefault="004226FF" w:rsidP="004226FF">
      <w:pPr>
        <w:pStyle w:val="Odstavekseznama"/>
        <w:ind w:left="1080"/>
        <w:jc w:val="both"/>
        <w:rPr>
          <w:rFonts w:ascii="Arial" w:hAnsi="Arial" w:cs="Arial"/>
          <w:sz w:val="20"/>
          <w:szCs w:val="20"/>
        </w:rPr>
      </w:pPr>
    </w:p>
    <w:p w14:paraId="5A55D25C" w14:textId="77777777" w:rsidR="004226FF" w:rsidRPr="00C97145" w:rsidRDefault="004226FF" w:rsidP="004226FF">
      <w:pPr>
        <w:pStyle w:val="Odstavekseznama"/>
        <w:ind w:left="1080"/>
        <w:jc w:val="both"/>
        <w:rPr>
          <w:rFonts w:ascii="Arial" w:hAnsi="Arial" w:cs="Arial"/>
          <w:sz w:val="20"/>
          <w:szCs w:val="20"/>
        </w:rPr>
      </w:pPr>
    </w:p>
    <w:p w14:paraId="2973FD72" w14:textId="77777777" w:rsidR="004226FF" w:rsidRPr="00C97145" w:rsidRDefault="004226FF" w:rsidP="00A46986">
      <w:pPr>
        <w:pStyle w:val="Odstavekseznama"/>
        <w:numPr>
          <w:ilvl w:val="1"/>
          <w:numId w:val="13"/>
        </w:numPr>
        <w:spacing w:after="160" w:line="259" w:lineRule="auto"/>
        <w:jc w:val="both"/>
        <w:rPr>
          <w:rFonts w:ascii="Arial" w:hAnsi="Arial" w:cs="Arial"/>
          <w:sz w:val="20"/>
          <w:szCs w:val="20"/>
          <w:u w:val="single"/>
        </w:rPr>
      </w:pPr>
      <w:r w:rsidRPr="00C97145">
        <w:rPr>
          <w:rFonts w:ascii="Arial" w:hAnsi="Arial" w:cs="Arial"/>
          <w:b/>
          <w:bCs/>
          <w:sz w:val="20"/>
          <w:szCs w:val="20"/>
          <w:u w:val="single"/>
        </w:rPr>
        <w:lastRenderedPageBreak/>
        <w:t>Dodatki</w:t>
      </w:r>
      <w:r w:rsidRPr="00C97145">
        <w:rPr>
          <w:rFonts w:ascii="Arial" w:hAnsi="Arial" w:cs="Arial"/>
          <w:sz w:val="20"/>
          <w:szCs w:val="20"/>
        </w:rPr>
        <w:t xml:space="preserve"> (taksativno našteti v zakonu kot do sedaj)</w:t>
      </w:r>
    </w:p>
    <w:p w14:paraId="61CED913" w14:textId="78C21B7A" w:rsidR="004226FF" w:rsidRPr="00C97145" w:rsidRDefault="004226FF" w:rsidP="00A46986">
      <w:pPr>
        <w:pStyle w:val="Odstavekseznama"/>
        <w:numPr>
          <w:ilvl w:val="0"/>
          <w:numId w:val="20"/>
        </w:numPr>
        <w:spacing w:after="160" w:line="259" w:lineRule="auto"/>
        <w:jc w:val="both"/>
        <w:rPr>
          <w:rFonts w:ascii="Arial" w:hAnsi="Arial" w:cs="Arial"/>
          <w:sz w:val="20"/>
          <w:szCs w:val="20"/>
        </w:rPr>
      </w:pPr>
      <w:r w:rsidRPr="00C97145">
        <w:rPr>
          <w:rFonts w:ascii="Arial" w:hAnsi="Arial" w:cs="Arial"/>
          <w:sz w:val="20"/>
          <w:szCs w:val="20"/>
        </w:rPr>
        <w:t>vrste dodatkov se določijo z zakonom</w:t>
      </w:r>
      <w:r w:rsidR="00D960A9" w:rsidRPr="00C97145">
        <w:rPr>
          <w:rFonts w:ascii="Arial" w:hAnsi="Arial" w:cs="Arial"/>
          <w:sz w:val="20"/>
          <w:szCs w:val="20"/>
        </w:rPr>
        <w:t>,</w:t>
      </w:r>
    </w:p>
    <w:p w14:paraId="576AA5DD" w14:textId="49A50132" w:rsidR="004226FF" w:rsidRPr="00C97145" w:rsidRDefault="004226FF" w:rsidP="00A46986">
      <w:pPr>
        <w:pStyle w:val="Odstavekseznama"/>
        <w:numPr>
          <w:ilvl w:val="0"/>
          <w:numId w:val="20"/>
        </w:numPr>
        <w:spacing w:after="160" w:line="259" w:lineRule="auto"/>
        <w:jc w:val="both"/>
        <w:rPr>
          <w:rFonts w:ascii="Arial" w:hAnsi="Arial" w:cs="Arial"/>
          <w:sz w:val="20"/>
          <w:szCs w:val="20"/>
        </w:rPr>
      </w:pPr>
      <w:r w:rsidRPr="00C97145">
        <w:rPr>
          <w:rFonts w:ascii="Arial" w:hAnsi="Arial" w:cs="Arial"/>
          <w:sz w:val="20"/>
          <w:szCs w:val="20"/>
        </w:rPr>
        <w:t>višina se določi z zakonom ali KPJS</w:t>
      </w:r>
      <w:r w:rsidR="00D960A9" w:rsidRPr="00C97145">
        <w:rPr>
          <w:rFonts w:ascii="Arial" w:hAnsi="Arial" w:cs="Arial"/>
          <w:sz w:val="20"/>
          <w:szCs w:val="20"/>
        </w:rPr>
        <w:t>,</w:t>
      </w:r>
    </w:p>
    <w:p w14:paraId="612AF137" w14:textId="77777777" w:rsidR="00576432" w:rsidRPr="00C97145" w:rsidRDefault="004226FF" w:rsidP="00A46986">
      <w:pPr>
        <w:pStyle w:val="Odstavekseznama"/>
        <w:numPr>
          <w:ilvl w:val="0"/>
          <w:numId w:val="20"/>
        </w:numPr>
        <w:spacing w:after="160" w:line="259" w:lineRule="auto"/>
        <w:jc w:val="both"/>
        <w:rPr>
          <w:rFonts w:ascii="Arial" w:hAnsi="Arial" w:cs="Arial"/>
          <w:sz w:val="20"/>
          <w:szCs w:val="20"/>
        </w:rPr>
      </w:pPr>
      <w:r w:rsidRPr="00C97145">
        <w:rPr>
          <w:rFonts w:ascii="Arial" w:hAnsi="Arial" w:cs="Arial"/>
          <w:sz w:val="20"/>
          <w:szCs w:val="20"/>
        </w:rPr>
        <w:t>ohranitev sedanjih dodatkov; dodatno se uvedejo trije novi dodatka: a) za deficitarnost; b) za razvoj kadrov (ali za sodelovanje v projektih), c) za izjemne dosežke na nacionalni ravni</w:t>
      </w:r>
      <w:r w:rsidR="00D960A9" w:rsidRPr="00C97145">
        <w:rPr>
          <w:rFonts w:ascii="Arial" w:hAnsi="Arial" w:cs="Arial"/>
          <w:sz w:val="20"/>
          <w:szCs w:val="20"/>
        </w:rPr>
        <w:t>;</w:t>
      </w:r>
    </w:p>
    <w:p w14:paraId="3169E1B5" w14:textId="554CEB16" w:rsidR="004226FF" w:rsidRPr="00C97145" w:rsidRDefault="004226FF" w:rsidP="00A46986">
      <w:pPr>
        <w:pStyle w:val="Odstavekseznama"/>
        <w:numPr>
          <w:ilvl w:val="0"/>
          <w:numId w:val="20"/>
        </w:numPr>
        <w:spacing w:after="160" w:line="259" w:lineRule="auto"/>
        <w:jc w:val="both"/>
        <w:rPr>
          <w:rFonts w:ascii="Arial" w:hAnsi="Arial" w:cs="Arial"/>
          <w:sz w:val="20"/>
          <w:szCs w:val="20"/>
        </w:rPr>
      </w:pPr>
      <w:r w:rsidRPr="00C97145">
        <w:rPr>
          <w:rFonts w:ascii="Arial" w:hAnsi="Arial" w:cs="Arial"/>
          <w:sz w:val="20"/>
          <w:szCs w:val="20"/>
        </w:rPr>
        <w:t xml:space="preserve">preprečiti uvajanje novih dodatkov z drugimi predpisi (vključitev posebne določbe v </w:t>
      </w:r>
      <w:r w:rsidR="00A12448" w:rsidRPr="00C97145">
        <w:rPr>
          <w:rFonts w:ascii="Arial" w:hAnsi="Arial" w:cs="Arial"/>
          <w:sz w:val="20"/>
          <w:szCs w:val="20"/>
        </w:rPr>
        <w:t>novi zakon</w:t>
      </w:r>
      <w:r w:rsidRPr="00C97145">
        <w:rPr>
          <w:rFonts w:ascii="Arial" w:hAnsi="Arial" w:cs="Arial"/>
          <w:sz w:val="20"/>
          <w:szCs w:val="20"/>
        </w:rPr>
        <w:t>)</w:t>
      </w:r>
      <w:r w:rsidR="00D960A9" w:rsidRPr="00C97145">
        <w:rPr>
          <w:rFonts w:ascii="Arial" w:hAnsi="Arial" w:cs="Arial"/>
          <w:sz w:val="20"/>
          <w:szCs w:val="20"/>
        </w:rPr>
        <w:t>.</w:t>
      </w:r>
    </w:p>
    <w:p w14:paraId="2A92EA78" w14:textId="77777777" w:rsidR="00D960A9" w:rsidRPr="00C97145" w:rsidRDefault="00D960A9" w:rsidP="004226FF">
      <w:pPr>
        <w:spacing w:after="160" w:line="259" w:lineRule="auto"/>
        <w:rPr>
          <w:rFonts w:ascii="Arial" w:hAnsi="Arial" w:cs="Arial"/>
          <w:sz w:val="20"/>
          <w:szCs w:val="20"/>
        </w:rPr>
      </w:pPr>
    </w:p>
    <w:p w14:paraId="3CBE43D3" w14:textId="77777777" w:rsidR="004226FF" w:rsidRPr="00C97145" w:rsidRDefault="004226FF" w:rsidP="00A46986">
      <w:pPr>
        <w:pStyle w:val="Odstavekseznama"/>
        <w:numPr>
          <w:ilvl w:val="1"/>
          <w:numId w:val="13"/>
        </w:numPr>
        <w:spacing w:after="160" w:line="259" w:lineRule="auto"/>
        <w:jc w:val="both"/>
        <w:rPr>
          <w:rFonts w:ascii="Arial" w:hAnsi="Arial" w:cs="Arial"/>
          <w:b/>
          <w:bCs/>
          <w:sz w:val="20"/>
          <w:szCs w:val="20"/>
          <w:u w:val="single"/>
        </w:rPr>
      </w:pPr>
      <w:r w:rsidRPr="00C97145">
        <w:rPr>
          <w:rFonts w:ascii="Arial" w:hAnsi="Arial" w:cs="Arial"/>
          <w:b/>
          <w:bCs/>
          <w:sz w:val="20"/>
          <w:szCs w:val="20"/>
          <w:u w:val="single"/>
        </w:rPr>
        <w:t>Delovna uspešnost</w:t>
      </w:r>
    </w:p>
    <w:p w14:paraId="11DC8EE7" w14:textId="5E030D2E" w:rsidR="00262685" w:rsidRPr="00C97145" w:rsidRDefault="00262685" w:rsidP="00262685">
      <w:pPr>
        <w:pStyle w:val="Odstavekseznama"/>
        <w:numPr>
          <w:ilvl w:val="0"/>
          <w:numId w:val="21"/>
        </w:numPr>
        <w:spacing w:after="160" w:line="259" w:lineRule="auto"/>
        <w:rPr>
          <w:rFonts w:ascii="Arial" w:hAnsi="Arial" w:cs="Arial"/>
          <w:sz w:val="20"/>
          <w:szCs w:val="20"/>
        </w:rPr>
      </w:pPr>
      <w:r w:rsidRPr="00C97145">
        <w:rPr>
          <w:rFonts w:ascii="Arial" w:hAnsi="Arial" w:cs="Arial"/>
          <w:sz w:val="20"/>
          <w:szCs w:val="20"/>
        </w:rPr>
        <w:t xml:space="preserve">prenovitev sistema nagrajevanja delovne uspešnosti, določitev </w:t>
      </w:r>
      <w:r w:rsidR="00850605">
        <w:rPr>
          <w:rFonts w:ascii="Arial" w:hAnsi="Arial" w:cs="Arial"/>
          <w:sz w:val="20"/>
          <w:szCs w:val="20"/>
        </w:rPr>
        <w:t xml:space="preserve">meril in </w:t>
      </w:r>
      <w:r w:rsidRPr="00C97145">
        <w:rPr>
          <w:rFonts w:ascii="Arial" w:hAnsi="Arial" w:cs="Arial"/>
          <w:sz w:val="20"/>
          <w:szCs w:val="20"/>
        </w:rPr>
        <w:t>kriterijev, ki so neposredno povezani z rezultati in učinkovitostjo dela</w:t>
      </w:r>
      <w:r w:rsidR="00576432" w:rsidRPr="00C97145">
        <w:rPr>
          <w:rFonts w:ascii="Arial" w:hAnsi="Arial" w:cs="Arial"/>
          <w:sz w:val="20"/>
          <w:szCs w:val="20"/>
        </w:rPr>
        <w:t>,</w:t>
      </w:r>
      <w:r w:rsidR="00850605">
        <w:rPr>
          <w:rFonts w:ascii="Arial" w:hAnsi="Arial" w:cs="Arial"/>
          <w:sz w:val="20"/>
          <w:szCs w:val="20"/>
        </w:rPr>
        <w:t xml:space="preserve"> merila in kriteriji se določijo po plačnih stebrih,</w:t>
      </w:r>
    </w:p>
    <w:p w14:paraId="6A3CC526" w14:textId="4DFA5321" w:rsidR="004226FF" w:rsidRPr="00C97145" w:rsidRDefault="004226FF" w:rsidP="00A46986">
      <w:pPr>
        <w:pStyle w:val="Odstavekseznama"/>
        <w:numPr>
          <w:ilvl w:val="0"/>
          <w:numId w:val="21"/>
        </w:numPr>
        <w:spacing w:after="160" w:line="259" w:lineRule="auto"/>
        <w:rPr>
          <w:rFonts w:ascii="Arial" w:hAnsi="Arial" w:cs="Arial"/>
          <w:sz w:val="20"/>
          <w:szCs w:val="20"/>
        </w:rPr>
      </w:pPr>
      <w:r w:rsidRPr="00C97145">
        <w:rPr>
          <w:rFonts w:ascii="Arial" w:hAnsi="Arial" w:cs="Arial"/>
          <w:sz w:val="20"/>
          <w:szCs w:val="20"/>
        </w:rPr>
        <w:t xml:space="preserve">združitev redne delovne uspešnosti in povečanega obsega dela (posebej </w:t>
      </w:r>
      <w:r w:rsidR="00D11368" w:rsidRPr="00C97145">
        <w:rPr>
          <w:rFonts w:ascii="Arial" w:hAnsi="Arial" w:cs="Arial"/>
          <w:sz w:val="20"/>
          <w:szCs w:val="20"/>
        </w:rPr>
        <w:t>se</w:t>
      </w:r>
      <w:r w:rsidRPr="00C97145">
        <w:rPr>
          <w:rFonts w:ascii="Arial" w:hAnsi="Arial" w:cs="Arial"/>
          <w:sz w:val="20"/>
          <w:szCs w:val="20"/>
        </w:rPr>
        <w:t xml:space="preserve"> uredi plačilo</w:t>
      </w:r>
      <w:r w:rsidRPr="00C97145">
        <w:rPr>
          <w:rFonts w:ascii="Arial" w:hAnsi="Arial" w:cs="Arial"/>
          <w:color w:val="70AD47" w:themeColor="accent6"/>
          <w:sz w:val="20"/>
          <w:szCs w:val="20"/>
        </w:rPr>
        <w:t xml:space="preserve"> </w:t>
      </w:r>
      <w:r w:rsidRPr="00C97145">
        <w:rPr>
          <w:rFonts w:ascii="Arial" w:hAnsi="Arial" w:cs="Arial"/>
          <w:sz w:val="20"/>
          <w:szCs w:val="20"/>
        </w:rPr>
        <w:t xml:space="preserve">povečanega obsega dela zaradi </w:t>
      </w:r>
      <w:r w:rsidR="00576432" w:rsidRPr="00C97145">
        <w:rPr>
          <w:rFonts w:ascii="Arial" w:hAnsi="Arial" w:cs="Arial"/>
          <w:sz w:val="20"/>
          <w:szCs w:val="20"/>
        </w:rPr>
        <w:t xml:space="preserve">povečane učne ali pedagoške obveznosti </w:t>
      </w:r>
      <w:r w:rsidRPr="00C97145">
        <w:rPr>
          <w:rFonts w:ascii="Arial" w:hAnsi="Arial" w:cs="Arial"/>
          <w:sz w:val="20"/>
          <w:szCs w:val="20"/>
        </w:rPr>
        <w:t>v izobraževanju)</w:t>
      </w:r>
      <w:r w:rsidR="00D960A9" w:rsidRPr="00C97145">
        <w:rPr>
          <w:rFonts w:ascii="Arial" w:hAnsi="Arial" w:cs="Arial"/>
          <w:sz w:val="20"/>
          <w:szCs w:val="20"/>
        </w:rPr>
        <w:t>,</w:t>
      </w:r>
    </w:p>
    <w:p w14:paraId="77D067E4" w14:textId="1B621E19" w:rsidR="004226FF" w:rsidRPr="00850605" w:rsidRDefault="004226FF" w:rsidP="00F26B60">
      <w:pPr>
        <w:pStyle w:val="Odstavekseznama"/>
        <w:numPr>
          <w:ilvl w:val="0"/>
          <w:numId w:val="21"/>
        </w:numPr>
        <w:spacing w:after="160" w:line="259" w:lineRule="auto"/>
        <w:jc w:val="both"/>
        <w:rPr>
          <w:rFonts w:ascii="Arial" w:hAnsi="Arial" w:cs="Arial"/>
          <w:color w:val="000000" w:themeColor="text1"/>
          <w:sz w:val="20"/>
          <w:szCs w:val="20"/>
        </w:rPr>
      </w:pPr>
      <w:r w:rsidRPr="00850605">
        <w:rPr>
          <w:rFonts w:ascii="Arial" w:hAnsi="Arial" w:cs="Arial"/>
          <w:sz w:val="20"/>
          <w:szCs w:val="20"/>
        </w:rPr>
        <w:t xml:space="preserve">povišanje skupnega obsega na 5 </w:t>
      </w:r>
      <w:r w:rsidR="00B560C2" w:rsidRPr="00850605">
        <w:rPr>
          <w:rFonts w:ascii="Arial" w:hAnsi="Arial" w:cs="Arial"/>
          <w:sz w:val="20"/>
          <w:szCs w:val="20"/>
        </w:rPr>
        <w:t>odstotkov</w:t>
      </w:r>
      <w:r w:rsidRPr="00850605">
        <w:rPr>
          <w:rFonts w:ascii="Arial" w:hAnsi="Arial" w:cs="Arial"/>
          <w:sz w:val="20"/>
          <w:szCs w:val="20"/>
        </w:rPr>
        <w:t xml:space="preserve"> mase osnovnih plač</w:t>
      </w:r>
      <w:r w:rsidR="00D960A9" w:rsidRPr="00850605">
        <w:rPr>
          <w:rFonts w:ascii="Arial" w:hAnsi="Arial" w:cs="Arial"/>
          <w:sz w:val="20"/>
          <w:szCs w:val="20"/>
        </w:rPr>
        <w:t>,</w:t>
      </w:r>
      <w:r w:rsidR="00850605" w:rsidRPr="00850605">
        <w:rPr>
          <w:rFonts w:ascii="Arial" w:hAnsi="Arial" w:cs="Arial"/>
          <w:sz w:val="20"/>
          <w:szCs w:val="20"/>
        </w:rPr>
        <w:t xml:space="preserve"> </w:t>
      </w:r>
      <w:r w:rsidRPr="00850605">
        <w:rPr>
          <w:rFonts w:ascii="Arial" w:hAnsi="Arial" w:cs="Arial"/>
          <w:color w:val="000000" w:themeColor="text1"/>
          <w:sz w:val="20"/>
          <w:szCs w:val="20"/>
        </w:rPr>
        <w:t>možnost večjega obsega po posameznih plačnih stebrih, če financer zagotovi za to dodatna sredstva</w:t>
      </w:r>
      <w:r w:rsidR="00D960A9" w:rsidRPr="00850605">
        <w:rPr>
          <w:rFonts w:ascii="Arial" w:hAnsi="Arial" w:cs="Arial"/>
          <w:color w:val="000000" w:themeColor="text1"/>
          <w:sz w:val="20"/>
          <w:szCs w:val="20"/>
        </w:rPr>
        <w:t>,</w:t>
      </w:r>
    </w:p>
    <w:p w14:paraId="5E92434E" w14:textId="49DADA46" w:rsidR="004226FF" w:rsidRPr="00C97145" w:rsidRDefault="004226FF" w:rsidP="00A46986">
      <w:pPr>
        <w:pStyle w:val="Odstavekseznama"/>
        <w:numPr>
          <w:ilvl w:val="0"/>
          <w:numId w:val="21"/>
        </w:numPr>
        <w:spacing w:after="160" w:line="259" w:lineRule="auto"/>
        <w:rPr>
          <w:rFonts w:ascii="Arial" w:hAnsi="Arial" w:cs="Arial"/>
          <w:sz w:val="20"/>
          <w:szCs w:val="20"/>
        </w:rPr>
      </w:pPr>
      <w:r w:rsidRPr="00C97145">
        <w:rPr>
          <w:rFonts w:ascii="Arial" w:hAnsi="Arial" w:cs="Arial"/>
          <w:sz w:val="20"/>
          <w:szCs w:val="20"/>
        </w:rPr>
        <w:t>ohranitev delovne uspešnosti iz naslova prodaje blaga in storitev na trgu</w:t>
      </w:r>
      <w:r w:rsidR="00D960A9" w:rsidRPr="00C97145">
        <w:rPr>
          <w:rFonts w:ascii="Arial" w:hAnsi="Arial" w:cs="Arial"/>
          <w:sz w:val="20"/>
          <w:szCs w:val="20"/>
        </w:rPr>
        <w:t>.</w:t>
      </w:r>
    </w:p>
    <w:p w14:paraId="296C99F5" w14:textId="4528CDAC" w:rsidR="001719C8" w:rsidRPr="00CF6953" w:rsidRDefault="001719C8" w:rsidP="001719C8">
      <w:pPr>
        <w:pStyle w:val="Odstavekseznama"/>
        <w:numPr>
          <w:ilvl w:val="0"/>
          <w:numId w:val="21"/>
        </w:numPr>
        <w:spacing w:after="160" w:line="259" w:lineRule="auto"/>
        <w:rPr>
          <w:rFonts w:ascii="Arial" w:hAnsi="Arial" w:cs="Arial"/>
          <w:sz w:val="20"/>
          <w:szCs w:val="20"/>
        </w:rPr>
      </w:pPr>
      <w:r w:rsidRPr="00CF6953">
        <w:rPr>
          <w:rFonts w:ascii="Arial" w:hAnsi="Arial" w:cs="Arial"/>
          <w:sz w:val="20"/>
          <w:szCs w:val="20"/>
        </w:rPr>
        <w:t xml:space="preserve">do začetka uporabe novih pravil </w:t>
      </w:r>
      <w:r>
        <w:rPr>
          <w:rFonts w:ascii="Arial" w:hAnsi="Arial" w:cs="Arial"/>
          <w:sz w:val="20"/>
          <w:szCs w:val="20"/>
        </w:rPr>
        <w:t xml:space="preserve">glede nagrajevanja delovne uspešnosti </w:t>
      </w:r>
      <w:r w:rsidRPr="00CF6953">
        <w:rPr>
          <w:rFonts w:ascii="Arial" w:hAnsi="Arial" w:cs="Arial"/>
          <w:sz w:val="20"/>
          <w:szCs w:val="20"/>
        </w:rPr>
        <w:t xml:space="preserve">se </w:t>
      </w:r>
      <w:r>
        <w:rPr>
          <w:rFonts w:ascii="Arial" w:hAnsi="Arial" w:cs="Arial"/>
          <w:sz w:val="20"/>
          <w:szCs w:val="20"/>
        </w:rPr>
        <w:t>delovna uspešnost ne izplačuje</w:t>
      </w:r>
      <w:r w:rsidRPr="00CF6953">
        <w:rPr>
          <w:rFonts w:ascii="Arial" w:hAnsi="Arial" w:cs="Arial"/>
          <w:sz w:val="20"/>
          <w:szCs w:val="20"/>
        </w:rPr>
        <w:t>.</w:t>
      </w:r>
    </w:p>
    <w:p w14:paraId="2C2CEA05" w14:textId="77777777" w:rsidR="004226FF" w:rsidRPr="00C97145" w:rsidRDefault="004226FF" w:rsidP="004226FF">
      <w:pPr>
        <w:pStyle w:val="Odstavekseznama"/>
        <w:jc w:val="both"/>
        <w:rPr>
          <w:rFonts w:ascii="Arial" w:hAnsi="Arial" w:cs="Arial"/>
          <w:sz w:val="20"/>
          <w:szCs w:val="20"/>
        </w:rPr>
      </w:pPr>
    </w:p>
    <w:p w14:paraId="521A7DC2" w14:textId="77777777" w:rsidR="004226FF" w:rsidRPr="00C97145" w:rsidRDefault="004226FF" w:rsidP="004226FF">
      <w:pPr>
        <w:pStyle w:val="Odstavekseznama"/>
        <w:ind w:left="1080"/>
        <w:jc w:val="both"/>
        <w:rPr>
          <w:rFonts w:ascii="Arial" w:hAnsi="Arial" w:cs="Arial"/>
          <w:sz w:val="20"/>
          <w:szCs w:val="20"/>
        </w:rPr>
      </w:pPr>
    </w:p>
    <w:p w14:paraId="5D57614D" w14:textId="77777777" w:rsidR="004226FF" w:rsidRPr="00C97145" w:rsidRDefault="004226FF" w:rsidP="00A46986">
      <w:pPr>
        <w:pStyle w:val="Odstavekseznama"/>
        <w:numPr>
          <w:ilvl w:val="1"/>
          <w:numId w:val="13"/>
        </w:numPr>
        <w:spacing w:after="160" w:line="259" w:lineRule="auto"/>
        <w:jc w:val="both"/>
        <w:rPr>
          <w:rFonts w:ascii="Arial" w:hAnsi="Arial" w:cs="Arial"/>
          <w:sz w:val="20"/>
          <w:szCs w:val="20"/>
        </w:rPr>
      </w:pPr>
      <w:r w:rsidRPr="00C97145">
        <w:rPr>
          <w:rFonts w:ascii="Arial" w:hAnsi="Arial" w:cs="Arial"/>
          <w:b/>
          <w:bCs/>
          <w:sz w:val="20"/>
          <w:szCs w:val="20"/>
          <w:u w:val="single"/>
        </w:rPr>
        <w:t>Način obračunavanja in izplačevanja plač</w:t>
      </w:r>
      <w:r w:rsidRPr="00C97145">
        <w:rPr>
          <w:rFonts w:ascii="Arial" w:hAnsi="Arial" w:cs="Arial"/>
          <w:sz w:val="20"/>
          <w:szCs w:val="20"/>
        </w:rPr>
        <w:t xml:space="preserve"> (enotna metodologija za obračun in izplačilo plač)</w:t>
      </w:r>
    </w:p>
    <w:p w14:paraId="7C3CC167" w14:textId="6BF480E9" w:rsidR="004226FF" w:rsidRPr="00C97145" w:rsidRDefault="004226FF" w:rsidP="00A46986">
      <w:pPr>
        <w:pStyle w:val="Odstavekseznama"/>
        <w:numPr>
          <w:ilvl w:val="0"/>
          <w:numId w:val="22"/>
        </w:numPr>
        <w:spacing w:after="160" w:line="259" w:lineRule="auto"/>
        <w:jc w:val="both"/>
        <w:rPr>
          <w:rFonts w:ascii="Arial" w:hAnsi="Arial" w:cs="Arial"/>
          <w:sz w:val="20"/>
          <w:szCs w:val="20"/>
        </w:rPr>
      </w:pPr>
      <w:r w:rsidRPr="00C97145">
        <w:rPr>
          <w:rFonts w:ascii="Arial" w:hAnsi="Arial" w:cs="Arial"/>
          <w:sz w:val="20"/>
          <w:szCs w:val="20"/>
        </w:rPr>
        <w:t>enako kot na podlagi veljavne Uredbe o enotni metodologiji in obrazcih za obračun in izplačilo plač v javnem sektorju</w:t>
      </w:r>
      <w:r w:rsidR="00D960A9" w:rsidRPr="00C97145">
        <w:rPr>
          <w:rFonts w:ascii="Arial" w:hAnsi="Arial" w:cs="Arial"/>
          <w:sz w:val="20"/>
          <w:szCs w:val="20"/>
        </w:rPr>
        <w:t>.</w:t>
      </w:r>
    </w:p>
    <w:p w14:paraId="41D484FA" w14:textId="77777777" w:rsidR="004226FF" w:rsidRPr="00C97145" w:rsidRDefault="004226FF" w:rsidP="004226FF">
      <w:pPr>
        <w:pStyle w:val="Odstavekseznama"/>
        <w:ind w:left="1080"/>
        <w:jc w:val="both"/>
        <w:rPr>
          <w:rFonts w:ascii="Arial" w:hAnsi="Arial" w:cs="Arial"/>
          <w:sz w:val="20"/>
          <w:szCs w:val="20"/>
        </w:rPr>
      </w:pPr>
    </w:p>
    <w:p w14:paraId="10FE4EB4" w14:textId="77777777" w:rsidR="004226FF" w:rsidRPr="00C97145" w:rsidRDefault="004226FF" w:rsidP="004226FF">
      <w:pPr>
        <w:pStyle w:val="Odstavekseznama"/>
        <w:ind w:left="1080"/>
        <w:jc w:val="both"/>
        <w:rPr>
          <w:rFonts w:ascii="Arial" w:hAnsi="Arial" w:cs="Arial"/>
          <w:sz w:val="20"/>
          <w:szCs w:val="20"/>
        </w:rPr>
      </w:pPr>
    </w:p>
    <w:p w14:paraId="071E07BE" w14:textId="77777777" w:rsidR="004226FF" w:rsidRPr="00C97145" w:rsidRDefault="004226FF" w:rsidP="00A46986">
      <w:pPr>
        <w:pStyle w:val="Odstavekseznama"/>
        <w:numPr>
          <w:ilvl w:val="1"/>
          <w:numId w:val="13"/>
        </w:numPr>
        <w:spacing w:after="160" w:line="259" w:lineRule="auto"/>
        <w:jc w:val="both"/>
        <w:rPr>
          <w:rFonts w:ascii="Arial" w:hAnsi="Arial" w:cs="Arial"/>
          <w:b/>
          <w:bCs/>
          <w:sz w:val="20"/>
          <w:szCs w:val="20"/>
          <w:u w:val="single"/>
        </w:rPr>
      </w:pPr>
      <w:r w:rsidRPr="00C97145">
        <w:rPr>
          <w:rFonts w:ascii="Arial" w:hAnsi="Arial" w:cs="Arial"/>
          <w:b/>
          <w:bCs/>
          <w:sz w:val="20"/>
          <w:szCs w:val="20"/>
          <w:u w:val="single"/>
        </w:rPr>
        <w:t>Poročanje podatkov o plačah, nekaterih drugih stroških dela in številu zaposlenih v ISPAP</w:t>
      </w:r>
    </w:p>
    <w:p w14:paraId="261BA7EA" w14:textId="158B19D5" w:rsidR="004226FF" w:rsidRPr="00C97145" w:rsidRDefault="004226FF" w:rsidP="00A46986">
      <w:pPr>
        <w:pStyle w:val="Odstavekseznama"/>
        <w:numPr>
          <w:ilvl w:val="0"/>
          <w:numId w:val="22"/>
        </w:numPr>
        <w:spacing w:after="160" w:line="259" w:lineRule="auto"/>
        <w:rPr>
          <w:rFonts w:ascii="Arial" w:hAnsi="Arial" w:cs="Arial"/>
          <w:sz w:val="20"/>
          <w:szCs w:val="20"/>
        </w:rPr>
      </w:pPr>
      <w:r w:rsidRPr="00C97145">
        <w:rPr>
          <w:rFonts w:ascii="Arial" w:hAnsi="Arial" w:cs="Arial"/>
          <w:sz w:val="20"/>
          <w:szCs w:val="20"/>
        </w:rPr>
        <w:t>enako kot po sedanji ureditvi</w:t>
      </w:r>
      <w:r w:rsidR="002F449E" w:rsidRPr="00C97145">
        <w:rPr>
          <w:rFonts w:ascii="Arial" w:hAnsi="Arial" w:cs="Arial"/>
          <w:sz w:val="20"/>
          <w:szCs w:val="20"/>
        </w:rPr>
        <w:t>.</w:t>
      </w:r>
    </w:p>
    <w:p w14:paraId="0E059613" w14:textId="77777777" w:rsidR="004226FF" w:rsidRPr="00C97145" w:rsidRDefault="004226FF" w:rsidP="004226FF">
      <w:pPr>
        <w:pStyle w:val="Odstavekseznama"/>
        <w:ind w:left="1080"/>
        <w:jc w:val="both"/>
        <w:rPr>
          <w:rFonts w:ascii="Arial" w:hAnsi="Arial" w:cs="Arial"/>
          <w:sz w:val="20"/>
          <w:szCs w:val="20"/>
        </w:rPr>
      </w:pPr>
    </w:p>
    <w:p w14:paraId="285202BB" w14:textId="77777777" w:rsidR="002F449E" w:rsidRPr="00C97145" w:rsidRDefault="002F449E" w:rsidP="002F449E">
      <w:pPr>
        <w:jc w:val="both"/>
        <w:rPr>
          <w:rFonts w:ascii="Arial" w:hAnsi="Arial" w:cs="Arial"/>
          <w:b/>
          <w:bCs/>
          <w:sz w:val="20"/>
          <w:szCs w:val="20"/>
          <w:u w:val="single"/>
        </w:rPr>
      </w:pPr>
      <w:r w:rsidRPr="00C97145">
        <w:rPr>
          <w:rFonts w:ascii="Arial" w:hAnsi="Arial" w:cs="Arial"/>
          <w:b/>
          <w:bCs/>
          <w:sz w:val="20"/>
          <w:szCs w:val="20"/>
        </w:rPr>
        <w:t>2</w:t>
      </w:r>
      <w:r w:rsidR="004226FF" w:rsidRPr="00C97145">
        <w:rPr>
          <w:rFonts w:ascii="Arial" w:hAnsi="Arial" w:cs="Arial"/>
          <w:b/>
          <w:bCs/>
          <w:sz w:val="20"/>
          <w:szCs w:val="20"/>
        </w:rPr>
        <w:t>.11</w:t>
      </w:r>
      <w:r w:rsidR="004226FF" w:rsidRPr="00C97145">
        <w:rPr>
          <w:rFonts w:ascii="Arial" w:hAnsi="Arial" w:cs="Arial"/>
          <w:sz w:val="20"/>
          <w:szCs w:val="20"/>
        </w:rPr>
        <w:t xml:space="preserve">  </w:t>
      </w:r>
      <w:r w:rsidR="004226FF" w:rsidRPr="00C97145">
        <w:rPr>
          <w:rFonts w:ascii="Arial" w:hAnsi="Arial" w:cs="Arial"/>
          <w:b/>
          <w:bCs/>
          <w:sz w:val="20"/>
          <w:szCs w:val="20"/>
          <w:u w:val="single"/>
        </w:rPr>
        <w:t>Nadzor</w:t>
      </w:r>
    </w:p>
    <w:p w14:paraId="4C92A6ED" w14:textId="146AC910" w:rsidR="004226FF" w:rsidRPr="00C97145" w:rsidRDefault="004226FF" w:rsidP="00A46986">
      <w:pPr>
        <w:pStyle w:val="Odstavekseznama"/>
        <w:numPr>
          <w:ilvl w:val="0"/>
          <w:numId w:val="30"/>
        </w:numPr>
        <w:jc w:val="both"/>
        <w:rPr>
          <w:rFonts w:ascii="Arial" w:hAnsi="Arial" w:cs="Arial"/>
          <w:sz w:val="20"/>
          <w:szCs w:val="20"/>
        </w:rPr>
      </w:pPr>
      <w:r w:rsidRPr="00C97145">
        <w:rPr>
          <w:rFonts w:ascii="Arial" w:hAnsi="Arial" w:cs="Arial"/>
          <w:sz w:val="20"/>
          <w:szCs w:val="20"/>
        </w:rPr>
        <w:t>enako kot po sedanji ureditvi</w:t>
      </w:r>
      <w:r w:rsidR="002F449E" w:rsidRPr="00C97145">
        <w:rPr>
          <w:rFonts w:ascii="Arial" w:hAnsi="Arial" w:cs="Arial"/>
          <w:sz w:val="20"/>
          <w:szCs w:val="20"/>
        </w:rPr>
        <w:t>.</w:t>
      </w:r>
    </w:p>
    <w:p w14:paraId="311AA173" w14:textId="77777777" w:rsidR="004226FF" w:rsidRPr="00C97145" w:rsidRDefault="004226FF" w:rsidP="004226FF">
      <w:pPr>
        <w:rPr>
          <w:rFonts w:ascii="Arial" w:hAnsi="Arial" w:cs="Arial"/>
          <w:b/>
          <w:bCs/>
          <w:sz w:val="20"/>
          <w:szCs w:val="20"/>
          <w:u w:val="single"/>
        </w:rPr>
      </w:pPr>
    </w:p>
    <w:p w14:paraId="65B079F7" w14:textId="3BF2B42D" w:rsidR="004226FF" w:rsidRPr="00C97145" w:rsidRDefault="002F449E" w:rsidP="004226FF">
      <w:pPr>
        <w:rPr>
          <w:rFonts w:ascii="Arial" w:hAnsi="Arial" w:cs="Arial"/>
          <w:b/>
          <w:bCs/>
          <w:sz w:val="20"/>
          <w:szCs w:val="20"/>
        </w:rPr>
      </w:pPr>
      <w:r w:rsidRPr="00C97145">
        <w:rPr>
          <w:rFonts w:ascii="Arial" w:hAnsi="Arial" w:cs="Arial"/>
          <w:b/>
          <w:bCs/>
          <w:sz w:val="20"/>
          <w:szCs w:val="20"/>
          <w:u w:val="single"/>
        </w:rPr>
        <w:t>2</w:t>
      </w:r>
      <w:r w:rsidR="004226FF" w:rsidRPr="00C97145">
        <w:rPr>
          <w:rFonts w:ascii="Arial" w:hAnsi="Arial" w:cs="Arial"/>
          <w:b/>
          <w:bCs/>
          <w:sz w:val="20"/>
          <w:szCs w:val="20"/>
          <w:u w:val="single"/>
        </w:rPr>
        <w:t>.12 Kazenske sankcije</w:t>
      </w:r>
    </w:p>
    <w:p w14:paraId="3E43D39E" w14:textId="5FB025A1" w:rsidR="004226FF" w:rsidRPr="00C97145" w:rsidRDefault="004226FF" w:rsidP="00A46986">
      <w:pPr>
        <w:pStyle w:val="Odstavekseznama"/>
        <w:numPr>
          <w:ilvl w:val="0"/>
          <w:numId w:val="22"/>
        </w:numPr>
        <w:spacing w:after="160" w:line="259" w:lineRule="auto"/>
        <w:rPr>
          <w:rFonts w:ascii="Arial" w:hAnsi="Arial" w:cs="Arial"/>
          <w:sz w:val="20"/>
          <w:szCs w:val="20"/>
        </w:rPr>
      </w:pPr>
      <w:r w:rsidRPr="00C97145">
        <w:rPr>
          <w:rFonts w:ascii="Arial" w:hAnsi="Arial" w:cs="Arial"/>
          <w:sz w:val="20"/>
          <w:szCs w:val="20"/>
        </w:rPr>
        <w:t>enako kot po sedanji ureditvi</w:t>
      </w:r>
      <w:r w:rsidR="002F449E" w:rsidRPr="00C97145">
        <w:rPr>
          <w:rFonts w:ascii="Arial" w:hAnsi="Arial" w:cs="Arial"/>
          <w:sz w:val="20"/>
          <w:szCs w:val="20"/>
        </w:rPr>
        <w:t>,</w:t>
      </w:r>
    </w:p>
    <w:p w14:paraId="4B1A3AE6" w14:textId="03A081E2" w:rsidR="004226FF" w:rsidRPr="00C97145" w:rsidRDefault="004226FF" w:rsidP="00A46986">
      <w:pPr>
        <w:pStyle w:val="Odstavekseznama"/>
        <w:numPr>
          <w:ilvl w:val="0"/>
          <w:numId w:val="22"/>
        </w:numPr>
        <w:spacing w:after="160" w:line="259" w:lineRule="auto"/>
        <w:rPr>
          <w:rFonts w:ascii="Arial" w:hAnsi="Arial" w:cs="Arial"/>
          <w:sz w:val="20"/>
          <w:szCs w:val="20"/>
        </w:rPr>
      </w:pPr>
      <w:r w:rsidRPr="00C97145">
        <w:rPr>
          <w:rFonts w:ascii="Arial" w:hAnsi="Arial" w:cs="Arial"/>
          <w:sz w:val="20"/>
          <w:szCs w:val="20"/>
        </w:rPr>
        <w:t xml:space="preserve">spremeniti oz. dopolniti </w:t>
      </w:r>
      <w:proofErr w:type="spellStart"/>
      <w:r w:rsidRPr="00C97145">
        <w:rPr>
          <w:rFonts w:ascii="Arial" w:hAnsi="Arial" w:cs="Arial"/>
          <w:sz w:val="20"/>
          <w:szCs w:val="20"/>
        </w:rPr>
        <w:t>prekrškovne</w:t>
      </w:r>
      <w:proofErr w:type="spellEnd"/>
      <w:r w:rsidRPr="00C97145">
        <w:rPr>
          <w:rFonts w:ascii="Arial" w:hAnsi="Arial" w:cs="Arial"/>
          <w:sz w:val="20"/>
          <w:szCs w:val="20"/>
        </w:rPr>
        <w:t xml:space="preserve"> določbe</w:t>
      </w:r>
      <w:r w:rsidR="002F449E" w:rsidRPr="00C97145">
        <w:rPr>
          <w:rFonts w:ascii="Arial" w:hAnsi="Arial" w:cs="Arial"/>
          <w:sz w:val="20"/>
          <w:szCs w:val="20"/>
        </w:rPr>
        <w:t>.</w:t>
      </w:r>
    </w:p>
    <w:p w14:paraId="485275FA" w14:textId="77777777" w:rsidR="004226FF" w:rsidRPr="00C97145" w:rsidRDefault="004226FF" w:rsidP="004226FF">
      <w:pPr>
        <w:pStyle w:val="Odstavekseznama"/>
        <w:ind w:left="1080"/>
        <w:rPr>
          <w:rFonts w:ascii="Arial" w:hAnsi="Arial" w:cs="Arial"/>
          <w:sz w:val="20"/>
          <w:szCs w:val="20"/>
        </w:rPr>
      </w:pPr>
    </w:p>
    <w:p w14:paraId="6777BD0F" w14:textId="77777777" w:rsidR="004226FF" w:rsidRPr="00C97145" w:rsidRDefault="004226FF" w:rsidP="004226FF">
      <w:pPr>
        <w:pStyle w:val="Odstavekseznama"/>
        <w:ind w:left="1080"/>
        <w:rPr>
          <w:rFonts w:ascii="Arial" w:hAnsi="Arial" w:cs="Arial"/>
          <w:sz w:val="20"/>
          <w:szCs w:val="20"/>
        </w:rPr>
      </w:pPr>
    </w:p>
    <w:p w14:paraId="5485BAAA" w14:textId="6489F709" w:rsidR="004226FF" w:rsidRPr="00C97145" w:rsidRDefault="004226FF" w:rsidP="002858A7">
      <w:pPr>
        <w:pStyle w:val="Odstavekseznama"/>
        <w:numPr>
          <w:ilvl w:val="0"/>
          <w:numId w:val="13"/>
        </w:numPr>
        <w:spacing w:after="160" w:line="259" w:lineRule="auto"/>
        <w:rPr>
          <w:rFonts w:ascii="Arial" w:hAnsi="Arial" w:cs="Arial"/>
          <w:b/>
          <w:bCs/>
          <w:sz w:val="20"/>
          <w:szCs w:val="20"/>
        </w:rPr>
      </w:pPr>
      <w:r w:rsidRPr="00C97145">
        <w:rPr>
          <w:rFonts w:ascii="Arial" w:hAnsi="Arial" w:cs="Arial"/>
          <w:b/>
          <w:bCs/>
          <w:sz w:val="20"/>
          <w:szCs w:val="20"/>
        </w:rPr>
        <w:t xml:space="preserve">KAJ </w:t>
      </w:r>
      <w:r w:rsidR="00262685" w:rsidRPr="00C97145">
        <w:rPr>
          <w:rFonts w:ascii="Arial" w:hAnsi="Arial" w:cs="Arial"/>
          <w:b/>
          <w:bCs/>
          <w:sz w:val="20"/>
          <w:szCs w:val="20"/>
        </w:rPr>
        <w:t xml:space="preserve">SE UREJA </w:t>
      </w:r>
      <w:r w:rsidRPr="00C97145">
        <w:rPr>
          <w:rFonts w:ascii="Arial" w:hAnsi="Arial" w:cs="Arial"/>
          <w:b/>
          <w:bCs/>
          <w:sz w:val="20"/>
          <w:szCs w:val="20"/>
        </w:rPr>
        <w:t xml:space="preserve">LOČENO </w:t>
      </w:r>
      <w:r w:rsidR="00262685" w:rsidRPr="00C97145">
        <w:rPr>
          <w:rFonts w:ascii="Arial" w:hAnsi="Arial" w:cs="Arial"/>
          <w:b/>
          <w:bCs/>
          <w:sz w:val="20"/>
          <w:szCs w:val="20"/>
        </w:rPr>
        <w:t xml:space="preserve">PO </w:t>
      </w:r>
      <w:r w:rsidRPr="00C97145">
        <w:rPr>
          <w:rFonts w:ascii="Arial" w:hAnsi="Arial" w:cs="Arial"/>
          <w:b/>
          <w:bCs/>
          <w:sz w:val="20"/>
          <w:szCs w:val="20"/>
        </w:rPr>
        <w:t xml:space="preserve"> PLAČN</w:t>
      </w:r>
      <w:r w:rsidR="00262685" w:rsidRPr="00C97145">
        <w:rPr>
          <w:rFonts w:ascii="Arial" w:hAnsi="Arial" w:cs="Arial"/>
          <w:b/>
          <w:bCs/>
          <w:sz w:val="20"/>
          <w:szCs w:val="20"/>
        </w:rPr>
        <w:t>IH</w:t>
      </w:r>
      <w:r w:rsidRPr="00C97145">
        <w:rPr>
          <w:rFonts w:ascii="Arial" w:hAnsi="Arial" w:cs="Arial"/>
          <w:b/>
          <w:bCs/>
          <w:sz w:val="20"/>
          <w:szCs w:val="20"/>
        </w:rPr>
        <w:t xml:space="preserve"> STEBR</w:t>
      </w:r>
      <w:r w:rsidR="00262685" w:rsidRPr="00C97145">
        <w:rPr>
          <w:rFonts w:ascii="Arial" w:hAnsi="Arial" w:cs="Arial"/>
          <w:b/>
          <w:bCs/>
          <w:sz w:val="20"/>
          <w:szCs w:val="20"/>
        </w:rPr>
        <w:t>IH</w:t>
      </w:r>
      <w:r w:rsidRPr="00C97145">
        <w:rPr>
          <w:rFonts w:ascii="Arial" w:hAnsi="Arial" w:cs="Arial"/>
          <w:b/>
          <w:bCs/>
          <w:sz w:val="20"/>
          <w:szCs w:val="20"/>
        </w:rPr>
        <w:t xml:space="preserve"> </w:t>
      </w:r>
    </w:p>
    <w:p w14:paraId="589C6943" w14:textId="5757D7BE" w:rsidR="00262685" w:rsidRPr="00C97145" w:rsidRDefault="00262685" w:rsidP="004C6B28">
      <w:pPr>
        <w:pStyle w:val="Odstavekseznama"/>
        <w:numPr>
          <w:ilvl w:val="0"/>
          <w:numId w:val="14"/>
        </w:numPr>
        <w:spacing w:after="160" w:line="259" w:lineRule="auto"/>
        <w:jc w:val="both"/>
        <w:rPr>
          <w:rFonts w:ascii="Arial" w:hAnsi="Arial" w:cs="Arial"/>
          <w:sz w:val="20"/>
          <w:szCs w:val="20"/>
        </w:rPr>
      </w:pPr>
      <w:r w:rsidRPr="00C97145">
        <w:rPr>
          <w:rFonts w:ascii="Arial" w:hAnsi="Arial" w:cs="Arial"/>
          <w:sz w:val="20"/>
          <w:szCs w:val="20"/>
        </w:rPr>
        <w:t>uvrstitve v plačne razrede – vzpostavitev ustreznih razmerij znotraj plačnega stebra</w:t>
      </w:r>
      <w:r w:rsidR="00341540" w:rsidRPr="00C97145">
        <w:rPr>
          <w:rFonts w:ascii="Arial" w:hAnsi="Arial" w:cs="Arial"/>
          <w:sz w:val="20"/>
          <w:szCs w:val="20"/>
        </w:rPr>
        <w:t>,</w:t>
      </w:r>
    </w:p>
    <w:p w14:paraId="2956F662" w14:textId="0BFDB20A" w:rsidR="004226FF" w:rsidRPr="00C97145" w:rsidRDefault="004226FF" w:rsidP="004C6B28">
      <w:pPr>
        <w:pStyle w:val="Odstavekseznama"/>
        <w:numPr>
          <w:ilvl w:val="0"/>
          <w:numId w:val="14"/>
        </w:numPr>
        <w:spacing w:after="160" w:line="259" w:lineRule="auto"/>
        <w:jc w:val="both"/>
        <w:rPr>
          <w:rFonts w:ascii="Arial" w:hAnsi="Arial" w:cs="Arial"/>
          <w:sz w:val="20"/>
          <w:szCs w:val="20"/>
        </w:rPr>
      </w:pPr>
      <w:r w:rsidRPr="00C97145">
        <w:rPr>
          <w:rFonts w:ascii="Arial" w:hAnsi="Arial" w:cs="Arial"/>
          <w:sz w:val="20"/>
          <w:szCs w:val="20"/>
        </w:rPr>
        <w:t>posebnosti glede določitve plačnega razreda ob zaposlitvi, premestitvi, napredovanju v naziv</w:t>
      </w:r>
      <w:r w:rsidR="002F449E" w:rsidRPr="00C97145">
        <w:rPr>
          <w:rFonts w:ascii="Arial" w:hAnsi="Arial" w:cs="Arial"/>
          <w:sz w:val="20"/>
          <w:szCs w:val="20"/>
        </w:rPr>
        <w:t>,</w:t>
      </w:r>
    </w:p>
    <w:p w14:paraId="0836D34A" w14:textId="7E7C56EA" w:rsidR="004226FF" w:rsidRPr="00C97145" w:rsidRDefault="004226FF" w:rsidP="004C6B28">
      <w:pPr>
        <w:pStyle w:val="Odstavekseznama"/>
        <w:numPr>
          <w:ilvl w:val="0"/>
          <w:numId w:val="14"/>
        </w:numPr>
        <w:spacing w:after="160" w:line="259" w:lineRule="auto"/>
        <w:jc w:val="both"/>
        <w:rPr>
          <w:rFonts w:ascii="Arial" w:hAnsi="Arial" w:cs="Arial"/>
          <w:sz w:val="20"/>
          <w:szCs w:val="20"/>
        </w:rPr>
      </w:pPr>
      <w:r w:rsidRPr="00C97145">
        <w:rPr>
          <w:rFonts w:ascii="Arial" w:hAnsi="Arial" w:cs="Arial"/>
          <w:sz w:val="20"/>
          <w:szCs w:val="20"/>
        </w:rPr>
        <w:t>posebnosti glede uvrstitve v višji plačni razred, kot je določen v okviru razpona glede na tarifni razred, zaradi specifičnih oziroma redkih kompetenc, ki se zahtevajo glede na potrebe delovnih procesov</w:t>
      </w:r>
      <w:r w:rsidR="002F449E" w:rsidRPr="00C97145">
        <w:rPr>
          <w:rFonts w:ascii="Arial" w:hAnsi="Arial" w:cs="Arial"/>
          <w:sz w:val="20"/>
          <w:szCs w:val="20"/>
        </w:rPr>
        <w:t>,</w:t>
      </w:r>
      <w:r w:rsidRPr="00C97145">
        <w:rPr>
          <w:rFonts w:ascii="Arial" w:hAnsi="Arial" w:cs="Arial"/>
          <w:sz w:val="20"/>
          <w:szCs w:val="20"/>
        </w:rPr>
        <w:t xml:space="preserve">  </w:t>
      </w:r>
    </w:p>
    <w:p w14:paraId="7B02C242" w14:textId="5066E33B" w:rsidR="004226FF" w:rsidRPr="00C97145" w:rsidRDefault="004226FF" w:rsidP="004C6B28">
      <w:pPr>
        <w:pStyle w:val="Odstavekseznama"/>
        <w:numPr>
          <w:ilvl w:val="0"/>
          <w:numId w:val="14"/>
        </w:numPr>
        <w:spacing w:after="160" w:line="259" w:lineRule="auto"/>
        <w:jc w:val="both"/>
        <w:rPr>
          <w:rFonts w:ascii="Arial" w:hAnsi="Arial" w:cs="Arial"/>
          <w:sz w:val="20"/>
          <w:szCs w:val="20"/>
        </w:rPr>
      </w:pPr>
      <w:r w:rsidRPr="00C97145">
        <w:rPr>
          <w:rFonts w:ascii="Arial" w:hAnsi="Arial" w:cs="Arial"/>
          <w:sz w:val="20"/>
          <w:szCs w:val="20"/>
        </w:rPr>
        <w:t>možnost uvrstitve v plačni razred s spregledom izobrazbe, kot pogoja za zasedbo delovnega mesta – boljše prilagajanje ponudbi in povpraševanju na trgu delovne sile</w:t>
      </w:r>
      <w:r w:rsidR="00262685" w:rsidRPr="00C97145">
        <w:rPr>
          <w:rFonts w:ascii="Arial" w:hAnsi="Arial" w:cs="Arial"/>
          <w:sz w:val="20"/>
          <w:szCs w:val="20"/>
        </w:rPr>
        <w:t>,</w:t>
      </w:r>
    </w:p>
    <w:p w14:paraId="3B008831" w14:textId="77777777" w:rsidR="00262685" w:rsidRPr="00C97145" w:rsidRDefault="00262685" w:rsidP="004C6B28">
      <w:pPr>
        <w:pStyle w:val="Odstavekseznama"/>
        <w:numPr>
          <w:ilvl w:val="0"/>
          <w:numId w:val="14"/>
        </w:numPr>
        <w:spacing w:after="160" w:line="259" w:lineRule="auto"/>
        <w:jc w:val="both"/>
        <w:rPr>
          <w:rFonts w:ascii="Arial" w:hAnsi="Arial" w:cs="Arial"/>
          <w:sz w:val="20"/>
          <w:szCs w:val="20"/>
        </w:rPr>
      </w:pPr>
      <w:r w:rsidRPr="00C97145">
        <w:rPr>
          <w:rFonts w:ascii="Arial" w:hAnsi="Arial" w:cs="Arial"/>
          <w:sz w:val="20"/>
          <w:szCs w:val="20"/>
        </w:rPr>
        <w:t>napredovanje: pogoji/kriteriji; dinamika/hitrost,</w:t>
      </w:r>
    </w:p>
    <w:p w14:paraId="1E75967F" w14:textId="1F446418" w:rsidR="00262685" w:rsidRPr="00C97145" w:rsidRDefault="00262685" w:rsidP="004C6B28">
      <w:pPr>
        <w:pStyle w:val="Odstavekseznama"/>
        <w:numPr>
          <w:ilvl w:val="0"/>
          <w:numId w:val="14"/>
        </w:numPr>
        <w:spacing w:after="160" w:line="259" w:lineRule="auto"/>
        <w:jc w:val="both"/>
        <w:rPr>
          <w:rFonts w:ascii="Arial" w:hAnsi="Arial" w:cs="Arial"/>
          <w:sz w:val="20"/>
          <w:szCs w:val="20"/>
        </w:rPr>
      </w:pPr>
      <w:r w:rsidRPr="00C97145">
        <w:rPr>
          <w:rFonts w:ascii="Arial" w:hAnsi="Arial" w:cs="Arial"/>
          <w:sz w:val="20"/>
          <w:szCs w:val="20"/>
        </w:rPr>
        <w:t>delovna uspešnost: pogoji; merila/kriteriji; obseg sredstev.</w:t>
      </w:r>
    </w:p>
    <w:p w14:paraId="1CD6220C" w14:textId="77777777" w:rsidR="002E6C5A" w:rsidRPr="00C97145" w:rsidRDefault="002E6C5A" w:rsidP="004226FF">
      <w:pPr>
        <w:spacing w:after="160" w:line="259" w:lineRule="auto"/>
        <w:rPr>
          <w:rFonts w:ascii="Arial" w:hAnsi="Arial" w:cs="Arial"/>
          <w:sz w:val="20"/>
          <w:szCs w:val="20"/>
        </w:rPr>
      </w:pPr>
    </w:p>
    <w:p w14:paraId="3680E6F0" w14:textId="77777777" w:rsidR="004226FF" w:rsidRPr="00C97145" w:rsidRDefault="004226FF" w:rsidP="00A46986">
      <w:pPr>
        <w:pStyle w:val="Odstavekseznama"/>
        <w:numPr>
          <w:ilvl w:val="0"/>
          <w:numId w:val="13"/>
        </w:numPr>
        <w:shd w:val="clear" w:color="auto" w:fill="FFFFFF"/>
        <w:spacing w:after="0" w:line="240" w:lineRule="auto"/>
        <w:jc w:val="both"/>
        <w:rPr>
          <w:rFonts w:ascii="Arial" w:hAnsi="Arial" w:cs="Arial"/>
          <w:b/>
          <w:bCs/>
          <w:sz w:val="20"/>
          <w:szCs w:val="20"/>
          <w:lang w:eastAsia="sl-SI"/>
        </w:rPr>
      </w:pPr>
      <w:r w:rsidRPr="00C97145">
        <w:rPr>
          <w:rFonts w:ascii="Arial" w:hAnsi="Arial" w:cs="Arial"/>
          <w:b/>
          <w:bCs/>
          <w:sz w:val="20"/>
          <w:szCs w:val="20"/>
        </w:rPr>
        <w:t>PLAČNI STEBRI (razvrstitev funkcionarjev in javnih uslužbencev)</w:t>
      </w:r>
    </w:p>
    <w:p w14:paraId="0A28487A" w14:textId="77777777" w:rsidR="004226FF" w:rsidRPr="00C97145" w:rsidRDefault="004226FF" w:rsidP="004226FF">
      <w:pPr>
        <w:pStyle w:val="Odstavekseznama"/>
        <w:shd w:val="clear" w:color="auto" w:fill="FFFFFF"/>
        <w:spacing w:line="240" w:lineRule="auto"/>
        <w:ind w:left="360"/>
        <w:jc w:val="both"/>
        <w:rPr>
          <w:rFonts w:ascii="Arial" w:hAnsi="Arial" w:cs="Arial"/>
          <w:b/>
          <w:bCs/>
          <w:sz w:val="20"/>
          <w:szCs w:val="20"/>
          <w:lang w:eastAsia="sl-SI"/>
        </w:rPr>
      </w:pPr>
    </w:p>
    <w:p w14:paraId="46712824" w14:textId="7FEF2F9B" w:rsidR="004226FF" w:rsidRPr="00C97145" w:rsidRDefault="004226FF" w:rsidP="00CF6953">
      <w:pPr>
        <w:spacing w:after="160" w:line="259" w:lineRule="auto"/>
        <w:jc w:val="both"/>
        <w:rPr>
          <w:rFonts w:ascii="Arial" w:hAnsi="Arial" w:cs="Arial"/>
          <w:sz w:val="20"/>
          <w:szCs w:val="20"/>
          <w:lang w:eastAsia="sl-SI"/>
        </w:rPr>
      </w:pPr>
      <w:r w:rsidRPr="00850605">
        <w:rPr>
          <w:rFonts w:ascii="Arial" w:hAnsi="Arial" w:cs="Arial"/>
          <w:sz w:val="20"/>
          <w:szCs w:val="20"/>
          <w:lang w:eastAsia="sl-SI"/>
        </w:rPr>
        <w:lastRenderedPageBreak/>
        <w:t xml:space="preserve">Ohrani se razvrstitev v plačne skupine, plačne podskupine in v tarifne razrede. Zaradi </w:t>
      </w:r>
      <w:r w:rsidR="00BA3917">
        <w:rPr>
          <w:rFonts w:ascii="Arial" w:hAnsi="Arial" w:cs="Arial"/>
          <w:sz w:val="20"/>
          <w:szCs w:val="20"/>
          <w:lang w:eastAsia="sl-SI"/>
        </w:rPr>
        <w:t xml:space="preserve">ustreznejše izvedbe </w:t>
      </w:r>
      <w:r w:rsidR="00850605" w:rsidRPr="00850605">
        <w:rPr>
          <w:rFonts w:ascii="Arial" w:hAnsi="Arial" w:cs="Arial"/>
          <w:sz w:val="20"/>
          <w:szCs w:val="20"/>
        </w:rPr>
        <w:t>načel</w:t>
      </w:r>
      <w:r w:rsidR="00BA3917">
        <w:rPr>
          <w:rFonts w:ascii="Arial" w:hAnsi="Arial" w:cs="Arial"/>
          <w:sz w:val="20"/>
          <w:szCs w:val="20"/>
        </w:rPr>
        <w:t>a</w:t>
      </w:r>
      <w:r w:rsidR="00850605" w:rsidRPr="00850605">
        <w:rPr>
          <w:rFonts w:ascii="Arial" w:hAnsi="Arial" w:cs="Arial"/>
          <w:sz w:val="20"/>
          <w:szCs w:val="20"/>
        </w:rPr>
        <w:t xml:space="preserve"> primerljivosti (enako plačilo za delo na primerljivih delovnih mestih)</w:t>
      </w:r>
      <w:r w:rsidR="00BA3917">
        <w:rPr>
          <w:rFonts w:ascii="Arial" w:hAnsi="Arial" w:cs="Arial"/>
          <w:sz w:val="20"/>
          <w:szCs w:val="20"/>
        </w:rPr>
        <w:t xml:space="preserve"> in zaradi </w:t>
      </w:r>
      <w:r w:rsidR="00BA3917" w:rsidRPr="00C97145">
        <w:rPr>
          <w:rFonts w:ascii="Arial" w:hAnsi="Arial" w:cs="Arial"/>
          <w:sz w:val="20"/>
          <w:szCs w:val="20"/>
          <w:lang w:eastAsia="sl-SI"/>
        </w:rPr>
        <w:t>upoštevanja specifičnosti</w:t>
      </w:r>
      <w:r w:rsidR="00850605" w:rsidRPr="00850605">
        <w:rPr>
          <w:rFonts w:ascii="Arial" w:hAnsi="Arial" w:cs="Arial"/>
          <w:sz w:val="20"/>
          <w:szCs w:val="20"/>
        </w:rPr>
        <w:t xml:space="preserve"> se v prenovljenem </w:t>
      </w:r>
      <w:r w:rsidR="00B860EA">
        <w:rPr>
          <w:rFonts w:ascii="Arial" w:hAnsi="Arial" w:cs="Arial"/>
          <w:sz w:val="20"/>
          <w:szCs w:val="20"/>
        </w:rPr>
        <w:t>sistemu</w:t>
      </w:r>
      <w:r w:rsidRPr="00C97145">
        <w:rPr>
          <w:rFonts w:ascii="Arial" w:hAnsi="Arial" w:cs="Arial"/>
          <w:sz w:val="20"/>
          <w:szCs w:val="20"/>
          <w:lang w:eastAsia="sl-SI"/>
        </w:rPr>
        <w:t xml:space="preserve"> funkcionarji in javni uslužbenci dodatno razvrstijo v plačne stebre.</w:t>
      </w:r>
      <w:r w:rsidR="007A712B" w:rsidRPr="00C97145">
        <w:rPr>
          <w:rFonts w:ascii="Arial" w:hAnsi="Arial" w:cs="Arial"/>
          <w:sz w:val="20"/>
          <w:szCs w:val="20"/>
          <w:lang w:eastAsia="sl-SI"/>
        </w:rPr>
        <w:t xml:space="preserve"> Znotraj stebra </w:t>
      </w:r>
      <w:r w:rsidR="00BA3917">
        <w:rPr>
          <w:rFonts w:ascii="Arial" w:hAnsi="Arial" w:cs="Arial"/>
          <w:sz w:val="20"/>
          <w:szCs w:val="20"/>
          <w:lang w:eastAsia="sl-SI"/>
        </w:rPr>
        <w:t xml:space="preserve">torej </w:t>
      </w:r>
      <w:r w:rsidR="007A712B" w:rsidRPr="00C97145">
        <w:rPr>
          <w:rFonts w:ascii="Arial" w:hAnsi="Arial" w:cs="Arial"/>
          <w:sz w:val="20"/>
          <w:szCs w:val="20"/>
          <w:lang w:eastAsia="sl-SI"/>
        </w:rPr>
        <w:t>velja načelo primerljivosti.</w:t>
      </w:r>
    </w:p>
    <w:p w14:paraId="7E1DD347" w14:textId="77777777" w:rsidR="004226FF" w:rsidRPr="00C97145" w:rsidRDefault="004226FF" w:rsidP="004226FF">
      <w:pPr>
        <w:pStyle w:val="Odstavekseznama"/>
        <w:shd w:val="clear" w:color="auto" w:fill="FFFFFF"/>
        <w:spacing w:line="240" w:lineRule="auto"/>
        <w:jc w:val="both"/>
        <w:rPr>
          <w:rFonts w:ascii="Arial" w:hAnsi="Arial" w:cs="Arial"/>
          <w:b/>
          <w:bCs/>
          <w:sz w:val="20"/>
          <w:szCs w:val="20"/>
          <w:lang w:eastAsia="sl-SI"/>
        </w:rPr>
      </w:pPr>
    </w:p>
    <w:p w14:paraId="63D17E89" w14:textId="738BF38D" w:rsidR="00341540" w:rsidRPr="00C97145" w:rsidRDefault="004226FF" w:rsidP="00A46986">
      <w:pPr>
        <w:pStyle w:val="Odstavekseznama"/>
        <w:numPr>
          <w:ilvl w:val="0"/>
          <w:numId w:val="12"/>
        </w:numPr>
        <w:spacing w:after="0" w:line="240" w:lineRule="auto"/>
        <w:rPr>
          <w:rFonts w:ascii="Arial" w:hAnsi="Arial" w:cs="Arial"/>
          <w:sz w:val="20"/>
          <w:szCs w:val="20"/>
        </w:rPr>
      </w:pPr>
      <w:r w:rsidRPr="00C97145">
        <w:rPr>
          <w:rFonts w:ascii="Arial" w:hAnsi="Arial" w:cs="Arial"/>
          <w:sz w:val="20"/>
          <w:szCs w:val="20"/>
        </w:rPr>
        <w:t xml:space="preserve">Poglavje: </w:t>
      </w:r>
      <w:r w:rsidR="008D3DD6" w:rsidRPr="00C97145">
        <w:rPr>
          <w:rFonts w:ascii="Arial" w:hAnsi="Arial" w:cs="Arial"/>
          <w:sz w:val="20"/>
          <w:szCs w:val="20"/>
        </w:rPr>
        <w:t>f</w:t>
      </w:r>
      <w:r w:rsidRPr="00C97145">
        <w:rPr>
          <w:rFonts w:ascii="Arial" w:hAnsi="Arial" w:cs="Arial"/>
          <w:sz w:val="20"/>
          <w:szCs w:val="20"/>
        </w:rPr>
        <w:t>unkcionarji in direktorji </w:t>
      </w:r>
    </w:p>
    <w:p w14:paraId="593F41B4" w14:textId="37B729E7" w:rsidR="004226FF" w:rsidRDefault="004226FF" w:rsidP="00341540">
      <w:pPr>
        <w:pStyle w:val="Odstavekseznama"/>
        <w:spacing w:after="0" w:line="240" w:lineRule="auto"/>
        <w:ind w:left="1080"/>
        <w:rPr>
          <w:rFonts w:ascii="Arial" w:hAnsi="Arial" w:cs="Arial"/>
          <w:sz w:val="20"/>
          <w:szCs w:val="20"/>
        </w:rPr>
      </w:pPr>
      <w:r w:rsidRPr="00C97145">
        <w:rPr>
          <w:rFonts w:ascii="Arial" w:hAnsi="Arial" w:cs="Arial"/>
          <w:sz w:val="20"/>
          <w:szCs w:val="20"/>
        </w:rPr>
        <w:t xml:space="preserve">- v tem poglavju se uredijo plače funkcionarjev vseh vej oblasti, vključno s funkcionarjih v </w:t>
      </w:r>
      <w:proofErr w:type="spellStart"/>
      <w:r w:rsidRPr="00C97145">
        <w:rPr>
          <w:rFonts w:ascii="Arial" w:hAnsi="Arial" w:cs="Arial"/>
          <w:sz w:val="20"/>
          <w:szCs w:val="20"/>
        </w:rPr>
        <w:t>t.i</w:t>
      </w:r>
      <w:proofErr w:type="spellEnd"/>
      <w:r w:rsidRPr="00C97145">
        <w:rPr>
          <w:rFonts w:ascii="Arial" w:hAnsi="Arial" w:cs="Arial"/>
          <w:sz w:val="20"/>
          <w:szCs w:val="20"/>
        </w:rPr>
        <w:t>. drugih državnih organih in občinah; torej vseh, ki so voljeni ali imenovani na določeno funkcijo (v okviru sedanje pravne ureditve je status / položaj funkcionarjev urejen v različnih zakonih, predvideno pa je, da bi to materijo v prihodnje uredili z zakonom o funkcionarjih) ter plače direktorjev</w:t>
      </w:r>
      <w:r w:rsidR="00AE711E" w:rsidRPr="00C97145">
        <w:rPr>
          <w:rFonts w:ascii="Arial" w:hAnsi="Arial" w:cs="Arial"/>
          <w:sz w:val="20"/>
          <w:szCs w:val="20"/>
        </w:rPr>
        <w:t>;</w:t>
      </w:r>
    </w:p>
    <w:p w14:paraId="08CF5604" w14:textId="77777777" w:rsidR="00F753CB" w:rsidRPr="00C97145" w:rsidRDefault="00F753CB" w:rsidP="00341540">
      <w:pPr>
        <w:pStyle w:val="Odstavekseznama"/>
        <w:spacing w:after="0" w:line="240" w:lineRule="auto"/>
        <w:ind w:left="1080"/>
        <w:rPr>
          <w:rFonts w:ascii="Arial" w:hAnsi="Arial" w:cs="Arial"/>
          <w:sz w:val="20"/>
          <w:szCs w:val="20"/>
        </w:rPr>
      </w:pPr>
    </w:p>
    <w:p w14:paraId="6AC87A6B" w14:textId="6ADA714C" w:rsidR="004226FF" w:rsidRPr="00C97145" w:rsidRDefault="00E7496C" w:rsidP="00A46986">
      <w:pPr>
        <w:pStyle w:val="Odstavekseznama"/>
        <w:numPr>
          <w:ilvl w:val="0"/>
          <w:numId w:val="27"/>
        </w:numPr>
        <w:spacing w:after="0" w:line="240" w:lineRule="auto"/>
        <w:rPr>
          <w:rFonts w:ascii="Arial" w:hAnsi="Arial" w:cs="Arial"/>
          <w:sz w:val="20"/>
          <w:szCs w:val="20"/>
        </w:rPr>
      </w:pPr>
      <w:r w:rsidRPr="00C97145">
        <w:rPr>
          <w:rFonts w:ascii="Arial" w:hAnsi="Arial" w:cs="Arial"/>
          <w:sz w:val="20"/>
          <w:szCs w:val="20"/>
        </w:rPr>
        <w:t>s</w:t>
      </w:r>
      <w:r w:rsidR="004226FF" w:rsidRPr="00C97145">
        <w:rPr>
          <w:rFonts w:ascii="Arial" w:hAnsi="Arial" w:cs="Arial"/>
          <w:sz w:val="20"/>
          <w:szCs w:val="20"/>
        </w:rPr>
        <w:t>teber</w:t>
      </w:r>
      <w:r w:rsidRPr="00C97145">
        <w:rPr>
          <w:rFonts w:ascii="Arial" w:hAnsi="Arial" w:cs="Arial"/>
          <w:sz w:val="20"/>
          <w:szCs w:val="20"/>
        </w:rPr>
        <w:t>:</w:t>
      </w:r>
      <w:r w:rsidR="004226FF" w:rsidRPr="00C97145">
        <w:rPr>
          <w:rFonts w:ascii="Arial" w:hAnsi="Arial" w:cs="Arial"/>
          <w:sz w:val="20"/>
          <w:szCs w:val="20"/>
        </w:rPr>
        <w:t xml:space="preserve"> Funkcionarji in direktorji</w:t>
      </w:r>
      <w:r w:rsidR="00AE711E" w:rsidRPr="00C97145">
        <w:rPr>
          <w:rFonts w:ascii="Arial" w:hAnsi="Arial" w:cs="Arial"/>
          <w:sz w:val="20"/>
          <w:szCs w:val="20"/>
        </w:rPr>
        <w:t xml:space="preserve"> </w:t>
      </w:r>
      <w:r w:rsidR="004226FF" w:rsidRPr="00C97145">
        <w:rPr>
          <w:rFonts w:ascii="Arial" w:hAnsi="Arial" w:cs="Arial"/>
          <w:sz w:val="20"/>
          <w:szCs w:val="20"/>
        </w:rPr>
        <w:t>- plačni skupini A in B</w:t>
      </w:r>
    </w:p>
    <w:p w14:paraId="280D4785" w14:textId="77777777" w:rsidR="004226FF" w:rsidRPr="00C97145" w:rsidRDefault="004226FF" w:rsidP="004226FF">
      <w:pPr>
        <w:spacing w:line="240" w:lineRule="auto"/>
        <w:ind w:left="1080"/>
        <w:rPr>
          <w:rFonts w:ascii="Arial" w:hAnsi="Arial" w:cs="Arial"/>
          <w:sz w:val="20"/>
          <w:szCs w:val="20"/>
        </w:rPr>
      </w:pPr>
      <w:r w:rsidRPr="00C97145">
        <w:rPr>
          <w:rFonts w:ascii="Arial" w:hAnsi="Arial" w:cs="Arial"/>
          <w:sz w:val="20"/>
          <w:szCs w:val="20"/>
        </w:rPr>
        <w:t xml:space="preserve"> </w:t>
      </w:r>
    </w:p>
    <w:p w14:paraId="08F6E013" w14:textId="55BC822B" w:rsidR="004226FF" w:rsidRPr="00C97145" w:rsidRDefault="004226FF" w:rsidP="00A46986">
      <w:pPr>
        <w:pStyle w:val="Odstavekseznama"/>
        <w:numPr>
          <w:ilvl w:val="0"/>
          <w:numId w:val="12"/>
        </w:numPr>
        <w:spacing w:after="0" w:line="240" w:lineRule="auto"/>
        <w:contextualSpacing w:val="0"/>
        <w:rPr>
          <w:rFonts w:ascii="Arial" w:hAnsi="Arial" w:cs="Arial"/>
          <w:sz w:val="20"/>
          <w:szCs w:val="20"/>
        </w:rPr>
      </w:pPr>
      <w:r w:rsidRPr="00C97145">
        <w:rPr>
          <w:rFonts w:ascii="Arial" w:hAnsi="Arial" w:cs="Arial"/>
          <w:sz w:val="20"/>
          <w:szCs w:val="20"/>
        </w:rPr>
        <w:t>Poglavje: javni uslužbenci v državnih organih</w:t>
      </w:r>
      <w:r w:rsidR="00E457EB" w:rsidRPr="00C97145">
        <w:rPr>
          <w:rFonts w:ascii="Arial" w:hAnsi="Arial" w:cs="Arial"/>
          <w:sz w:val="20"/>
          <w:szCs w:val="20"/>
        </w:rPr>
        <w:t>,</w:t>
      </w:r>
      <w:r w:rsidRPr="00C97145">
        <w:rPr>
          <w:rFonts w:ascii="Arial" w:hAnsi="Arial" w:cs="Arial"/>
          <w:sz w:val="20"/>
          <w:szCs w:val="20"/>
        </w:rPr>
        <w:t xml:space="preserve"> občinah</w:t>
      </w:r>
      <w:r w:rsidR="00E457EB" w:rsidRPr="00C97145">
        <w:rPr>
          <w:rFonts w:ascii="Arial" w:hAnsi="Arial" w:cs="Arial"/>
          <w:sz w:val="20"/>
          <w:szCs w:val="20"/>
        </w:rPr>
        <w:t xml:space="preserve">, javnih agencijah, javnih skladih in </w:t>
      </w:r>
      <w:r w:rsidR="005A4A59" w:rsidRPr="00C97145">
        <w:rPr>
          <w:rFonts w:ascii="Arial" w:hAnsi="Arial" w:cs="Arial"/>
          <w:sz w:val="20"/>
          <w:szCs w:val="20"/>
        </w:rPr>
        <w:t xml:space="preserve">javnih </w:t>
      </w:r>
      <w:r w:rsidR="00E457EB" w:rsidRPr="00C97145">
        <w:rPr>
          <w:rFonts w:ascii="Arial" w:hAnsi="Arial" w:cs="Arial"/>
          <w:sz w:val="20"/>
          <w:szCs w:val="20"/>
        </w:rPr>
        <w:t xml:space="preserve">zavodih s področja poklicnega gasilstva  </w:t>
      </w:r>
    </w:p>
    <w:p w14:paraId="01FEE9D6" w14:textId="15239BCA" w:rsidR="004226FF" w:rsidRDefault="004226FF" w:rsidP="00A46986">
      <w:pPr>
        <w:pStyle w:val="Odstavekseznama"/>
        <w:numPr>
          <w:ilvl w:val="0"/>
          <w:numId w:val="24"/>
        </w:numPr>
        <w:spacing w:after="0" w:line="240" w:lineRule="auto"/>
        <w:contextualSpacing w:val="0"/>
        <w:rPr>
          <w:rFonts w:ascii="Arial" w:hAnsi="Arial" w:cs="Arial"/>
          <w:sz w:val="20"/>
          <w:szCs w:val="20"/>
        </w:rPr>
      </w:pPr>
      <w:r w:rsidRPr="00C97145">
        <w:rPr>
          <w:rFonts w:ascii="Arial" w:hAnsi="Arial" w:cs="Arial"/>
          <w:sz w:val="20"/>
          <w:szCs w:val="20"/>
        </w:rPr>
        <w:t xml:space="preserve">v tem poglavju se uredijo plače javnih uslužbencev, za katere se delovno pravni status </w:t>
      </w:r>
      <w:r w:rsidR="002858A7">
        <w:rPr>
          <w:rFonts w:ascii="Arial" w:hAnsi="Arial" w:cs="Arial"/>
          <w:sz w:val="20"/>
          <w:szCs w:val="20"/>
        </w:rPr>
        <w:t xml:space="preserve">praviloma </w:t>
      </w:r>
      <w:r w:rsidRPr="00C97145">
        <w:rPr>
          <w:rFonts w:ascii="Arial" w:hAnsi="Arial" w:cs="Arial"/>
          <w:sz w:val="20"/>
          <w:szCs w:val="20"/>
        </w:rPr>
        <w:t>ureja na podlagi Zakona o javnih uslužbencih – ZJU</w:t>
      </w:r>
      <w:r w:rsidR="00F753CB">
        <w:rPr>
          <w:rFonts w:ascii="Arial" w:hAnsi="Arial" w:cs="Arial"/>
          <w:sz w:val="20"/>
          <w:szCs w:val="20"/>
        </w:rPr>
        <w:t xml:space="preserve"> (</w:t>
      </w:r>
      <w:r w:rsidRPr="00C97145">
        <w:rPr>
          <w:rFonts w:ascii="Arial" w:hAnsi="Arial" w:cs="Arial"/>
          <w:sz w:val="20"/>
          <w:szCs w:val="20"/>
        </w:rPr>
        <w:t xml:space="preserve"> razen</w:t>
      </w:r>
      <w:r w:rsidR="00E91780" w:rsidRPr="00C97145">
        <w:rPr>
          <w:rFonts w:ascii="Arial" w:hAnsi="Arial" w:cs="Arial"/>
          <w:sz w:val="20"/>
          <w:szCs w:val="20"/>
        </w:rPr>
        <w:t xml:space="preserve"> </w:t>
      </w:r>
      <w:r w:rsidRPr="00C97145">
        <w:rPr>
          <w:rFonts w:ascii="Arial" w:hAnsi="Arial" w:cs="Arial"/>
          <w:sz w:val="20"/>
          <w:szCs w:val="20"/>
        </w:rPr>
        <w:t>položajnih uradnikov, ki sodijo v plačno skupino B</w:t>
      </w:r>
      <w:r w:rsidR="00F753CB">
        <w:rPr>
          <w:rFonts w:ascii="Arial" w:hAnsi="Arial" w:cs="Arial"/>
          <w:sz w:val="20"/>
          <w:szCs w:val="20"/>
        </w:rPr>
        <w:t>)</w:t>
      </w:r>
      <w:r w:rsidR="002858A7">
        <w:rPr>
          <w:rFonts w:ascii="Arial" w:hAnsi="Arial" w:cs="Arial"/>
          <w:sz w:val="20"/>
          <w:szCs w:val="20"/>
        </w:rPr>
        <w:t xml:space="preserve"> ter plače javnih uslužbencev, ki po vsebini opravljajo podobne naloge</w:t>
      </w:r>
      <w:r w:rsidRPr="00C97145">
        <w:rPr>
          <w:rFonts w:ascii="Arial" w:hAnsi="Arial" w:cs="Arial"/>
          <w:sz w:val="20"/>
          <w:szCs w:val="20"/>
        </w:rPr>
        <w:t xml:space="preserve"> </w:t>
      </w:r>
      <w:r w:rsidR="00F753CB">
        <w:rPr>
          <w:rFonts w:ascii="Arial" w:hAnsi="Arial" w:cs="Arial"/>
          <w:sz w:val="20"/>
          <w:szCs w:val="20"/>
        </w:rPr>
        <w:t xml:space="preserve"> (regulatorne in razvojne naloge v javnem interesu, izvajanje politike na določenem področju);</w:t>
      </w:r>
      <w:r w:rsidRPr="00C97145">
        <w:rPr>
          <w:rFonts w:ascii="Arial" w:hAnsi="Arial" w:cs="Arial"/>
          <w:sz w:val="20"/>
          <w:szCs w:val="20"/>
        </w:rPr>
        <w:t xml:space="preserve"> </w:t>
      </w:r>
    </w:p>
    <w:p w14:paraId="121C610A" w14:textId="77777777" w:rsidR="00F753CB" w:rsidRPr="00C97145" w:rsidRDefault="00F753CB" w:rsidP="00F753CB">
      <w:pPr>
        <w:pStyle w:val="Odstavekseznama"/>
        <w:spacing w:after="0" w:line="240" w:lineRule="auto"/>
        <w:ind w:left="1800"/>
        <w:contextualSpacing w:val="0"/>
        <w:rPr>
          <w:rFonts w:ascii="Arial" w:hAnsi="Arial" w:cs="Arial"/>
          <w:sz w:val="20"/>
          <w:szCs w:val="20"/>
        </w:rPr>
      </w:pPr>
    </w:p>
    <w:p w14:paraId="2B5D5B4F" w14:textId="2FC9AAB2" w:rsidR="004226FF" w:rsidRPr="00C97145" w:rsidRDefault="004226FF" w:rsidP="00A46986">
      <w:pPr>
        <w:pStyle w:val="Odstavekseznama"/>
        <w:numPr>
          <w:ilvl w:val="0"/>
          <w:numId w:val="24"/>
        </w:numPr>
        <w:spacing w:after="0" w:line="240" w:lineRule="auto"/>
        <w:rPr>
          <w:rFonts w:ascii="Arial" w:hAnsi="Arial" w:cs="Arial"/>
          <w:sz w:val="20"/>
          <w:szCs w:val="20"/>
        </w:rPr>
      </w:pPr>
      <w:r w:rsidRPr="00C97145">
        <w:rPr>
          <w:rFonts w:ascii="Arial" w:hAnsi="Arial" w:cs="Arial"/>
          <w:sz w:val="20"/>
          <w:szCs w:val="20"/>
        </w:rPr>
        <w:t>v okviru tega poglavja sta dva stebra:</w:t>
      </w:r>
    </w:p>
    <w:p w14:paraId="24125D8C" w14:textId="6D7962DD" w:rsidR="00E7496C" w:rsidRPr="00C97145" w:rsidRDefault="004226FF" w:rsidP="00E7496C">
      <w:pPr>
        <w:spacing w:line="240" w:lineRule="auto"/>
        <w:ind w:left="2124"/>
        <w:rPr>
          <w:rFonts w:ascii="Arial" w:hAnsi="Arial" w:cs="Arial"/>
          <w:sz w:val="20"/>
          <w:szCs w:val="20"/>
        </w:rPr>
      </w:pPr>
      <w:r w:rsidRPr="00C97145">
        <w:rPr>
          <w:rFonts w:ascii="Arial" w:hAnsi="Arial" w:cs="Arial"/>
          <w:sz w:val="20"/>
          <w:szCs w:val="20"/>
        </w:rPr>
        <w:t>a) pooblaščene uradne osebe - plačna skupina C</w:t>
      </w:r>
      <w:r w:rsidR="00B860EA">
        <w:rPr>
          <w:rFonts w:ascii="Arial" w:hAnsi="Arial" w:cs="Arial"/>
          <w:sz w:val="20"/>
          <w:szCs w:val="20"/>
        </w:rPr>
        <w:t xml:space="preserve">3 – policisti, C4 – vojaki, C5 – uradniki finančne uprave, C6 – pravosodni policisti, pristaniški nadzorniki, občinski redarji </w:t>
      </w:r>
      <w:r w:rsidR="00E457EB" w:rsidRPr="00C97145">
        <w:rPr>
          <w:rFonts w:ascii="Arial" w:hAnsi="Arial" w:cs="Arial"/>
          <w:sz w:val="20"/>
          <w:szCs w:val="20"/>
        </w:rPr>
        <w:t xml:space="preserve"> in plačna podskupina I1 - gasilci</w:t>
      </w:r>
    </w:p>
    <w:p w14:paraId="78A4119A" w14:textId="70B7F418" w:rsidR="004226FF" w:rsidRPr="00C97145" w:rsidRDefault="004226FF" w:rsidP="00E7496C">
      <w:pPr>
        <w:spacing w:line="240" w:lineRule="auto"/>
        <w:ind w:left="2124"/>
        <w:rPr>
          <w:rFonts w:ascii="Arial" w:hAnsi="Arial" w:cs="Arial"/>
          <w:sz w:val="20"/>
          <w:szCs w:val="20"/>
        </w:rPr>
      </w:pPr>
      <w:r w:rsidRPr="00C97145">
        <w:rPr>
          <w:rFonts w:ascii="Arial" w:hAnsi="Arial" w:cs="Arial"/>
          <w:sz w:val="20"/>
          <w:szCs w:val="20"/>
        </w:rPr>
        <w:t>b) ostali uradniki  - plačna skupina C  in strokovno-tehnični javni uslužbenci – plačna skupina J</w:t>
      </w:r>
      <w:r w:rsidR="00E457EB" w:rsidRPr="00C97145">
        <w:rPr>
          <w:rFonts w:ascii="Arial" w:hAnsi="Arial" w:cs="Arial"/>
          <w:sz w:val="20"/>
          <w:szCs w:val="20"/>
        </w:rPr>
        <w:t xml:space="preserve"> ter javni uslužbenci v javnih agencijah</w:t>
      </w:r>
      <w:r w:rsidR="00E447DD">
        <w:rPr>
          <w:rFonts w:ascii="Arial" w:hAnsi="Arial" w:cs="Arial"/>
          <w:sz w:val="20"/>
          <w:szCs w:val="20"/>
        </w:rPr>
        <w:t xml:space="preserve"> in</w:t>
      </w:r>
      <w:r w:rsidR="00E457EB" w:rsidRPr="00C97145">
        <w:rPr>
          <w:rFonts w:ascii="Arial" w:hAnsi="Arial" w:cs="Arial"/>
          <w:sz w:val="20"/>
          <w:szCs w:val="20"/>
        </w:rPr>
        <w:t xml:space="preserve"> javnih skladih – plačna skupina I</w:t>
      </w:r>
    </w:p>
    <w:p w14:paraId="57BE206B" w14:textId="77777777" w:rsidR="004226FF" w:rsidRPr="00C97145" w:rsidRDefault="004226FF" w:rsidP="004226FF">
      <w:pPr>
        <w:spacing w:line="240" w:lineRule="auto"/>
        <w:ind w:left="2124"/>
        <w:rPr>
          <w:rFonts w:ascii="Arial" w:hAnsi="Arial" w:cs="Arial"/>
          <w:sz w:val="20"/>
          <w:szCs w:val="20"/>
        </w:rPr>
      </w:pPr>
    </w:p>
    <w:p w14:paraId="33EE96B8" w14:textId="1A298ECE" w:rsidR="004226FF" w:rsidRPr="00C97145" w:rsidRDefault="004226FF" w:rsidP="00A46986">
      <w:pPr>
        <w:pStyle w:val="Odstavekseznama"/>
        <w:numPr>
          <w:ilvl w:val="0"/>
          <w:numId w:val="12"/>
        </w:numPr>
        <w:spacing w:after="0" w:line="240" w:lineRule="auto"/>
        <w:contextualSpacing w:val="0"/>
        <w:rPr>
          <w:rFonts w:ascii="Arial" w:hAnsi="Arial" w:cs="Arial"/>
          <w:sz w:val="20"/>
          <w:szCs w:val="20"/>
        </w:rPr>
      </w:pPr>
      <w:r w:rsidRPr="00C97145">
        <w:rPr>
          <w:rFonts w:ascii="Arial" w:hAnsi="Arial" w:cs="Arial"/>
          <w:sz w:val="20"/>
          <w:szCs w:val="20"/>
        </w:rPr>
        <w:t>Poglavje: javni uslužbenci v javnih zavodih</w:t>
      </w:r>
      <w:r w:rsidR="00EF2917" w:rsidRPr="00C97145">
        <w:rPr>
          <w:rFonts w:ascii="Arial" w:hAnsi="Arial" w:cs="Arial"/>
          <w:sz w:val="20"/>
          <w:szCs w:val="20"/>
        </w:rPr>
        <w:t xml:space="preserve"> in javnih gospodarskih zavodih</w:t>
      </w:r>
    </w:p>
    <w:p w14:paraId="6318CF42" w14:textId="77777777" w:rsidR="004226FF" w:rsidRPr="00C97145" w:rsidRDefault="004226FF" w:rsidP="00A46986">
      <w:pPr>
        <w:pStyle w:val="Odstavekseznama"/>
        <w:numPr>
          <w:ilvl w:val="0"/>
          <w:numId w:val="25"/>
        </w:numPr>
        <w:spacing w:after="0" w:line="240" w:lineRule="auto"/>
        <w:contextualSpacing w:val="0"/>
        <w:rPr>
          <w:rFonts w:ascii="Arial" w:hAnsi="Arial" w:cs="Arial"/>
          <w:sz w:val="20"/>
          <w:szCs w:val="20"/>
        </w:rPr>
      </w:pPr>
      <w:r w:rsidRPr="00C97145">
        <w:rPr>
          <w:rFonts w:ascii="Arial" w:hAnsi="Arial" w:cs="Arial"/>
          <w:sz w:val="20"/>
          <w:szCs w:val="20"/>
        </w:rPr>
        <w:t>v tem poglavju se uredijo plače javnih uslužbencev, za katere se delovno pravni status ureja na podlagi Zakona o delovnih razmerjih (ZDR-1)</w:t>
      </w:r>
    </w:p>
    <w:p w14:paraId="49D3FC94" w14:textId="65C36923" w:rsidR="004226FF" w:rsidRDefault="004226FF" w:rsidP="00A46986">
      <w:pPr>
        <w:pStyle w:val="Odstavekseznama"/>
        <w:numPr>
          <w:ilvl w:val="0"/>
          <w:numId w:val="24"/>
        </w:numPr>
        <w:spacing w:after="0" w:line="240" w:lineRule="auto"/>
        <w:rPr>
          <w:rFonts w:ascii="Arial" w:hAnsi="Arial" w:cs="Arial"/>
          <w:sz w:val="20"/>
          <w:szCs w:val="20"/>
        </w:rPr>
      </w:pPr>
      <w:r w:rsidRPr="00C97145">
        <w:rPr>
          <w:rFonts w:ascii="Arial" w:hAnsi="Arial" w:cs="Arial"/>
          <w:sz w:val="20"/>
          <w:szCs w:val="20"/>
        </w:rPr>
        <w:t xml:space="preserve">stebri v okviru tega poglavja so: </w:t>
      </w:r>
    </w:p>
    <w:p w14:paraId="14A55FE0" w14:textId="77777777" w:rsidR="00F753CB" w:rsidRPr="00C97145" w:rsidRDefault="00F753CB" w:rsidP="00F753CB">
      <w:pPr>
        <w:pStyle w:val="Odstavekseznama"/>
        <w:spacing w:after="0" w:line="240" w:lineRule="auto"/>
        <w:ind w:left="1800"/>
        <w:rPr>
          <w:rFonts w:ascii="Arial" w:hAnsi="Arial" w:cs="Arial"/>
          <w:sz w:val="20"/>
          <w:szCs w:val="20"/>
        </w:rPr>
      </w:pPr>
    </w:p>
    <w:p w14:paraId="648D9F4B" w14:textId="77777777" w:rsidR="004226FF" w:rsidRPr="00C97145" w:rsidRDefault="004226FF" w:rsidP="004226FF">
      <w:pPr>
        <w:spacing w:line="240" w:lineRule="auto"/>
        <w:ind w:left="2124"/>
        <w:rPr>
          <w:rFonts w:ascii="Arial" w:hAnsi="Arial" w:cs="Arial"/>
          <w:sz w:val="20"/>
          <w:szCs w:val="20"/>
        </w:rPr>
      </w:pPr>
      <w:r w:rsidRPr="00C97145">
        <w:rPr>
          <w:rFonts w:ascii="Arial" w:hAnsi="Arial" w:cs="Arial"/>
          <w:sz w:val="20"/>
          <w:szCs w:val="20"/>
        </w:rPr>
        <w:t>a) javni uslužbenci v zdravstvu in socialnem varstvu – plačni skupini E, F in J</w:t>
      </w:r>
    </w:p>
    <w:p w14:paraId="2824DECF" w14:textId="77777777" w:rsidR="004226FF" w:rsidRPr="00C97145" w:rsidRDefault="004226FF" w:rsidP="004226FF">
      <w:pPr>
        <w:spacing w:line="240" w:lineRule="auto"/>
        <w:ind w:left="2124"/>
        <w:rPr>
          <w:rFonts w:ascii="Arial" w:hAnsi="Arial" w:cs="Arial"/>
          <w:sz w:val="20"/>
          <w:szCs w:val="20"/>
        </w:rPr>
      </w:pPr>
      <w:r w:rsidRPr="00C97145">
        <w:rPr>
          <w:rFonts w:ascii="Arial" w:hAnsi="Arial" w:cs="Arial"/>
          <w:sz w:val="20"/>
          <w:szCs w:val="20"/>
        </w:rPr>
        <w:t>b) javni uslužbenci v raziskovalni dejavnosti, izobraževanju in kulturi - plačne skupine D, G, H in J</w:t>
      </w:r>
    </w:p>
    <w:p w14:paraId="29846785" w14:textId="57F6A64A" w:rsidR="004226FF" w:rsidRPr="00C97145" w:rsidRDefault="004226FF" w:rsidP="004226FF">
      <w:pPr>
        <w:spacing w:line="240" w:lineRule="auto"/>
        <w:ind w:left="2124"/>
        <w:rPr>
          <w:rFonts w:ascii="Arial" w:hAnsi="Arial" w:cs="Arial"/>
          <w:sz w:val="20"/>
          <w:szCs w:val="20"/>
        </w:rPr>
      </w:pPr>
      <w:r w:rsidRPr="00C97145">
        <w:rPr>
          <w:rFonts w:ascii="Arial" w:hAnsi="Arial" w:cs="Arial"/>
          <w:sz w:val="20"/>
          <w:szCs w:val="20"/>
        </w:rPr>
        <w:t xml:space="preserve">c) javni uslužbenci v </w:t>
      </w:r>
      <w:r w:rsidR="00734D60" w:rsidRPr="00C97145">
        <w:rPr>
          <w:rFonts w:ascii="Arial" w:hAnsi="Arial" w:cs="Arial"/>
          <w:sz w:val="20"/>
          <w:szCs w:val="20"/>
        </w:rPr>
        <w:t xml:space="preserve">drugih </w:t>
      </w:r>
      <w:r w:rsidRPr="00C97145">
        <w:rPr>
          <w:rFonts w:ascii="Arial" w:hAnsi="Arial" w:cs="Arial"/>
          <w:sz w:val="20"/>
          <w:szCs w:val="20"/>
        </w:rPr>
        <w:t>javnih zavodih</w:t>
      </w:r>
      <w:r w:rsidR="00E447DD">
        <w:rPr>
          <w:rFonts w:ascii="Arial" w:hAnsi="Arial" w:cs="Arial"/>
          <w:sz w:val="20"/>
          <w:szCs w:val="20"/>
        </w:rPr>
        <w:t xml:space="preserve"> in </w:t>
      </w:r>
      <w:r w:rsidR="00E447DD" w:rsidRPr="00C97145">
        <w:rPr>
          <w:rFonts w:ascii="Arial" w:hAnsi="Arial" w:cs="Arial"/>
          <w:sz w:val="20"/>
          <w:szCs w:val="20"/>
        </w:rPr>
        <w:t>javnih gospodarskih zavodih</w:t>
      </w:r>
      <w:r w:rsidRPr="00C97145">
        <w:rPr>
          <w:rFonts w:ascii="Arial" w:hAnsi="Arial" w:cs="Arial"/>
          <w:sz w:val="20"/>
          <w:szCs w:val="20"/>
        </w:rPr>
        <w:t xml:space="preserve">  - plačni skupini I, K in J</w:t>
      </w:r>
    </w:p>
    <w:p w14:paraId="711EDA4D" w14:textId="77777777" w:rsidR="001C2639" w:rsidRPr="00C97145" w:rsidRDefault="001C2639" w:rsidP="004226FF">
      <w:pPr>
        <w:jc w:val="both"/>
        <w:rPr>
          <w:rFonts w:ascii="Arial" w:hAnsi="Arial" w:cs="Arial"/>
          <w:sz w:val="20"/>
          <w:szCs w:val="20"/>
        </w:rPr>
      </w:pPr>
    </w:p>
    <w:p w14:paraId="397E34E8" w14:textId="5C1C2E29" w:rsidR="004226FF" w:rsidRPr="00C97145" w:rsidRDefault="004226FF" w:rsidP="007230FD">
      <w:pPr>
        <w:spacing w:after="160" w:line="259" w:lineRule="auto"/>
        <w:jc w:val="both"/>
        <w:rPr>
          <w:rFonts w:ascii="Arial" w:hAnsi="Arial" w:cs="Arial"/>
          <w:sz w:val="20"/>
          <w:szCs w:val="20"/>
        </w:rPr>
      </w:pPr>
      <w:r w:rsidRPr="00C97145">
        <w:rPr>
          <w:rFonts w:ascii="Arial" w:hAnsi="Arial" w:cs="Arial"/>
          <w:sz w:val="20"/>
          <w:szCs w:val="20"/>
        </w:rPr>
        <w:t xml:space="preserve">Plačni stebri bi se </w:t>
      </w:r>
      <w:r w:rsidR="00BA3917">
        <w:rPr>
          <w:rFonts w:ascii="Arial" w:hAnsi="Arial" w:cs="Arial"/>
          <w:sz w:val="20"/>
          <w:szCs w:val="20"/>
        </w:rPr>
        <w:t xml:space="preserve">lahko </w:t>
      </w:r>
      <w:r w:rsidRPr="00C97145">
        <w:rPr>
          <w:rFonts w:ascii="Arial" w:hAnsi="Arial" w:cs="Arial"/>
          <w:sz w:val="20"/>
          <w:szCs w:val="20"/>
        </w:rPr>
        <w:t xml:space="preserve">med sabo razlikovali po načinu uvrščanja v plačne razrede (ali je to zakon, vladna uredba ali kolektivna pogodba),  ter v variabilnih elementih plače (napredovanju, delovni uspešnosti, izjemah pri določitvi višjega plačnega razreda </w:t>
      </w:r>
      <w:proofErr w:type="spellStart"/>
      <w:r w:rsidRPr="00C97145">
        <w:rPr>
          <w:rFonts w:ascii="Arial" w:hAnsi="Arial" w:cs="Arial"/>
          <w:sz w:val="20"/>
          <w:szCs w:val="20"/>
        </w:rPr>
        <w:t>itd</w:t>
      </w:r>
      <w:proofErr w:type="spellEnd"/>
      <w:r w:rsidRPr="00C97145">
        <w:rPr>
          <w:rFonts w:ascii="Arial" w:hAnsi="Arial" w:cs="Arial"/>
          <w:sz w:val="20"/>
          <w:szCs w:val="20"/>
        </w:rPr>
        <w:t xml:space="preserve">).  </w:t>
      </w:r>
    </w:p>
    <w:p w14:paraId="28278997" w14:textId="56EA0CE2" w:rsidR="004226FF" w:rsidRPr="00C97145" w:rsidRDefault="004226FF" w:rsidP="007230FD">
      <w:pPr>
        <w:spacing w:after="160" w:line="259" w:lineRule="auto"/>
        <w:jc w:val="both"/>
        <w:rPr>
          <w:rFonts w:ascii="Arial" w:hAnsi="Arial" w:cs="Arial"/>
          <w:sz w:val="20"/>
          <w:szCs w:val="20"/>
        </w:rPr>
      </w:pPr>
      <w:r w:rsidRPr="00C97145">
        <w:rPr>
          <w:rFonts w:ascii="Arial" w:hAnsi="Arial" w:cs="Arial"/>
          <w:sz w:val="20"/>
          <w:szCs w:val="20"/>
        </w:rPr>
        <w:t xml:space="preserve">Razvrstitev v posamezne stebre pomeni priznavanje specifik posameznih dejavnosti ali poklicnih skupin in mora temeljiti na jasnih razlogih za diferenciacijo po stebrih (utemeljenost razlikovanja). Znotraj stebra pa morajo obstajati določene skupne značilnosti. Stebri naj bi torej prispevali k </w:t>
      </w:r>
      <w:r w:rsidR="00BA3917">
        <w:rPr>
          <w:rFonts w:ascii="Arial" w:hAnsi="Arial" w:cs="Arial"/>
          <w:sz w:val="20"/>
          <w:szCs w:val="20"/>
        </w:rPr>
        <w:t xml:space="preserve">boljši primerljivosti, </w:t>
      </w:r>
      <w:r w:rsidRPr="00C97145">
        <w:rPr>
          <w:rFonts w:ascii="Arial" w:hAnsi="Arial" w:cs="Arial"/>
          <w:sz w:val="20"/>
          <w:szCs w:val="20"/>
        </w:rPr>
        <w:t xml:space="preserve">manjši togosti in uniformiranosti sistema, torej pripoznanju tega, da so znotraj javnega sektorja razlike, ki jih je treba upoštevati tudi pri plačah. </w:t>
      </w:r>
    </w:p>
    <w:p w14:paraId="27D252CC" w14:textId="56146FB7" w:rsidR="004226FF" w:rsidRDefault="004226FF" w:rsidP="004226FF">
      <w:pPr>
        <w:jc w:val="both"/>
        <w:rPr>
          <w:rFonts w:ascii="Arial" w:hAnsi="Arial" w:cs="Arial"/>
          <w:sz w:val="20"/>
          <w:szCs w:val="20"/>
        </w:rPr>
      </w:pPr>
    </w:p>
    <w:p w14:paraId="690EB2A5" w14:textId="77777777" w:rsidR="00DD4ABF" w:rsidRPr="00C97145" w:rsidRDefault="00DD4ABF" w:rsidP="004226FF">
      <w:pPr>
        <w:jc w:val="both"/>
        <w:rPr>
          <w:rFonts w:ascii="Arial" w:hAnsi="Arial" w:cs="Arial"/>
          <w:sz w:val="20"/>
          <w:szCs w:val="20"/>
        </w:rPr>
      </w:pPr>
    </w:p>
    <w:p w14:paraId="4ABF2264" w14:textId="77777777" w:rsidR="004226FF" w:rsidRPr="00C97145" w:rsidRDefault="004226FF" w:rsidP="00A46986">
      <w:pPr>
        <w:pStyle w:val="Odstavekseznama"/>
        <w:numPr>
          <w:ilvl w:val="0"/>
          <w:numId w:val="13"/>
        </w:numPr>
        <w:spacing w:after="160" w:line="256" w:lineRule="auto"/>
        <w:rPr>
          <w:rFonts w:ascii="Arial" w:hAnsi="Arial" w:cs="Arial"/>
          <w:b/>
          <w:bCs/>
          <w:sz w:val="20"/>
          <w:szCs w:val="20"/>
        </w:rPr>
      </w:pPr>
      <w:r w:rsidRPr="00C97145">
        <w:rPr>
          <w:rFonts w:ascii="Arial" w:hAnsi="Arial" w:cs="Arial"/>
          <w:b/>
          <w:bCs/>
          <w:sz w:val="20"/>
          <w:szCs w:val="20"/>
        </w:rPr>
        <w:lastRenderedPageBreak/>
        <w:t>DRUGE SPREMEMBE</w:t>
      </w:r>
    </w:p>
    <w:p w14:paraId="6CE32F68" w14:textId="77777777" w:rsidR="00181A56" w:rsidRDefault="00181A56" w:rsidP="00181A56">
      <w:pPr>
        <w:pStyle w:val="Odstavekseznama"/>
        <w:spacing w:after="160" w:line="256" w:lineRule="auto"/>
        <w:jc w:val="both"/>
        <w:rPr>
          <w:rFonts w:ascii="Arial" w:hAnsi="Arial" w:cs="Arial"/>
          <w:sz w:val="20"/>
          <w:szCs w:val="20"/>
        </w:rPr>
      </w:pPr>
    </w:p>
    <w:p w14:paraId="21973EB5" w14:textId="793477C1" w:rsidR="004226FF" w:rsidRPr="00C97145" w:rsidRDefault="004226FF" w:rsidP="00A46986">
      <w:pPr>
        <w:pStyle w:val="Odstavekseznama"/>
        <w:numPr>
          <w:ilvl w:val="0"/>
          <w:numId w:val="23"/>
        </w:numPr>
        <w:spacing w:after="160" w:line="256" w:lineRule="auto"/>
        <w:jc w:val="both"/>
        <w:rPr>
          <w:rFonts w:ascii="Arial" w:hAnsi="Arial" w:cs="Arial"/>
          <w:sz w:val="20"/>
          <w:szCs w:val="20"/>
        </w:rPr>
      </w:pPr>
      <w:r w:rsidRPr="00C97145">
        <w:rPr>
          <w:rFonts w:ascii="Arial" w:hAnsi="Arial" w:cs="Arial"/>
          <w:sz w:val="20"/>
          <w:szCs w:val="20"/>
        </w:rPr>
        <w:t>ureditev kvoruma za sklepanje kolektivnih pogodb (realizacija odločbe Ustavnega sodišča)</w:t>
      </w:r>
    </w:p>
    <w:p w14:paraId="424D5A34" w14:textId="77777777" w:rsidR="004226FF" w:rsidRPr="00C97145" w:rsidRDefault="004226FF" w:rsidP="00A46986">
      <w:pPr>
        <w:pStyle w:val="Odstavekseznama"/>
        <w:numPr>
          <w:ilvl w:val="0"/>
          <w:numId w:val="23"/>
        </w:numPr>
        <w:spacing w:after="160" w:line="256" w:lineRule="auto"/>
        <w:jc w:val="both"/>
        <w:rPr>
          <w:rFonts w:ascii="Arial" w:hAnsi="Arial" w:cs="Arial"/>
          <w:sz w:val="20"/>
          <w:szCs w:val="20"/>
        </w:rPr>
      </w:pPr>
      <w:r w:rsidRPr="00C97145">
        <w:rPr>
          <w:rFonts w:ascii="Arial" w:hAnsi="Arial" w:cs="Arial"/>
          <w:sz w:val="20"/>
          <w:szCs w:val="20"/>
        </w:rPr>
        <w:t>ravnanje v primeru nezakonito določene plače (s sindikati javnega sektorja so spremembe tega člena že bile usklajene)</w:t>
      </w:r>
    </w:p>
    <w:p w14:paraId="2C8A5C6D" w14:textId="77777777" w:rsidR="004226FF" w:rsidRPr="00C97145" w:rsidRDefault="004226FF" w:rsidP="00A46986">
      <w:pPr>
        <w:pStyle w:val="Odstavekseznama"/>
        <w:numPr>
          <w:ilvl w:val="0"/>
          <w:numId w:val="23"/>
        </w:numPr>
        <w:spacing w:after="160" w:line="256" w:lineRule="auto"/>
        <w:jc w:val="both"/>
        <w:rPr>
          <w:rFonts w:ascii="Arial" w:hAnsi="Arial" w:cs="Arial"/>
          <w:sz w:val="20"/>
          <w:szCs w:val="20"/>
        </w:rPr>
      </w:pPr>
      <w:r w:rsidRPr="00C97145">
        <w:rPr>
          <w:rFonts w:ascii="Arial" w:hAnsi="Arial" w:cs="Arial"/>
          <w:sz w:val="20"/>
          <w:szCs w:val="20"/>
        </w:rPr>
        <w:t xml:space="preserve">plačilo dežurstva: vzpostavitev ureditve, ki je veljala pred varčevalnimi ukrepi, uveljavljenimi z ZSPJS-N v letu 2010, s čimer se je plačilo dežurstva znižalo </w:t>
      </w:r>
    </w:p>
    <w:p w14:paraId="53088BC7" w14:textId="77777777" w:rsidR="004226FF" w:rsidRPr="00C97145" w:rsidRDefault="004226FF" w:rsidP="00A46986">
      <w:pPr>
        <w:pStyle w:val="Odstavekseznama"/>
        <w:numPr>
          <w:ilvl w:val="0"/>
          <w:numId w:val="23"/>
        </w:numPr>
        <w:spacing w:after="160" w:line="256" w:lineRule="auto"/>
        <w:jc w:val="both"/>
        <w:rPr>
          <w:rFonts w:ascii="Arial" w:hAnsi="Arial" w:cs="Arial"/>
          <w:sz w:val="20"/>
          <w:szCs w:val="20"/>
        </w:rPr>
      </w:pPr>
      <w:r w:rsidRPr="00C97145">
        <w:rPr>
          <w:rFonts w:ascii="Arial" w:hAnsi="Arial" w:cs="Arial"/>
          <w:sz w:val="20"/>
          <w:szCs w:val="20"/>
        </w:rPr>
        <w:t xml:space="preserve">ukinitev znižanja osnovne plače javnim uslužbencem, ki zasedajo delovna mesta, za katera ne izpolnjujejo pogoja glede izobrazbe (14. člen ZSPJS) </w:t>
      </w:r>
    </w:p>
    <w:p w14:paraId="5AC9ACB7" w14:textId="77777777" w:rsidR="0008517E" w:rsidRPr="00C97145" w:rsidRDefault="004226FF" w:rsidP="00A46986">
      <w:pPr>
        <w:pStyle w:val="Odstavekseznama"/>
        <w:numPr>
          <w:ilvl w:val="0"/>
          <w:numId w:val="23"/>
        </w:numPr>
        <w:spacing w:after="160" w:line="256" w:lineRule="auto"/>
        <w:jc w:val="both"/>
        <w:rPr>
          <w:rFonts w:ascii="Arial" w:hAnsi="Arial" w:cs="Arial"/>
          <w:sz w:val="20"/>
          <w:szCs w:val="20"/>
        </w:rPr>
      </w:pPr>
      <w:r w:rsidRPr="00C97145">
        <w:rPr>
          <w:rFonts w:ascii="Arial" w:hAnsi="Arial" w:cs="Arial"/>
          <w:sz w:val="20"/>
          <w:szCs w:val="20"/>
        </w:rPr>
        <w:t>odprava pravno sistemskih pomanjkljivosti, ki so se pokazale pri delovanju sedanjega plačnega sistema.</w:t>
      </w:r>
    </w:p>
    <w:p w14:paraId="6ABE0FC7" w14:textId="77777777" w:rsidR="0008517E" w:rsidRPr="00C97145" w:rsidRDefault="0008517E" w:rsidP="0008517E">
      <w:pPr>
        <w:spacing w:after="160" w:line="256" w:lineRule="auto"/>
        <w:jc w:val="both"/>
        <w:rPr>
          <w:rFonts w:ascii="Arial" w:hAnsi="Arial" w:cs="Arial"/>
          <w:sz w:val="20"/>
          <w:szCs w:val="20"/>
        </w:rPr>
      </w:pPr>
    </w:p>
    <w:p w14:paraId="09E72464" w14:textId="7B5C26EE" w:rsidR="004226FF" w:rsidRPr="00C97145" w:rsidRDefault="0008517E" w:rsidP="00E91780">
      <w:pPr>
        <w:pStyle w:val="Odstavekseznama"/>
        <w:numPr>
          <w:ilvl w:val="0"/>
          <w:numId w:val="44"/>
        </w:numPr>
        <w:spacing w:after="160" w:line="256" w:lineRule="auto"/>
        <w:jc w:val="both"/>
        <w:rPr>
          <w:rFonts w:ascii="Arial" w:hAnsi="Arial" w:cs="Arial"/>
          <w:b/>
          <w:bCs/>
          <w:sz w:val="20"/>
          <w:szCs w:val="20"/>
        </w:rPr>
      </w:pPr>
      <w:r w:rsidRPr="00C97145">
        <w:rPr>
          <w:rFonts w:ascii="Arial" w:hAnsi="Arial" w:cs="Arial"/>
          <w:b/>
          <w:bCs/>
          <w:sz w:val="20"/>
          <w:szCs w:val="20"/>
        </w:rPr>
        <w:t>FINANČNI UČINKI</w:t>
      </w:r>
      <w:r w:rsidR="004226FF" w:rsidRPr="00C97145">
        <w:rPr>
          <w:rFonts w:ascii="Arial" w:hAnsi="Arial" w:cs="Arial"/>
          <w:b/>
          <w:bCs/>
          <w:sz w:val="20"/>
          <w:szCs w:val="20"/>
        </w:rPr>
        <w:t xml:space="preserve"> </w:t>
      </w:r>
    </w:p>
    <w:p w14:paraId="4AE7EB2A" w14:textId="49E9A5EF" w:rsidR="00613B85" w:rsidRPr="00C97145" w:rsidRDefault="0008517E" w:rsidP="0008517E">
      <w:pPr>
        <w:spacing w:after="160" w:line="259" w:lineRule="auto"/>
        <w:jc w:val="both"/>
        <w:rPr>
          <w:rFonts w:ascii="Arial" w:hAnsi="Arial" w:cs="Arial"/>
          <w:sz w:val="20"/>
          <w:szCs w:val="20"/>
        </w:rPr>
      </w:pPr>
      <w:r w:rsidRPr="00C97145">
        <w:rPr>
          <w:rFonts w:ascii="Arial" w:hAnsi="Arial" w:cs="Arial"/>
          <w:sz w:val="20"/>
          <w:szCs w:val="20"/>
        </w:rPr>
        <w:t xml:space="preserve"> Finančni učinki bodo nastali zaradi nove plačne lestvice in višjih izhodiščnih osnovnih plač, ki naj bi se zlasti povečale v spodnjem delu plačne lestvice. Prav tako se bodo javno finančni odhodki povečali zaradi uvedbe novih dodatkov, večjega obsega variabilnega nagrajevanja in drugih variabilnih mehanizmov, ki naj bi omogočali boljše prilagajanje ponudbi in povpraševanju na trgu dela ter potrebam poslovnih procesov.</w:t>
      </w:r>
      <w:r w:rsidR="00A32CB7" w:rsidRPr="00C97145">
        <w:rPr>
          <w:rFonts w:ascii="Arial" w:hAnsi="Arial" w:cs="Arial"/>
          <w:sz w:val="20"/>
          <w:szCs w:val="20"/>
        </w:rPr>
        <w:t xml:space="preserve"> </w:t>
      </w:r>
      <w:r w:rsidRPr="00C97145">
        <w:rPr>
          <w:rFonts w:ascii="Arial" w:hAnsi="Arial" w:cs="Arial"/>
          <w:sz w:val="20"/>
          <w:szCs w:val="20"/>
        </w:rPr>
        <w:t xml:space="preserve">Navedeni učinki bodo deloma nevtralizirani z manjšim razponom med plačnimi razredi plačne lestvice in </w:t>
      </w:r>
      <w:r w:rsidR="00E447DD">
        <w:rPr>
          <w:rFonts w:ascii="Arial" w:hAnsi="Arial" w:cs="Arial"/>
          <w:sz w:val="20"/>
          <w:szCs w:val="20"/>
        </w:rPr>
        <w:t xml:space="preserve">spremenjenim sistemom </w:t>
      </w:r>
      <w:r w:rsidRPr="00C97145">
        <w:rPr>
          <w:rFonts w:ascii="Arial" w:hAnsi="Arial" w:cs="Arial"/>
          <w:sz w:val="20"/>
          <w:szCs w:val="20"/>
        </w:rPr>
        <w:t>napredovanj</w:t>
      </w:r>
      <w:r w:rsidR="00E447DD">
        <w:rPr>
          <w:rFonts w:ascii="Arial" w:hAnsi="Arial" w:cs="Arial"/>
          <w:sz w:val="20"/>
          <w:szCs w:val="20"/>
        </w:rPr>
        <w:t>a.</w:t>
      </w:r>
      <w:r w:rsidRPr="00C97145">
        <w:rPr>
          <w:rFonts w:ascii="Arial" w:hAnsi="Arial" w:cs="Arial"/>
          <w:sz w:val="20"/>
          <w:szCs w:val="20"/>
        </w:rPr>
        <w:t xml:space="preserve"> Upoštevaje oba učinka predlagana nova ureditev plačnega sistema ostaja v mejah javno finančne vzdržnosti</w:t>
      </w:r>
      <w:r w:rsidR="00E447DD">
        <w:rPr>
          <w:rFonts w:ascii="Arial" w:hAnsi="Arial" w:cs="Arial"/>
          <w:sz w:val="20"/>
          <w:szCs w:val="20"/>
        </w:rPr>
        <w:t xml:space="preserve">. </w:t>
      </w:r>
      <w:r w:rsidR="001B2AF8">
        <w:rPr>
          <w:rFonts w:ascii="Arial" w:hAnsi="Arial" w:cs="Arial"/>
          <w:sz w:val="20"/>
          <w:szCs w:val="20"/>
        </w:rPr>
        <w:t>Podrobnejša o</w:t>
      </w:r>
      <w:r w:rsidR="00E447DD">
        <w:rPr>
          <w:rFonts w:ascii="Arial" w:hAnsi="Arial" w:cs="Arial"/>
          <w:sz w:val="20"/>
          <w:szCs w:val="20"/>
        </w:rPr>
        <w:t>cena finančnega učinka bo predstavljena ob pripravi predloga zakona</w:t>
      </w:r>
      <w:r w:rsidR="00BA3917">
        <w:rPr>
          <w:rFonts w:ascii="Arial" w:hAnsi="Arial" w:cs="Arial"/>
          <w:sz w:val="20"/>
          <w:szCs w:val="20"/>
        </w:rPr>
        <w:t>.</w:t>
      </w:r>
      <w:r w:rsidRPr="00C97145">
        <w:rPr>
          <w:rFonts w:ascii="Arial" w:hAnsi="Arial" w:cs="Arial"/>
          <w:sz w:val="20"/>
          <w:szCs w:val="20"/>
        </w:rPr>
        <w:t xml:space="preserve"> </w:t>
      </w:r>
    </w:p>
    <w:p w14:paraId="39EA17C2" w14:textId="649E51F4" w:rsidR="00931E21" w:rsidRPr="00C97145" w:rsidRDefault="00931E21" w:rsidP="0008517E">
      <w:pPr>
        <w:spacing w:after="160" w:line="259" w:lineRule="auto"/>
        <w:jc w:val="both"/>
        <w:rPr>
          <w:rFonts w:ascii="Arial" w:hAnsi="Arial" w:cs="Arial"/>
          <w:sz w:val="20"/>
          <w:szCs w:val="20"/>
        </w:rPr>
      </w:pPr>
    </w:p>
    <w:p w14:paraId="28BAEDBC" w14:textId="3E4D4DD0" w:rsidR="00931E21" w:rsidRPr="00C97145" w:rsidRDefault="00931E21" w:rsidP="00E91780">
      <w:pPr>
        <w:pStyle w:val="Odstavekseznama"/>
        <w:numPr>
          <w:ilvl w:val="0"/>
          <w:numId w:val="44"/>
        </w:numPr>
        <w:spacing w:after="160" w:line="256" w:lineRule="auto"/>
        <w:jc w:val="both"/>
        <w:rPr>
          <w:rFonts w:ascii="Arial" w:hAnsi="Arial" w:cs="Arial"/>
          <w:b/>
          <w:bCs/>
          <w:sz w:val="20"/>
          <w:szCs w:val="20"/>
        </w:rPr>
      </w:pPr>
      <w:r w:rsidRPr="00C97145">
        <w:rPr>
          <w:rFonts w:ascii="Arial" w:hAnsi="Arial" w:cs="Arial"/>
          <w:b/>
          <w:bCs/>
          <w:sz w:val="20"/>
          <w:szCs w:val="20"/>
        </w:rPr>
        <w:t>VZPOREDNE AKT</w:t>
      </w:r>
      <w:r w:rsidR="00282820" w:rsidRPr="00C97145">
        <w:rPr>
          <w:rFonts w:ascii="Arial" w:hAnsi="Arial" w:cs="Arial"/>
          <w:b/>
          <w:bCs/>
          <w:sz w:val="20"/>
          <w:szCs w:val="20"/>
        </w:rPr>
        <w:t>I</w:t>
      </w:r>
      <w:r w:rsidRPr="00C97145">
        <w:rPr>
          <w:rFonts w:ascii="Arial" w:hAnsi="Arial" w:cs="Arial"/>
          <w:b/>
          <w:bCs/>
          <w:sz w:val="20"/>
          <w:szCs w:val="20"/>
        </w:rPr>
        <w:t>VNOSTI</w:t>
      </w:r>
    </w:p>
    <w:p w14:paraId="39F19B0C" w14:textId="47E2B885" w:rsidR="00931E21" w:rsidRPr="00C97145" w:rsidRDefault="00931E21" w:rsidP="008C0DE1">
      <w:pPr>
        <w:spacing w:after="160" w:line="259" w:lineRule="auto"/>
        <w:jc w:val="both"/>
        <w:rPr>
          <w:rFonts w:ascii="Arial" w:hAnsi="Arial" w:cs="Arial"/>
          <w:sz w:val="20"/>
          <w:szCs w:val="20"/>
        </w:rPr>
      </w:pPr>
      <w:r w:rsidRPr="00C97145">
        <w:rPr>
          <w:rFonts w:ascii="Arial" w:hAnsi="Arial" w:cs="Arial"/>
          <w:sz w:val="20"/>
          <w:szCs w:val="20"/>
        </w:rPr>
        <w:t>Reforma plačnega sistema javnega sektorja mora biti del širših sprememb, ki bodo povečale učinkovitost tega sektorja in zagotovile uporabnikom boljše in bolj dostopne javne storitve.</w:t>
      </w:r>
      <w:r w:rsidR="004D4F45" w:rsidRPr="00C97145">
        <w:rPr>
          <w:rFonts w:ascii="Arial" w:hAnsi="Arial" w:cs="Arial"/>
          <w:sz w:val="20"/>
          <w:szCs w:val="20"/>
        </w:rPr>
        <w:t xml:space="preserve"> </w:t>
      </w:r>
      <w:r w:rsidR="00926CD4" w:rsidRPr="00C97145">
        <w:rPr>
          <w:rFonts w:ascii="Arial" w:hAnsi="Arial" w:cs="Arial"/>
          <w:sz w:val="20"/>
          <w:szCs w:val="20"/>
        </w:rPr>
        <w:t xml:space="preserve"> </w:t>
      </w:r>
      <w:r w:rsidRPr="00C97145">
        <w:rPr>
          <w:rFonts w:ascii="Arial" w:hAnsi="Arial" w:cs="Arial"/>
          <w:sz w:val="20"/>
          <w:szCs w:val="20"/>
        </w:rPr>
        <w:t xml:space="preserve">Hkrati s spremembo plačnega sistema so zato predvidene spremembe </w:t>
      </w:r>
      <w:r w:rsidR="00BA3917">
        <w:rPr>
          <w:rFonts w:ascii="Arial" w:hAnsi="Arial" w:cs="Arial"/>
          <w:sz w:val="20"/>
          <w:szCs w:val="20"/>
        </w:rPr>
        <w:t xml:space="preserve">tudi na drugih </w:t>
      </w:r>
      <w:r w:rsidRPr="00C97145">
        <w:rPr>
          <w:rFonts w:ascii="Arial" w:hAnsi="Arial" w:cs="Arial"/>
          <w:sz w:val="20"/>
          <w:szCs w:val="20"/>
        </w:rPr>
        <w:t xml:space="preserve"> področjih</w:t>
      </w:r>
      <w:r w:rsidR="00BA3917">
        <w:rPr>
          <w:rFonts w:ascii="Arial" w:hAnsi="Arial" w:cs="Arial"/>
          <w:sz w:val="20"/>
          <w:szCs w:val="20"/>
        </w:rPr>
        <w:t xml:space="preserve">, </w:t>
      </w:r>
      <w:proofErr w:type="spellStart"/>
      <w:r w:rsidR="00BA3917">
        <w:rPr>
          <w:rFonts w:ascii="Arial" w:hAnsi="Arial" w:cs="Arial"/>
          <w:sz w:val="20"/>
          <w:szCs w:val="20"/>
        </w:rPr>
        <w:t>npr</w:t>
      </w:r>
      <w:proofErr w:type="spellEnd"/>
      <w:r w:rsidRPr="00C97145">
        <w:rPr>
          <w:rFonts w:ascii="Arial" w:hAnsi="Arial" w:cs="Arial"/>
          <w:sz w:val="20"/>
          <w:szCs w:val="20"/>
        </w:rPr>
        <w:t>:</w:t>
      </w:r>
    </w:p>
    <w:p w14:paraId="0929EBA9" w14:textId="76F03445" w:rsidR="00931E21" w:rsidRPr="00C97145" w:rsidRDefault="00D332D6" w:rsidP="00931E21">
      <w:pPr>
        <w:pStyle w:val="Odstavekseznama"/>
        <w:numPr>
          <w:ilvl w:val="0"/>
          <w:numId w:val="23"/>
        </w:numPr>
        <w:spacing w:after="160" w:line="259" w:lineRule="auto"/>
        <w:jc w:val="both"/>
        <w:rPr>
          <w:rFonts w:ascii="Arial" w:hAnsi="Arial" w:cs="Arial"/>
          <w:sz w:val="20"/>
          <w:szCs w:val="20"/>
        </w:rPr>
      </w:pPr>
      <w:r w:rsidRPr="00C97145">
        <w:rPr>
          <w:rFonts w:ascii="Arial" w:hAnsi="Arial" w:cs="Arial"/>
          <w:sz w:val="20"/>
          <w:szCs w:val="20"/>
        </w:rPr>
        <w:t>n</w:t>
      </w:r>
      <w:r w:rsidR="00931E21" w:rsidRPr="00C97145">
        <w:rPr>
          <w:rFonts w:ascii="Arial" w:hAnsi="Arial" w:cs="Arial"/>
          <w:sz w:val="20"/>
          <w:szCs w:val="20"/>
        </w:rPr>
        <w:t>ov Zakon o funkcionarjih</w:t>
      </w:r>
      <w:r w:rsidR="00341540" w:rsidRPr="00C97145">
        <w:rPr>
          <w:rFonts w:ascii="Arial" w:hAnsi="Arial" w:cs="Arial"/>
          <w:sz w:val="20"/>
          <w:szCs w:val="20"/>
        </w:rPr>
        <w:t>,</w:t>
      </w:r>
    </w:p>
    <w:p w14:paraId="3615F821" w14:textId="641C2917" w:rsidR="00931E21" w:rsidRPr="00C97145" w:rsidRDefault="00D332D6" w:rsidP="00931E21">
      <w:pPr>
        <w:pStyle w:val="Odstavekseznama"/>
        <w:numPr>
          <w:ilvl w:val="0"/>
          <w:numId w:val="23"/>
        </w:numPr>
        <w:spacing w:after="160" w:line="259" w:lineRule="auto"/>
        <w:jc w:val="both"/>
        <w:rPr>
          <w:rFonts w:ascii="Arial" w:hAnsi="Arial" w:cs="Arial"/>
          <w:sz w:val="20"/>
          <w:szCs w:val="20"/>
        </w:rPr>
      </w:pPr>
      <w:r w:rsidRPr="00C97145">
        <w:rPr>
          <w:rFonts w:ascii="Arial" w:hAnsi="Arial" w:cs="Arial"/>
          <w:sz w:val="20"/>
          <w:szCs w:val="20"/>
        </w:rPr>
        <w:t>p</w:t>
      </w:r>
      <w:r w:rsidR="00931E21" w:rsidRPr="00C97145">
        <w:rPr>
          <w:rFonts w:ascii="Arial" w:hAnsi="Arial" w:cs="Arial"/>
          <w:sz w:val="20"/>
          <w:szCs w:val="20"/>
        </w:rPr>
        <w:t>renova sistema javnih uslužbencev – nov Zakon o javnih uslužbencih</w:t>
      </w:r>
      <w:r w:rsidR="00341540" w:rsidRPr="00C97145">
        <w:rPr>
          <w:rFonts w:ascii="Arial" w:hAnsi="Arial" w:cs="Arial"/>
          <w:sz w:val="20"/>
          <w:szCs w:val="20"/>
        </w:rPr>
        <w:t>,</w:t>
      </w:r>
    </w:p>
    <w:p w14:paraId="27614CD8" w14:textId="21777133" w:rsidR="000E5AE6" w:rsidRPr="00C97145" w:rsidRDefault="000E5AE6" w:rsidP="00931E21">
      <w:pPr>
        <w:pStyle w:val="Odstavekseznama"/>
        <w:numPr>
          <w:ilvl w:val="0"/>
          <w:numId w:val="23"/>
        </w:numPr>
        <w:spacing w:after="160" w:line="259" w:lineRule="auto"/>
        <w:jc w:val="both"/>
        <w:rPr>
          <w:rFonts w:ascii="Arial" w:hAnsi="Arial" w:cs="Arial"/>
          <w:sz w:val="20"/>
          <w:szCs w:val="20"/>
        </w:rPr>
      </w:pPr>
      <w:r w:rsidRPr="00C97145">
        <w:rPr>
          <w:rFonts w:ascii="Arial" w:hAnsi="Arial" w:cs="Arial"/>
          <w:sz w:val="20"/>
          <w:szCs w:val="20"/>
        </w:rPr>
        <w:t>nov zakon o državni upravi,</w:t>
      </w:r>
    </w:p>
    <w:p w14:paraId="3189ABC9" w14:textId="09900F05" w:rsidR="000E5AE6" w:rsidRPr="00C97145" w:rsidRDefault="000E5AE6" w:rsidP="000E5AE6">
      <w:pPr>
        <w:pStyle w:val="Odstavekseznama"/>
        <w:numPr>
          <w:ilvl w:val="0"/>
          <w:numId w:val="23"/>
        </w:numPr>
        <w:spacing w:after="160" w:line="259" w:lineRule="auto"/>
        <w:jc w:val="both"/>
        <w:rPr>
          <w:rFonts w:ascii="Arial" w:hAnsi="Arial" w:cs="Arial"/>
          <w:sz w:val="20"/>
          <w:szCs w:val="20"/>
        </w:rPr>
      </w:pPr>
      <w:r w:rsidRPr="00C97145">
        <w:rPr>
          <w:rFonts w:ascii="Arial" w:hAnsi="Arial" w:cs="Arial"/>
          <w:sz w:val="20"/>
          <w:szCs w:val="20"/>
        </w:rPr>
        <w:t xml:space="preserve">nov zakon o zavodih, </w:t>
      </w:r>
    </w:p>
    <w:p w14:paraId="62D08C23" w14:textId="6B81B9F4" w:rsidR="00931E21" w:rsidRPr="00C97145" w:rsidRDefault="00D332D6" w:rsidP="00931E21">
      <w:pPr>
        <w:pStyle w:val="Odstavekseznama"/>
        <w:numPr>
          <w:ilvl w:val="0"/>
          <w:numId w:val="23"/>
        </w:numPr>
        <w:spacing w:after="160" w:line="259" w:lineRule="auto"/>
        <w:jc w:val="both"/>
        <w:rPr>
          <w:rFonts w:ascii="Arial" w:hAnsi="Arial" w:cs="Arial"/>
          <w:sz w:val="20"/>
          <w:szCs w:val="20"/>
        </w:rPr>
      </w:pPr>
      <w:r w:rsidRPr="00C97145">
        <w:rPr>
          <w:rFonts w:ascii="Arial" w:hAnsi="Arial" w:cs="Arial"/>
          <w:sz w:val="20"/>
          <w:szCs w:val="20"/>
        </w:rPr>
        <w:t>r</w:t>
      </w:r>
      <w:r w:rsidR="00931E21" w:rsidRPr="00C97145">
        <w:rPr>
          <w:rFonts w:ascii="Arial" w:hAnsi="Arial" w:cs="Arial"/>
          <w:sz w:val="20"/>
          <w:szCs w:val="20"/>
        </w:rPr>
        <w:t>eforma zdravstvenega sistema</w:t>
      </w:r>
      <w:r w:rsidR="00341540" w:rsidRPr="00C97145">
        <w:rPr>
          <w:rFonts w:ascii="Arial" w:hAnsi="Arial" w:cs="Arial"/>
          <w:sz w:val="20"/>
          <w:szCs w:val="20"/>
        </w:rPr>
        <w:t>,</w:t>
      </w:r>
    </w:p>
    <w:p w14:paraId="60E9929C" w14:textId="7FA56FCB" w:rsidR="00931E21" w:rsidRPr="00C97145" w:rsidRDefault="00D332D6" w:rsidP="00931E21">
      <w:pPr>
        <w:pStyle w:val="Odstavekseznama"/>
        <w:numPr>
          <w:ilvl w:val="0"/>
          <w:numId w:val="23"/>
        </w:numPr>
        <w:spacing w:after="160" w:line="259" w:lineRule="auto"/>
        <w:jc w:val="both"/>
        <w:rPr>
          <w:rFonts w:ascii="Arial" w:hAnsi="Arial" w:cs="Arial"/>
          <w:sz w:val="20"/>
          <w:szCs w:val="20"/>
        </w:rPr>
      </w:pPr>
      <w:r w:rsidRPr="00C97145">
        <w:rPr>
          <w:rFonts w:ascii="Arial" w:hAnsi="Arial" w:cs="Arial"/>
          <w:sz w:val="20"/>
          <w:szCs w:val="20"/>
        </w:rPr>
        <w:t>u</w:t>
      </w:r>
      <w:r w:rsidR="00931E21" w:rsidRPr="00C97145">
        <w:rPr>
          <w:rFonts w:ascii="Arial" w:hAnsi="Arial" w:cs="Arial"/>
          <w:sz w:val="20"/>
          <w:szCs w:val="20"/>
        </w:rPr>
        <w:t>vedba sistema dolgotrajne oskrbe</w:t>
      </w:r>
      <w:r w:rsidR="00341540" w:rsidRPr="00C97145">
        <w:rPr>
          <w:rFonts w:ascii="Arial" w:hAnsi="Arial" w:cs="Arial"/>
          <w:sz w:val="20"/>
          <w:szCs w:val="20"/>
        </w:rPr>
        <w:t>,</w:t>
      </w:r>
    </w:p>
    <w:p w14:paraId="60081B33" w14:textId="769CF3DA" w:rsidR="00931E21" w:rsidRPr="00C97145" w:rsidRDefault="00D332D6" w:rsidP="00931E21">
      <w:pPr>
        <w:pStyle w:val="Odstavekseznama"/>
        <w:numPr>
          <w:ilvl w:val="0"/>
          <w:numId w:val="23"/>
        </w:numPr>
        <w:spacing w:after="160" w:line="259" w:lineRule="auto"/>
        <w:jc w:val="both"/>
        <w:rPr>
          <w:rFonts w:ascii="Arial" w:hAnsi="Arial" w:cs="Arial"/>
          <w:sz w:val="20"/>
          <w:szCs w:val="20"/>
        </w:rPr>
      </w:pPr>
      <w:r w:rsidRPr="00C97145">
        <w:rPr>
          <w:rFonts w:ascii="Arial" w:hAnsi="Arial" w:cs="Arial"/>
          <w:sz w:val="20"/>
          <w:szCs w:val="20"/>
        </w:rPr>
        <w:t>r</w:t>
      </w:r>
      <w:r w:rsidR="00931E21" w:rsidRPr="00C97145">
        <w:rPr>
          <w:rFonts w:ascii="Arial" w:hAnsi="Arial" w:cs="Arial"/>
          <w:sz w:val="20"/>
          <w:szCs w:val="20"/>
        </w:rPr>
        <w:t>eorganizacija upravnih enot</w:t>
      </w:r>
      <w:r w:rsidR="000E5AE6" w:rsidRPr="00C97145">
        <w:rPr>
          <w:rFonts w:ascii="Arial" w:hAnsi="Arial" w:cs="Arial"/>
          <w:sz w:val="20"/>
          <w:szCs w:val="20"/>
        </w:rPr>
        <w:t>,</w:t>
      </w:r>
    </w:p>
    <w:p w14:paraId="7E43E582" w14:textId="27140AAA" w:rsidR="000E5AE6" w:rsidRPr="00C97145" w:rsidRDefault="000E5AE6" w:rsidP="00931E21">
      <w:pPr>
        <w:pStyle w:val="Odstavekseznama"/>
        <w:numPr>
          <w:ilvl w:val="0"/>
          <w:numId w:val="23"/>
        </w:numPr>
        <w:spacing w:after="160" w:line="259" w:lineRule="auto"/>
        <w:jc w:val="both"/>
        <w:rPr>
          <w:rFonts w:ascii="Arial" w:hAnsi="Arial" w:cs="Arial"/>
          <w:sz w:val="20"/>
          <w:szCs w:val="20"/>
        </w:rPr>
      </w:pPr>
      <w:r w:rsidRPr="00C97145">
        <w:rPr>
          <w:rFonts w:ascii="Arial" w:hAnsi="Arial" w:cs="Arial"/>
          <w:sz w:val="20"/>
          <w:szCs w:val="20"/>
        </w:rPr>
        <w:t>vzpostavitev skupnih podpornih služb.</w:t>
      </w:r>
      <w:r w:rsidR="000A377E" w:rsidRPr="00C97145">
        <w:rPr>
          <w:rFonts w:ascii="Arial" w:hAnsi="Arial" w:cs="Arial"/>
          <w:sz w:val="20"/>
          <w:szCs w:val="20"/>
        </w:rPr>
        <w:t xml:space="preserve"> </w:t>
      </w:r>
    </w:p>
    <w:p w14:paraId="04BFBA97" w14:textId="20C10C91" w:rsidR="007230FD" w:rsidRPr="00C97145" w:rsidRDefault="007230FD" w:rsidP="001E57FF">
      <w:pPr>
        <w:spacing w:after="160" w:line="256" w:lineRule="auto"/>
        <w:jc w:val="both"/>
        <w:rPr>
          <w:rFonts w:ascii="Arial" w:hAnsi="Arial" w:cs="Arial"/>
          <w:sz w:val="20"/>
          <w:szCs w:val="20"/>
        </w:rPr>
      </w:pPr>
      <w:r w:rsidRPr="00C97145">
        <w:rPr>
          <w:rFonts w:ascii="Arial" w:hAnsi="Arial" w:cs="Arial"/>
          <w:sz w:val="20"/>
          <w:szCs w:val="20"/>
        </w:rPr>
        <w:t>Vzporedno z uveljavitvijo sprememb v plačnem sistemu bo potek</w:t>
      </w:r>
      <w:r w:rsidR="004D4F45" w:rsidRPr="00C97145">
        <w:rPr>
          <w:rFonts w:ascii="Arial" w:hAnsi="Arial" w:cs="Arial"/>
          <w:sz w:val="20"/>
          <w:szCs w:val="20"/>
        </w:rPr>
        <w:t>a</w:t>
      </w:r>
      <w:r w:rsidRPr="00C97145">
        <w:rPr>
          <w:rFonts w:ascii="Arial" w:hAnsi="Arial" w:cs="Arial"/>
          <w:sz w:val="20"/>
          <w:szCs w:val="20"/>
        </w:rPr>
        <w:t xml:space="preserve">l tudi projekt odprave nesorazmerij v </w:t>
      </w:r>
      <w:r w:rsidR="00D332D6" w:rsidRPr="00C97145">
        <w:rPr>
          <w:rFonts w:ascii="Arial" w:hAnsi="Arial" w:cs="Arial"/>
          <w:sz w:val="20"/>
          <w:szCs w:val="20"/>
        </w:rPr>
        <w:t>osnovnih plačah</w:t>
      </w:r>
      <w:r w:rsidRPr="00C97145">
        <w:rPr>
          <w:rFonts w:ascii="Arial" w:hAnsi="Arial" w:cs="Arial"/>
          <w:sz w:val="20"/>
          <w:szCs w:val="20"/>
        </w:rPr>
        <w:t>. Izhodišča tega projekta so predmet posebnega gradiva.</w:t>
      </w:r>
      <w:r w:rsidR="004D4F45" w:rsidRPr="00C97145">
        <w:rPr>
          <w:rFonts w:ascii="Arial" w:hAnsi="Arial" w:cs="Arial"/>
          <w:sz w:val="20"/>
          <w:szCs w:val="20"/>
        </w:rPr>
        <w:t xml:space="preserve"> Ob reformi plačnega sistema pa bo treba preveriti tudi utemeljenost drugih pravic javnih uslužbencev, ki vplivajo na njihov položaj oziroma kriterije za upravičenost do njih in jih upoštevati pri koncipiranju novega sistema in odpravi nesorazmerij.</w:t>
      </w:r>
    </w:p>
    <w:p w14:paraId="3940C055" w14:textId="77777777" w:rsidR="007230FD" w:rsidRPr="00C97145" w:rsidRDefault="007230FD" w:rsidP="007230FD">
      <w:pPr>
        <w:spacing w:after="160" w:line="259" w:lineRule="auto"/>
        <w:jc w:val="both"/>
        <w:rPr>
          <w:rFonts w:ascii="Arial" w:hAnsi="Arial" w:cs="Arial"/>
          <w:sz w:val="20"/>
          <w:szCs w:val="20"/>
        </w:rPr>
      </w:pPr>
    </w:p>
    <w:p w14:paraId="06681213" w14:textId="2605577B" w:rsidR="00BA3917" w:rsidRPr="001B2AF8" w:rsidRDefault="001B2AF8" w:rsidP="001B2AF8">
      <w:pPr>
        <w:pStyle w:val="Odstavekseznama"/>
        <w:numPr>
          <w:ilvl w:val="0"/>
          <w:numId w:val="44"/>
        </w:numPr>
        <w:spacing w:after="160" w:line="256" w:lineRule="auto"/>
        <w:jc w:val="both"/>
        <w:rPr>
          <w:rFonts w:ascii="Arial" w:hAnsi="Arial" w:cs="Arial"/>
          <w:b/>
          <w:bCs/>
          <w:sz w:val="20"/>
          <w:szCs w:val="20"/>
        </w:rPr>
      </w:pPr>
      <w:r w:rsidRPr="001B2AF8">
        <w:rPr>
          <w:rFonts w:ascii="Arial" w:hAnsi="Arial" w:cs="Arial"/>
          <w:b/>
          <w:bCs/>
          <w:sz w:val="20"/>
          <w:szCs w:val="20"/>
        </w:rPr>
        <w:t xml:space="preserve"> ČASOVNICA</w:t>
      </w:r>
    </w:p>
    <w:p w14:paraId="66FB9B49" w14:textId="77777777" w:rsidR="00C447E8" w:rsidRDefault="00C447E8" w:rsidP="00C447E8">
      <w:pPr>
        <w:pStyle w:val="Odstavekseznama"/>
        <w:spacing w:after="160" w:line="256" w:lineRule="auto"/>
        <w:jc w:val="both"/>
        <w:rPr>
          <w:rFonts w:ascii="Arial" w:hAnsi="Arial" w:cs="Arial"/>
          <w:sz w:val="20"/>
          <w:szCs w:val="20"/>
        </w:rPr>
      </w:pPr>
    </w:p>
    <w:p w14:paraId="792A036A" w14:textId="5D8127BE" w:rsidR="001F502E" w:rsidRPr="00C447E8" w:rsidRDefault="00BA3917" w:rsidP="00C447E8">
      <w:pPr>
        <w:pStyle w:val="Odstavekseznama"/>
        <w:numPr>
          <w:ilvl w:val="0"/>
          <w:numId w:val="52"/>
        </w:numPr>
        <w:spacing w:after="160" w:line="256" w:lineRule="auto"/>
        <w:jc w:val="both"/>
        <w:rPr>
          <w:rFonts w:ascii="Arial" w:hAnsi="Arial" w:cs="Arial"/>
          <w:sz w:val="20"/>
          <w:szCs w:val="20"/>
        </w:rPr>
      </w:pPr>
      <w:r w:rsidRPr="00C447E8">
        <w:rPr>
          <w:rFonts w:ascii="Arial" w:hAnsi="Arial" w:cs="Arial"/>
          <w:sz w:val="20"/>
          <w:szCs w:val="20"/>
        </w:rPr>
        <w:t>usklajevanje zakona</w:t>
      </w:r>
      <w:r w:rsidR="001F502E" w:rsidRPr="00C447E8">
        <w:rPr>
          <w:rFonts w:ascii="Arial" w:hAnsi="Arial" w:cs="Arial"/>
          <w:sz w:val="20"/>
          <w:szCs w:val="20"/>
        </w:rPr>
        <w:t xml:space="preserve"> -</w:t>
      </w:r>
      <w:r w:rsidRPr="00C447E8">
        <w:rPr>
          <w:rFonts w:ascii="Arial" w:hAnsi="Arial" w:cs="Arial"/>
          <w:sz w:val="20"/>
          <w:szCs w:val="20"/>
        </w:rPr>
        <w:t xml:space="preserve"> </w:t>
      </w:r>
      <w:r w:rsidR="001F502E" w:rsidRPr="00C447E8">
        <w:rPr>
          <w:rFonts w:ascii="Arial" w:hAnsi="Arial" w:cs="Arial"/>
          <w:sz w:val="20"/>
          <w:szCs w:val="20"/>
        </w:rPr>
        <w:t xml:space="preserve"> </w:t>
      </w:r>
      <w:r w:rsidRPr="00C447E8">
        <w:rPr>
          <w:rFonts w:ascii="Arial" w:hAnsi="Arial" w:cs="Arial"/>
          <w:sz w:val="20"/>
          <w:szCs w:val="20"/>
        </w:rPr>
        <w:t>se začne takoj, uskladitev do 30.6.2023, uveljavitev najkasneje do 1.1.2024</w:t>
      </w:r>
      <w:r w:rsidR="00C447E8">
        <w:rPr>
          <w:rFonts w:ascii="Arial" w:hAnsi="Arial" w:cs="Arial"/>
          <w:sz w:val="20"/>
          <w:szCs w:val="20"/>
        </w:rPr>
        <w:t>;</w:t>
      </w:r>
    </w:p>
    <w:p w14:paraId="2537B95A" w14:textId="7C5DCD1D" w:rsidR="001F502E" w:rsidRPr="00C447E8" w:rsidRDefault="001F502E" w:rsidP="00C447E8">
      <w:pPr>
        <w:pStyle w:val="Odstavekseznama"/>
        <w:numPr>
          <w:ilvl w:val="0"/>
          <w:numId w:val="52"/>
        </w:numPr>
        <w:spacing w:after="160" w:line="256" w:lineRule="auto"/>
        <w:jc w:val="both"/>
        <w:rPr>
          <w:rFonts w:ascii="Arial" w:hAnsi="Arial" w:cs="Arial"/>
          <w:sz w:val="20"/>
          <w:szCs w:val="20"/>
        </w:rPr>
      </w:pPr>
      <w:r w:rsidRPr="00C447E8">
        <w:rPr>
          <w:rFonts w:ascii="Arial" w:hAnsi="Arial" w:cs="Arial"/>
          <w:sz w:val="20"/>
          <w:szCs w:val="20"/>
        </w:rPr>
        <w:t>prenova sistema napredovanja – po stebrih – vzporedno prenova kariernega sistema - usklajevanje se začne takoj, uveljavitev do 30.6.2026, do začetka uporabe novih pravil napredovanja se sistem napredovanj ne izvaja</w:t>
      </w:r>
      <w:r w:rsidR="00C447E8">
        <w:rPr>
          <w:rFonts w:ascii="Arial" w:hAnsi="Arial" w:cs="Arial"/>
          <w:sz w:val="20"/>
          <w:szCs w:val="20"/>
        </w:rPr>
        <w:t>;</w:t>
      </w:r>
    </w:p>
    <w:p w14:paraId="39648D5B" w14:textId="25C392D7" w:rsidR="00C447E8" w:rsidRPr="00C447E8" w:rsidRDefault="008E2407" w:rsidP="00C447E8">
      <w:pPr>
        <w:pStyle w:val="Odstavekseznama"/>
        <w:numPr>
          <w:ilvl w:val="0"/>
          <w:numId w:val="52"/>
        </w:numPr>
        <w:spacing w:after="160" w:line="259" w:lineRule="auto"/>
        <w:rPr>
          <w:rFonts w:ascii="Arial" w:hAnsi="Arial" w:cs="Arial"/>
          <w:sz w:val="20"/>
          <w:szCs w:val="20"/>
        </w:rPr>
      </w:pPr>
      <w:r w:rsidRPr="00C447E8">
        <w:rPr>
          <w:rFonts w:ascii="Arial" w:hAnsi="Arial" w:cs="Arial"/>
          <w:sz w:val="20"/>
          <w:szCs w:val="20"/>
        </w:rPr>
        <w:t>p</w:t>
      </w:r>
      <w:r w:rsidR="001F502E" w:rsidRPr="00C447E8">
        <w:rPr>
          <w:rFonts w:ascii="Arial" w:hAnsi="Arial" w:cs="Arial"/>
          <w:sz w:val="20"/>
          <w:szCs w:val="20"/>
        </w:rPr>
        <w:t>renova sistema nagrajevanja – po stebrih - usklajevanje se začne takoj, uveljavitev do 30.6.2026</w:t>
      </w:r>
      <w:r w:rsidR="00C447E8" w:rsidRPr="00C447E8">
        <w:rPr>
          <w:rFonts w:ascii="Arial" w:hAnsi="Arial" w:cs="Arial"/>
          <w:sz w:val="20"/>
          <w:szCs w:val="20"/>
        </w:rPr>
        <w:t>, do začetka uporabe novih pravil glede nagrajevanja delovne uspešnosti se delovna uspešnost ne izplačuje.</w:t>
      </w:r>
    </w:p>
    <w:p w14:paraId="1B0A324C" w14:textId="01015648" w:rsidR="00A004BA" w:rsidRPr="00C97145" w:rsidRDefault="00A004BA">
      <w:pPr>
        <w:spacing w:after="160" w:line="259" w:lineRule="auto"/>
        <w:rPr>
          <w:rFonts w:ascii="Arial" w:hAnsi="Arial" w:cs="Arial"/>
          <w:b/>
          <w:bCs/>
          <w:sz w:val="20"/>
          <w:szCs w:val="20"/>
        </w:rPr>
      </w:pPr>
      <w:r w:rsidRPr="00C97145">
        <w:rPr>
          <w:rFonts w:ascii="Arial" w:hAnsi="Arial" w:cs="Arial"/>
          <w:b/>
          <w:bCs/>
          <w:sz w:val="20"/>
          <w:szCs w:val="20"/>
        </w:rPr>
        <w:br w:type="page"/>
      </w:r>
    </w:p>
    <w:p w14:paraId="2B57BF4E" w14:textId="0669F137" w:rsidR="0008517E" w:rsidRDefault="00A004BA" w:rsidP="0008517E">
      <w:pPr>
        <w:spacing w:after="160" w:line="256" w:lineRule="auto"/>
        <w:jc w:val="both"/>
        <w:rPr>
          <w:rFonts w:ascii="Arial" w:hAnsi="Arial" w:cs="Arial"/>
          <w:b/>
          <w:bCs/>
          <w:sz w:val="20"/>
          <w:szCs w:val="20"/>
        </w:rPr>
      </w:pPr>
      <w:r w:rsidRPr="00C97145">
        <w:rPr>
          <w:rFonts w:ascii="Arial" w:hAnsi="Arial" w:cs="Arial"/>
          <w:b/>
          <w:bCs/>
          <w:sz w:val="20"/>
          <w:szCs w:val="20"/>
        </w:rPr>
        <w:lastRenderedPageBreak/>
        <w:t>PRILOGA 1</w:t>
      </w:r>
    </w:p>
    <w:tbl>
      <w:tblPr>
        <w:tblStyle w:val="Tabelasvetlamrea"/>
        <w:tblW w:w="9396" w:type="dxa"/>
        <w:tblLook w:val="04A0" w:firstRow="1" w:lastRow="0" w:firstColumn="1" w:lastColumn="0" w:noHBand="0" w:noVBand="1"/>
      </w:tblPr>
      <w:tblGrid>
        <w:gridCol w:w="960"/>
        <w:gridCol w:w="1000"/>
        <w:gridCol w:w="959"/>
        <w:gridCol w:w="360"/>
        <w:gridCol w:w="1612"/>
        <w:gridCol w:w="1441"/>
        <w:gridCol w:w="450"/>
        <w:gridCol w:w="1335"/>
        <w:gridCol w:w="1279"/>
      </w:tblGrid>
      <w:tr w:rsidR="00CF6953" w:rsidRPr="00CF6953" w14:paraId="7A40AD8B" w14:textId="77777777" w:rsidTr="00633512">
        <w:trPr>
          <w:trHeight w:val="315"/>
        </w:trPr>
        <w:tc>
          <w:tcPr>
            <w:tcW w:w="960" w:type="dxa"/>
            <w:noWrap/>
            <w:hideMark/>
          </w:tcPr>
          <w:p w14:paraId="1505CA9F"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000" w:type="dxa"/>
            <w:noWrap/>
            <w:hideMark/>
          </w:tcPr>
          <w:p w14:paraId="1A3B039D"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959" w:type="dxa"/>
            <w:noWrap/>
            <w:hideMark/>
          </w:tcPr>
          <w:p w14:paraId="65066D4F"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360" w:type="dxa"/>
            <w:noWrap/>
            <w:hideMark/>
          </w:tcPr>
          <w:p w14:paraId="429C5048"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4838" w:type="dxa"/>
            <w:gridSpan w:val="4"/>
            <w:noWrap/>
            <w:hideMark/>
          </w:tcPr>
          <w:p w14:paraId="01C0B92B" w14:textId="77777777" w:rsidR="00CF6953" w:rsidRPr="00CF6953" w:rsidRDefault="00CF6953" w:rsidP="00CF6953">
            <w:pPr>
              <w:spacing w:after="0" w:line="240" w:lineRule="auto"/>
              <w:jc w:val="center"/>
              <w:rPr>
                <w:rFonts w:eastAsia="Times New Roman" w:cs="Calibri"/>
                <w:b/>
                <w:bCs/>
                <w:color w:val="000000"/>
                <w:sz w:val="16"/>
                <w:szCs w:val="16"/>
                <w:lang w:eastAsia="sl-SI"/>
              </w:rPr>
            </w:pPr>
            <w:r w:rsidRPr="00CF6953">
              <w:rPr>
                <w:rFonts w:eastAsia="Times New Roman" w:cs="Calibri"/>
                <w:b/>
                <w:bCs/>
                <w:color w:val="000000"/>
                <w:sz w:val="16"/>
                <w:szCs w:val="16"/>
                <w:lang w:eastAsia="sl-SI"/>
              </w:rPr>
              <w:t>PREVEDBA</w:t>
            </w:r>
          </w:p>
        </w:tc>
        <w:tc>
          <w:tcPr>
            <w:tcW w:w="1279" w:type="dxa"/>
            <w:noWrap/>
            <w:hideMark/>
          </w:tcPr>
          <w:p w14:paraId="598C6662" w14:textId="77777777" w:rsidR="00CF6953" w:rsidRPr="00CF6953" w:rsidRDefault="00CF6953" w:rsidP="00CF6953">
            <w:pPr>
              <w:spacing w:after="0" w:line="240" w:lineRule="auto"/>
              <w:rPr>
                <w:rFonts w:eastAsia="Times New Roman" w:cs="Calibri"/>
                <w:color w:val="000000"/>
                <w:sz w:val="16"/>
                <w:szCs w:val="16"/>
                <w:lang w:eastAsia="sl-SI"/>
              </w:rPr>
            </w:pPr>
            <w:r w:rsidRPr="00CF6953">
              <w:rPr>
                <w:rFonts w:eastAsia="Times New Roman" w:cs="Calibri"/>
                <w:color w:val="000000"/>
                <w:sz w:val="16"/>
                <w:szCs w:val="16"/>
                <w:lang w:eastAsia="sl-SI"/>
              </w:rPr>
              <w:t> </w:t>
            </w:r>
          </w:p>
        </w:tc>
      </w:tr>
      <w:tr w:rsidR="00CF6953" w:rsidRPr="00CF6953" w14:paraId="7127DCCA" w14:textId="77777777" w:rsidTr="00633512">
        <w:trPr>
          <w:trHeight w:val="1050"/>
        </w:trPr>
        <w:tc>
          <w:tcPr>
            <w:tcW w:w="960" w:type="dxa"/>
            <w:noWrap/>
            <w:hideMark/>
          </w:tcPr>
          <w:p w14:paraId="1E4EAC94" w14:textId="77777777" w:rsidR="00CF6953" w:rsidRPr="00CF6953" w:rsidRDefault="00CF6953" w:rsidP="00CF6953">
            <w:pPr>
              <w:spacing w:after="0" w:line="240" w:lineRule="auto"/>
              <w:rPr>
                <w:rFonts w:eastAsia="Times New Roman" w:cs="Calibri"/>
                <w:b/>
                <w:bCs/>
                <w:color w:val="000000"/>
                <w:sz w:val="16"/>
                <w:szCs w:val="16"/>
                <w:lang w:eastAsia="sl-SI"/>
              </w:rPr>
            </w:pPr>
            <w:r w:rsidRPr="00CF6953">
              <w:rPr>
                <w:rFonts w:eastAsia="Times New Roman" w:cs="Calibri"/>
                <w:b/>
                <w:bCs/>
                <w:color w:val="000000"/>
                <w:sz w:val="16"/>
                <w:szCs w:val="16"/>
                <w:lang w:eastAsia="sl-SI"/>
              </w:rPr>
              <w:t>novi PR</w:t>
            </w:r>
          </w:p>
        </w:tc>
        <w:tc>
          <w:tcPr>
            <w:tcW w:w="1000" w:type="dxa"/>
            <w:hideMark/>
          </w:tcPr>
          <w:p w14:paraId="4B3F5FA4" w14:textId="77777777" w:rsidR="00CF6953" w:rsidRPr="00CF6953" w:rsidRDefault="00CF6953" w:rsidP="00CF6953">
            <w:pPr>
              <w:spacing w:after="0" w:line="240" w:lineRule="auto"/>
              <w:rPr>
                <w:rFonts w:eastAsia="Times New Roman" w:cs="Calibri"/>
                <w:b/>
                <w:bCs/>
                <w:color w:val="000000"/>
                <w:sz w:val="16"/>
                <w:szCs w:val="16"/>
                <w:lang w:eastAsia="sl-SI"/>
              </w:rPr>
            </w:pPr>
            <w:r w:rsidRPr="00CF6953">
              <w:rPr>
                <w:rFonts w:eastAsia="Times New Roman" w:cs="Calibri"/>
                <w:b/>
                <w:bCs/>
                <w:color w:val="000000"/>
                <w:sz w:val="16"/>
                <w:szCs w:val="16"/>
                <w:lang w:eastAsia="sl-SI"/>
              </w:rPr>
              <w:t>Vrednost -nova lestvica</w:t>
            </w:r>
          </w:p>
        </w:tc>
        <w:tc>
          <w:tcPr>
            <w:tcW w:w="959" w:type="dxa"/>
            <w:hideMark/>
          </w:tcPr>
          <w:p w14:paraId="5944E10E" w14:textId="77777777" w:rsidR="00CF6953" w:rsidRPr="00CF6953" w:rsidRDefault="00CF6953" w:rsidP="00CF6953">
            <w:pPr>
              <w:spacing w:after="0" w:line="240" w:lineRule="auto"/>
              <w:rPr>
                <w:rFonts w:eastAsia="Times New Roman" w:cs="Calibri"/>
                <w:b/>
                <w:bCs/>
                <w:color w:val="000000"/>
                <w:sz w:val="16"/>
                <w:szCs w:val="16"/>
                <w:lang w:eastAsia="sl-SI"/>
              </w:rPr>
            </w:pPr>
            <w:r w:rsidRPr="00CF6953">
              <w:rPr>
                <w:rFonts w:eastAsia="Times New Roman" w:cs="Calibri"/>
                <w:b/>
                <w:bCs/>
                <w:color w:val="000000"/>
                <w:sz w:val="16"/>
                <w:szCs w:val="16"/>
                <w:lang w:eastAsia="sl-SI"/>
              </w:rPr>
              <w:t>Količnik  MP</w:t>
            </w:r>
          </w:p>
        </w:tc>
        <w:tc>
          <w:tcPr>
            <w:tcW w:w="360" w:type="dxa"/>
            <w:hideMark/>
          </w:tcPr>
          <w:p w14:paraId="427AC50E" w14:textId="77777777" w:rsidR="00CF6953" w:rsidRPr="00CF6953" w:rsidRDefault="00CF6953" w:rsidP="00CF6953">
            <w:pPr>
              <w:spacing w:after="0" w:line="240" w:lineRule="auto"/>
              <w:rPr>
                <w:rFonts w:eastAsia="Times New Roman" w:cs="Calibri"/>
                <w:b/>
                <w:bCs/>
                <w:color w:val="000000"/>
                <w:sz w:val="16"/>
                <w:szCs w:val="16"/>
                <w:lang w:eastAsia="sl-SI"/>
              </w:rPr>
            </w:pPr>
            <w:r w:rsidRPr="00CF6953">
              <w:rPr>
                <w:rFonts w:eastAsia="Times New Roman" w:cs="Calibri"/>
                <w:b/>
                <w:bCs/>
                <w:color w:val="000000"/>
                <w:sz w:val="16"/>
                <w:szCs w:val="16"/>
                <w:lang w:eastAsia="sl-SI"/>
              </w:rPr>
              <w:t> </w:t>
            </w:r>
          </w:p>
        </w:tc>
        <w:tc>
          <w:tcPr>
            <w:tcW w:w="1612" w:type="dxa"/>
            <w:noWrap/>
            <w:hideMark/>
          </w:tcPr>
          <w:p w14:paraId="7AE6844C" w14:textId="77777777" w:rsidR="00CF6953" w:rsidRPr="00CF6953" w:rsidRDefault="00CF6953" w:rsidP="00CF6953">
            <w:pPr>
              <w:spacing w:after="0" w:line="240" w:lineRule="auto"/>
              <w:rPr>
                <w:rFonts w:eastAsia="Times New Roman" w:cs="Calibri"/>
                <w:b/>
                <w:bCs/>
                <w:color w:val="000000"/>
                <w:sz w:val="16"/>
                <w:szCs w:val="16"/>
                <w:lang w:eastAsia="sl-SI"/>
              </w:rPr>
            </w:pPr>
            <w:r w:rsidRPr="00CF6953">
              <w:rPr>
                <w:rFonts w:eastAsia="Times New Roman" w:cs="Calibri"/>
                <w:b/>
                <w:bCs/>
                <w:color w:val="000000"/>
                <w:sz w:val="16"/>
                <w:szCs w:val="16"/>
                <w:lang w:eastAsia="sl-SI"/>
              </w:rPr>
              <w:t xml:space="preserve"> PR 1.4.2023</w:t>
            </w:r>
          </w:p>
        </w:tc>
        <w:tc>
          <w:tcPr>
            <w:tcW w:w="1441" w:type="dxa"/>
            <w:hideMark/>
          </w:tcPr>
          <w:p w14:paraId="786E4C1F" w14:textId="77777777" w:rsidR="00CF6953" w:rsidRPr="00CF6953" w:rsidRDefault="00CF6953" w:rsidP="00CF6953">
            <w:pPr>
              <w:spacing w:after="0" w:line="240" w:lineRule="auto"/>
              <w:rPr>
                <w:rFonts w:eastAsia="Times New Roman" w:cs="Calibri"/>
                <w:b/>
                <w:bCs/>
                <w:color w:val="000000"/>
                <w:sz w:val="16"/>
                <w:szCs w:val="16"/>
                <w:lang w:eastAsia="sl-SI"/>
              </w:rPr>
            </w:pPr>
            <w:r w:rsidRPr="00CF6953">
              <w:rPr>
                <w:rFonts w:eastAsia="Times New Roman" w:cs="Calibri"/>
                <w:b/>
                <w:bCs/>
                <w:color w:val="000000"/>
                <w:sz w:val="16"/>
                <w:szCs w:val="16"/>
                <w:lang w:eastAsia="sl-SI"/>
              </w:rPr>
              <w:t>Vrednost - sedanja lestvica</w:t>
            </w:r>
          </w:p>
        </w:tc>
        <w:tc>
          <w:tcPr>
            <w:tcW w:w="1785" w:type="dxa"/>
            <w:gridSpan w:val="2"/>
            <w:noWrap/>
            <w:hideMark/>
          </w:tcPr>
          <w:p w14:paraId="3A6B2C7C" w14:textId="77777777" w:rsidR="00CF6953" w:rsidRPr="00CF6953" w:rsidRDefault="00CF6953" w:rsidP="00CF6953">
            <w:pPr>
              <w:spacing w:after="0" w:line="240" w:lineRule="auto"/>
              <w:rPr>
                <w:rFonts w:eastAsia="Times New Roman" w:cs="Calibri"/>
                <w:b/>
                <w:bCs/>
                <w:color w:val="000000"/>
                <w:sz w:val="16"/>
                <w:szCs w:val="16"/>
                <w:lang w:eastAsia="sl-SI"/>
              </w:rPr>
            </w:pPr>
            <w:r w:rsidRPr="00CF6953">
              <w:rPr>
                <w:rFonts w:eastAsia="Times New Roman" w:cs="Calibri"/>
                <w:b/>
                <w:bCs/>
                <w:color w:val="000000"/>
                <w:sz w:val="16"/>
                <w:szCs w:val="16"/>
                <w:lang w:eastAsia="sl-SI"/>
              </w:rPr>
              <w:t>prevedba v novi PR</w:t>
            </w:r>
          </w:p>
        </w:tc>
        <w:tc>
          <w:tcPr>
            <w:tcW w:w="1279" w:type="dxa"/>
            <w:hideMark/>
          </w:tcPr>
          <w:p w14:paraId="3C966830" w14:textId="77777777" w:rsidR="00CF6953" w:rsidRPr="00CF6953" w:rsidRDefault="00CF6953" w:rsidP="00CF6953">
            <w:pPr>
              <w:spacing w:after="0" w:line="240" w:lineRule="auto"/>
              <w:rPr>
                <w:rFonts w:eastAsia="Times New Roman" w:cs="Calibri"/>
                <w:b/>
                <w:bCs/>
                <w:color w:val="000000"/>
                <w:sz w:val="16"/>
                <w:szCs w:val="16"/>
                <w:lang w:eastAsia="sl-SI"/>
              </w:rPr>
            </w:pPr>
            <w:r w:rsidRPr="00CF6953">
              <w:rPr>
                <w:rFonts w:eastAsia="Times New Roman" w:cs="Calibri"/>
                <w:b/>
                <w:bCs/>
                <w:color w:val="000000"/>
                <w:sz w:val="16"/>
                <w:szCs w:val="16"/>
                <w:lang w:eastAsia="sl-SI"/>
              </w:rPr>
              <w:t>razlika prevedba -sedanja vrednost</w:t>
            </w:r>
          </w:p>
        </w:tc>
      </w:tr>
      <w:tr w:rsidR="00CF6953" w:rsidRPr="00CF6953" w14:paraId="6586BCA4" w14:textId="77777777" w:rsidTr="00633512">
        <w:trPr>
          <w:trHeight w:val="300"/>
        </w:trPr>
        <w:tc>
          <w:tcPr>
            <w:tcW w:w="960" w:type="dxa"/>
            <w:noWrap/>
            <w:hideMark/>
          </w:tcPr>
          <w:p w14:paraId="214E2C0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w:t>
            </w:r>
          </w:p>
        </w:tc>
        <w:tc>
          <w:tcPr>
            <w:tcW w:w="1000" w:type="dxa"/>
            <w:noWrap/>
            <w:hideMark/>
          </w:tcPr>
          <w:p w14:paraId="4EFC62C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1203,36</w:t>
            </w:r>
          </w:p>
        </w:tc>
        <w:tc>
          <w:tcPr>
            <w:tcW w:w="959" w:type="dxa"/>
            <w:noWrap/>
            <w:hideMark/>
          </w:tcPr>
          <w:p w14:paraId="43677D9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1,00</w:t>
            </w:r>
          </w:p>
        </w:tc>
        <w:tc>
          <w:tcPr>
            <w:tcW w:w="360" w:type="dxa"/>
            <w:noWrap/>
            <w:hideMark/>
          </w:tcPr>
          <w:p w14:paraId="744A9E6A"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6DAC330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w:t>
            </w:r>
          </w:p>
        </w:tc>
        <w:tc>
          <w:tcPr>
            <w:tcW w:w="1441" w:type="dxa"/>
            <w:noWrap/>
            <w:hideMark/>
          </w:tcPr>
          <w:p w14:paraId="022F855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708,46</w:t>
            </w:r>
          </w:p>
        </w:tc>
        <w:tc>
          <w:tcPr>
            <w:tcW w:w="450" w:type="dxa"/>
            <w:noWrap/>
            <w:hideMark/>
          </w:tcPr>
          <w:p w14:paraId="741A372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w:t>
            </w:r>
          </w:p>
        </w:tc>
        <w:tc>
          <w:tcPr>
            <w:tcW w:w="1335" w:type="dxa"/>
            <w:noWrap/>
            <w:hideMark/>
          </w:tcPr>
          <w:p w14:paraId="2CC4003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1203,36</w:t>
            </w:r>
          </w:p>
        </w:tc>
        <w:tc>
          <w:tcPr>
            <w:tcW w:w="1279" w:type="dxa"/>
            <w:noWrap/>
            <w:hideMark/>
          </w:tcPr>
          <w:p w14:paraId="7648E50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494,90</w:t>
            </w:r>
          </w:p>
        </w:tc>
      </w:tr>
      <w:tr w:rsidR="00CF6953" w:rsidRPr="00CF6953" w14:paraId="4DBBF798" w14:textId="77777777" w:rsidTr="00633512">
        <w:trPr>
          <w:trHeight w:val="300"/>
        </w:trPr>
        <w:tc>
          <w:tcPr>
            <w:tcW w:w="960" w:type="dxa"/>
            <w:noWrap/>
            <w:hideMark/>
          </w:tcPr>
          <w:p w14:paraId="7CFFD8E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w:t>
            </w:r>
          </w:p>
        </w:tc>
        <w:tc>
          <w:tcPr>
            <w:tcW w:w="1000" w:type="dxa"/>
            <w:noWrap/>
            <w:hideMark/>
          </w:tcPr>
          <w:p w14:paraId="7E30593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1239,46</w:t>
            </w:r>
          </w:p>
        </w:tc>
        <w:tc>
          <w:tcPr>
            <w:tcW w:w="959" w:type="dxa"/>
            <w:noWrap/>
            <w:hideMark/>
          </w:tcPr>
          <w:p w14:paraId="1FDBDB1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1,03</w:t>
            </w:r>
          </w:p>
        </w:tc>
        <w:tc>
          <w:tcPr>
            <w:tcW w:w="360" w:type="dxa"/>
            <w:noWrap/>
            <w:hideMark/>
          </w:tcPr>
          <w:p w14:paraId="5071C7AB"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3805C6A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w:t>
            </w:r>
          </w:p>
        </w:tc>
        <w:tc>
          <w:tcPr>
            <w:tcW w:w="1441" w:type="dxa"/>
            <w:noWrap/>
            <w:hideMark/>
          </w:tcPr>
          <w:p w14:paraId="50A4001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736,79</w:t>
            </w:r>
          </w:p>
        </w:tc>
        <w:tc>
          <w:tcPr>
            <w:tcW w:w="450" w:type="dxa"/>
            <w:noWrap/>
            <w:hideMark/>
          </w:tcPr>
          <w:p w14:paraId="3EA3538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w:t>
            </w:r>
          </w:p>
        </w:tc>
        <w:tc>
          <w:tcPr>
            <w:tcW w:w="1335" w:type="dxa"/>
            <w:noWrap/>
            <w:hideMark/>
          </w:tcPr>
          <w:p w14:paraId="1AC7791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1203,36</w:t>
            </w:r>
          </w:p>
        </w:tc>
        <w:tc>
          <w:tcPr>
            <w:tcW w:w="1279" w:type="dxa"/>
            <w:noWrap/>
            <w:hideMark/>
          </w:tcPr>
          <w:p w14:paraId="717C6F0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466,57</w:t>
            </w:r>
          </w:p>
        </w:tc>
      </w:tr>
      <w:tr w:rsidR="00CF6953" w:rsidRPr="00CF6953" w14:paraId="3B3F631E" w14:textId="77777777" w:rsidTr="00633512">
        <w:trPr>
          <w:trHeight w:val="300"/>
        </w:trPr>
        <w:tc>
          <w:tcPr>
            <w:tcW w:w="960" w:type="dxa"/>
            <w:noWrap/>
            <w:hideMark/>
          </w:tcPr>
          <w:p w14:paraId="3F1667E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w:t>
            </w:r>
          </w:p>
        </w:tc>
        <w:tc>
          <w:tcPr>
            <w:tcW w:w="1000" w:type="dxa"/>
            <w:noWrap/>
            <w:hideMark/>
          </w:tcPr>
          <w:p w14:paraId="599CA8B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1276,64</w:t>
            </w:r>
          </w:p>
        </w:tc>
        <w:tc>
          <w:tcPr>
            <w:tcW w:w="959" w:type="dxa"/>
            <w:noWrap/>
            <w:hideMark/>
          </w:tcPr>
          <w:p w14:paraId="6A00426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1,06</w:t>
            </w:r>
          </w:p>
        </w:tc>
        <w:tc>
          <w:tcPr>
            <w:tcW w:w="360" w:type="dxa"/>
            <w:noWrap/>
            <w:hideMark/>
          </w:tcPr>
          <w:p w14:paraId="26FF3FEF"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29446C3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14</w:t>
            </w:r>
          </w:p>
        </w:tc>
        <w:tc>
          <w:tcPr>
            <w:tcW w:w="1441" w:type="dxa"/>
            <w:noWrap/>
            <w:hideMark/>
          </w:tcPr>
          <w:p w14:paraId="40F97E1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766,27</w:t>
            </w:r>
          </w:p>
        </w:tc>
        <w:tc>
          <w:tcPr>
            <w:tcW w:w="450" w:type="dxa"/>
            <w:noWrap/>
            <w:hideMark/>
          </w:tcPr>
          <w:p w14:paraId="3E67CE1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w:t>
            </w:r>
          </w:p>
        </w:tc>
        <w:tc>
          <w:tcPr>
            <w:tcW w:w="1335" w:type="dxa"/>
            <w:noWrap/>
            <w:hideMark/>
          </w:tcPr>
          <w:p w14:paraId="2F5B157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1203,36</w:t>
            </w:r>
          </w:p>
        </w:tc>
        <w:tc>
          <w:tcPr>
            <w:tcW w:w="1279" w:type="dxa"/>
            <w:noWrap/>
            <w:hideMark/>
          </w:tcPr>
          <w:p w14:paraId="545425E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437,09</w:t>
            </w:r>
          </w:p>
        </w:tc>
      </w:tr>
      <w:tr w:rsidR="00CF6953" w:rsidRPr="00CF6953" w14:paraId="501BAB6F" w14:textId="77777777" w:rsidTr="00633512">
        <w:trPr>
          <w:trHeight w:val="300"/>
        </w:trPr>
        <w:tc>
          <w:tcPr>
            <w:tcW w:w="960" w:type="dxa"/>
            <w:noWrap/>
            <w:hideMark/>
          </w:tcPr>
          <w:p w14:paraId="09CA38F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w:t>
            </w:r>
          </w:p>
        </w:tc>
        <w:tc>
          <w:tcPr>
            <w:tcW w:w="1000" w:type="dxa"/>
            <w:noWrap/>
            <w:hideMark/>
          </w:tcPr>
          <w:p w14:paraId="2DF7FEA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1314,94</w:t>
            </w:r>
          </w:p>
        </w:tc>
        <w:tc>
          <w:tcPr>
            <w:tcW w:w="959" w:type="dxa"/>
            <w:noWrap/>
            <w:hideMark/>
          </w:tcPr>
          <w:p w14:paraId="1DF0F28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1,09</w:t>
            </w:r>
          </w:p>
        </w:tc>
        <w:tc>
          <w:tcPr>
            <w:tcW w:w="360" w:type="dxa"/>
            <w:noWrap/>
            <w:hideMark/>
          </w:tcPr>
          <w:p w14:paraId="3F9434A7"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33B4B2D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15</w:t>
            </w:r>
          </w:p>
        </w:tc>
        <w:tc>
          <w:tcPr>
            <w:tcW w:w="1441" w:type="dxa"/>
            <w:noWrap/>
            <w:hideMark/>
          </w:tcPr>
          <w:p w14:paraId="363D1F6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796,92</w:t>
            </w:r>
          </w:p>
        </w:tc>
        <w:tc>
          <w:tcPr>
            <w:tcW w:w="450" w:type="dxa"/>
            <w:noWrap/>
            <w:hideMark/>
          </w:tcPr>
          <w:p w14:paraId="61EB32B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w:t>
            </w:r>
          </w:p>
        </w:tc>
        <w:tc>
          <w:tcPr>
            <w:tcW w:w="1335" w:type="dxa"/>
            <w:noWrap/>
            <w:hideMark/>
          </w:tcPr>
          <w:p w14:paraId="1706B24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1239,46</w:t>
            </w:r>
          </w:p>
        </w:tc>
        <w:tc>
          <w:tcPr>
            <w:tcW w:w="1279" w:type="dxa"/>
            <w:noWrap/>
            <w:hideMark/>
          </w:tcPr>
          <w:p w14:paraId="76F27FB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442,54</w:t>
            </w:r>
          </w:p>
        </w:tc>
      </w:tr>
      <w:tr w:rsidR="00CF6953" w:rsidRPr="00CF6953" w14:paraId="664E44F9" w14:textId="77777777" w:rsidTr="00633512">
        <w:trPr>
          <w:trHeight w:val="300"/>
        </w:trPr>
        <w:tc>
          <w:tcPr>
            <w:tcW w:w="960" w:type="dxa"/>
            <w:noWrap/>
            <w:hideMark/>
          </w:tcPr>
          <w:p w14:paraId="508CB4A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w:t>
            </w:r>
          </w:p>
        </w:tc>
        <w:tc>
          <w:tcPr>
            <w:tcW w:w="1000" w:type="dxa"/>
            <w:noWrap/>
            <w:hideMark/>
          </w:tcPr>
          <w:p w14:paraId="40FABFF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1354,39</w:t>
            </w:r>
          </w:p>
        </w:tc>
        <w:tc>
          <w:tcPr>
            <w:tcW w:w="959" w:type="dxa"/>
            <w:noWrap/>
            <w:hideMark/>
          </w:tcPr>
          <w:p w14:paraId="6EA305A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1,13</w:t>
            </w:r>
          </w:p>
        </w:tc>
        <w:tc>
          <w:tcPr>
            <w:tcW w:w="360" w:type="dxa"/>
            <w:noWrap/>
            <w:hideMark/>
          </w:tcPr>
          <w:p w14:paraId="7F1D985C"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2D6AEB7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16</w:t>
            </w:r>
          </w:p>
        </w:tc>
        <w:tc>
          <w:tcPr>
            <w:tcW w:w="1441" w:type="dxa"/>
            <w:noWrap/>
            <w:hideMark/>
          </w:tcPr>
          <w:p w14:paraId="79D74F2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828,79</w:t>
            </w:r>
          </w:p>
        </w:tc>
        <w:tc>
          <w:tcPr>
            <w:tcW w:w="450" w:type="dxa"/>
            <w:noWrap/>
            <w:hideMark/>
          </w:tcPr>
          <w:p w14:paraId="540463B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w:t>
            </w:r>
          </w:p>
        </w:tc>
        <w:tc>
          <w:tcPr>
            <w:tcW w:w="1335" w:type="dxa"/>
            <w:noWrap/>
            <w:hideMark/>
          </w:tcPr>
          <w:p w14:paraId="4772F1B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1239,46</w:t>
            </w:r>
          </w:p>
        </w:tc>
        <w:tc>
          <w:tcPr>
            <w:tcW w:w="1279" w:type="dxa"/>
            <w:noWrap/>
            <w:hideMark/>
          </w:tcPr>
          <w:p w14:paraId="1FB10D0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410,67</w:t>
            </w:r>
          </w:p>
        </w:tc>
      </w:tr>
      <w:tr w:rsidR="00CF6953" w:rsidRPr="00CF6953" w14:paraId="1A3A0F9C" w14:textId="77777777" w:rsidTr="00633512">
        <w:trPr>
          <w:trHeight w:val="300"/>
        </w:trPr>
        <w:tc>
          <w:tcPr>
            <w:tcW w:w="960" w:type="dxa"/>
            <w:noWrap/>
            <w:hideMark/>
          </w:tcPr>
          <w:p w14:paraId="63B8E67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w:t>
            </w:r>
          </w:p>
        </w:tc>
        <w:tc>
          <w:tcPr>
            <w:tcW w:w="1000" w:type="dxa"/>
            <w:noWrap/>
            <w:hideMark/>
          </w:tcPr>
          <w:p w14:paraId="476E2D2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1395,02</w:t>
            </w:r>
          </w:p>
        </w:tc>
        <w:tc>
          <w:tcPr>
            <w:tcW w:w="959" w:type="dxa"/>
            <w:noWrap/>
            <w:hideMark/>
          </w:tcPr>
          <w:p w14:paraId="68C848A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1,16</w:t>
            </w:r>
          </w:p>
        </w:tc>
        <w:tc>
          <w:tcPr>
            <w:tcW w:w="360" w:type="dxa"/>
            <w:noWrap/>
            <w:hideMark/>
          </w:tcPr>
          <w:p w14:paraId="6697192F"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4DAE11F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17</w:t>
            </w:r>
          </w:p>
        </w:tc>
        <w:tc>
          <w:tcPr>
            <w:tcW w:w="1441" w:type="dxa"/>
            <w:noWrap/>
            <w:hideMark/>
          </w:tcPr>
          <w:p w14:paraId="29F40E2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861,96</w:t>
            </w:r>
          </w:p>
        </w:tc>
        <w:tc>
          <w:tcPr>
            <w:tcW w:w="450" w:type="dxa"/>
            <w:noWrap/>
            <w:hideMark/>
          </w:tcPr>
          <w:p w14:paraId="12D04E8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w:t>
            </w:r>
          </w:p>
        </w:tc>
        <w:tc>
          <w:tcPr>
            <w:tcW w:w="1335" w:type="dxa"/>
            <w:noWrap/>
            <w:hideMark/>
          </w:tcPr>
          <w:p w14:paraId="5C607E4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1239,46</w:t>
            </w:r>
          </w:p>
        </w:tc>
        <w:tc>
          <w:tcPr>
            <w:tcW w:w="1279" w:type="dxa"/>
            <w:noWrap/>
            <w:hideMark/>
          </w:tcPr>
          <w:p w14:paraId="7CD88A2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377,50</w:t>
            </w:r>
          </w:p>
        </w:tc>
      </w:tr>
      <w:tr w:rsidR="00CF6953" w:rsidRPr="00CF6953" w14:paraId="52B1F416" w14:textId="77777777" w:rsidTr="00633512">
        <w:trPr>
          <w:trHeight w:val="300"/>
        </w:trPr>
        <w:tc>
          <w:tcPr>
            <w:tcW w:w="960" w:type="dxa"/>
            <w:noWrap/>
            <w:hideMark/>
          </w:tcPr>
          <w:p w14:paraId="407581C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7</w:t>
            </w:r>
          </w:p>
        </w:tc>
        <w:tc>
          <w:tcPr>
            <w:tcW w:w="1000" w:type="dxa"/>
            <w:noWrap/>
            <w:hideMark/>
          </w:tcPr>
          <w:p w14:paraId="76FF97C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1436,87</w:t>
            </w:r>
          </w:p>
        </w:tc>
        <w:tc>
          <w:tcPr>
            <w:tcW w:w="959" w:type="dxa"/>
            <w:noWrap/>
            <w:hideMark/>
          </w:tcPr>
          <w:p w14:paraId="466EEF9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1,19</w:t>
            </w:r>
          </w:p>
        </w:tc>
        <w:tc>
          <w:tcPr>
            <w:tcW w:w="360" w:type="dxa"/>
            <w:noWrap/>
            <w:hideMark/>
          </w:tcPr>
          <w:p w14:paraId="28EA00D2"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342E3C0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18</w:t>
            </w:r>
          </w:p>
        </w:tc>
        <w:tc>
          <w:tcPr>
            <w:tcW w:w="1441" w:type="dxa"/>
            <w:noWrap/>
            <w:hideMark/>
          </w:tcPr>
          <w:p w14:paraId="6CC193C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896,43</w:t>
            </w:r>
          </w:p>
        </w:tc>
        <w:tc>
          <w:tcPr>
            <w:tcW w:w="450" w:type="dxa"/>
            <w:noWrap/>
            <w:hideMark/>
          </w:tcPr>
          <w:p w14:paraId="5950600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w:t>
            </w:r>
          </w:p>
        </w:tc>
        <w:tc>
          <w:tcPr>
            <w:tcW w:w="1335" w:type="dxa"/>
            <w:noWrap/>
            <w:hideMark/>
          </w:tcPr>
          <w:p w14:paraId="7B81329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1276,64</w:t>
            </w:r>
          </w:p>
        </w:tc>
        <w:tc>
          <w:tcPr>
            <w:tcW w:w="1279" w:type="dxa"/>
            <w:noWrap/>
            <w:hideMark/>
          </w:tcPr>
          <w:p w14:paraId="267E348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380,21</w:t>
            </w:r>
          </w:p>
        </w:tc>
      </w:tr>
      <w:tr w:rsidR="00CF6953" w:rsidRPr="00CF6953" w14:paraId="3E3D8503" w14:textId="77777777" w:rsidTr="00633512">
        <w:trPr>
          <w:trHeight w:val="300"/>
        </w:trPr>
        <w:tc>
          <w:tcPr>
            <w:tcW w:w="960" w:type="dxa"/>
            <w:noWrap/>
            <w:hideMark/>
          </w:tcPr>
          <w:p w14:paraId="0FEDD00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8</w:t>
            </w:r>
          </w:p>
        </w:tc>
        <w:tc>
          <w:tcPr>
            <w:tcW w:w="1000" w:type="dxa"/>
            <w:noWrap/>
            <w:hideMark/>
          </w:tcPr>
          <w:p w14:paraId="3153575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1479,98</w:t>
            </w:r>
          </w:p>
        </w:tc>
        <w:tc>
          <w:tcPr>
            <w:tcW w:w="959" w:type="dxa"/>
            <w:noWrap/>
            <w:hideMark/>
          </w:tcPr>
          <w:p w14:paraId="65499B0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1,23</w:t>
            </w:r>
          </w:p>
        </w:tc>
        <w:tc>
          <w:tcPr>
            <w:tcW w:w="360" w:type="dxa"/>
            <w:noWrap/>
            <w:hideMark/>
          </w:tcPr>
          <w:p w14:paraId="53CD9597"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10F09C3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19</w:t>
            </w:r>
          </w:p>
        </w:tc>
        <w:tc>
          <w:tcPr>
            <w:tcW w:w="1441" w:type="dxa"/>
            <w:noWrap/>
            <w:hideMark/>
          </w:tcPr>
          <w:p w14:paraId="79A5EC6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932,28</w:t>
            </w:r>
          </w:p>
        </w:tc>
        <w:tc>
          <w:tcPr>
            <w:tcW w:w="450" w:type="dxa"/>
            <w:noWrap/>
            <w:hideMark/>
          </w:tcPr>
          <w:p w14:paraId="6D6C1AD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w:t>
            </w:r>
          </w:p>
        </w:tc>
        <w:tc>
          <w:tcPr>
            <w:tcW w:w="1335" w:type="dxa"/>
            <w:noWrap/>
            <w:hideMark/>
          </w:tcPr>
          <w:p w14:paraId="674F877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1276,64</w:t>
            </w:r>
          </w:p>
        </w:tc>
        <w:tc>
          <w:tcPr>
            <w:tcW w:w="1279" w:type="dxa"/>
            <w:noWrap/>
            <w:hideMark/>
          </w:tcPr>
          <w:p w14:paraId="710DECA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344,36</w:t>
            </w:r>
          </w:p>
        </w:tc>
      </w:tr>
      <w:tr w:rsidR="00CF6953" w:rsidRPr="00CF6953" w14:paraId="3CF2F592" w14:textId="77777777" w:rsidTr="00633512">
        <w:trPr>
          <w:trHeight w:val="300"/>
        </w:trPr>
        <w:tc>
          <w:tcPr>
            <w:tcW w:w="960" w:type="dxa"/>
            <w:noWrap/>
            <w:hideMark/>
          </w:tcPr>
          <w:p w14:paraId="592487C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9</w:t>
            </w:r>
          </w:p>
        </w:tc>
        <w:tc>
          <w:tcPr>
            <w:tcW w:w="1000" w:type="dxa"/>
            <w:noWrap/>
            <w:hideMark/>
          </w:tcPr>
          <w:p w14:paraId="6978AB6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1524,38</w:t>
            </w:r>
          </w:p>
        </w:tc>
        <w:tc>
          <w:tcPr>
            <w:tcW w:w="959" w:type="dxa"/>
            <w:noWrap/>
            <w:hideMark/>
          </w:tcPr>
          <w:p w14:paraId="5554D31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1,27</w:t>
            </w:r>
          </w:p>
        </w:tc>
        <w:tc>
          <w:tcPr>
            <w:tcW w:w="360" w:type="dxa"/>
            <w:noWrap/>
            <w:hideMark/>
          </w:tcPr>
          <w:p w14:paraId="3233853B"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7D8AFAC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20</w:t>
            </w:r>
          </w:p>
        </w:tc>
        <w:tc>
          <w:tcPr>
            <w:tcW w:w="1441" w:type="dxa"/>
            <w:noWrap/>
            <w:hideMark/>
          </w:tcPr>
          <w:p w14:paraId="57C3960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969,57</w:t>
            </w:r>
          </w:p>
        </w:tc>
        <w:tc>
          <w:tcPr>
            <w:tcW w:w="450" w:type="dxa"/>
            <w:noWrap/>
            <w:hideMark/>
          </w:tcPr>
          <w:p w14:paraId="055FA6E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w:t>
            </w:r>
          </w:p>
        </w:tc>
        <w:tc>
          <w:tcPr>
            <w:tcW w:w="1335" w:type="dxa"/>
            <w:noWrap/>
            <w:hideMark/>
          </w:tcPr>
          <w:p w14:paraId="4193626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1314,94</w:t>
            </w:r>
          </w:p>
        </w:tc>
        <w:tc>
          <w:tcPr>
            <w:tcW w:w="1279" w:type="dxa"/>
            <w:noWrap/>
            <w:hideMark/>
          </w:tcPr>
          <w:p w14:paraId="4E3406B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345,37</w:t>
            </w:r>
          </w:p>
        </w:tc>
      </w:tr>
      <w:tr w:rsidR="00CF6953" w:rsidRPr="00CF6953" w14:paraId="5ACE6D6E" w14:textId="77777777" w:rsidTr="00633512">
        <w:trPr>
          <w:trHeight w:val="300"/>
        </w:trPr>
        <w:tc>
          <w:tcPr>
            <w:tcW w:w="960" w:type="dxa"/>
            <w:noWrap/>
            <w:hideMark/>
          </w:tcPr>
          <w:p w14:paraId="4FC3C06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10</w:t>
            </w:r>
          </w:p>
        </w:tc>
        <w:tc>
          <w:tcPr>
            <w:tcW w:w="1000" w:type="dxa"/>
            <w:noWrap/>
            <w:hideMark/>
          </w:tcPr>
          <w:p w14:paraId="23B7F0A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1570,11</w:t>
            </w:r>
          </w:p>
        </w:tc>
        <w:tc>
          <w:tcPr>
            <w:tcW w:w="959" w:type="dxa"/>
            <w:noWrap/>
            <w:hideMark/>
          </w:tcPr>
          <w:p w14:paraId="6297FEF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1,30</w:t>
            </w:r>
          </w:p>
        </w:tc>
        <w:tc>
          <w:tcPr>
            <w:tcW w:w="360" w:type="dxa"/>
            <w:noWrap/>
            <w:hideMark/>
          </w:tcPr>
          <w:p w14:paraId="7C1D7B28"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120AB28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21</w:t>
            </w:r>
          </w:p>
        </w:tc>
        <w:tc>
          <w:tcPr>
            <w:tcW w:w="1441" w:type="dxa"/>
            <w:noWrap/>
            <w:hideMark/>
          </w:tcPr>
          <w:p w14:paraId="3F6FCEC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1008,36</w:t>
            </w:r>
          </w:p>
        </w:tc>
        <w:tc>
          <w:tcPr>
            <w:tcW w:w="450" w:type="dxa"/>
            <w:noWrap/>
            <w:hideMark/>
          </w:tcPr>
          <w:p w14:paraId="3F5C1A5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w:t>
            </w:r>
          </w:p>
        </w:tc>
        <w:tc>
          <w:tcPr>
            <w:tcW w:w="1335" w:type="dxa"/>
            <w:noWrap/>
            <w:hideMark/>
          </w:tcPr>
          <w:p w14:paraId="4B6BF72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1314,94</w:t>
            </w:r>
          </w:p>
        </w:tc>
        <w:tc>
          <w:tcPr>
            <w:tcW w:w="1279" w:type="dxa"/>
            <w:noWrap/>
            <w:hideMark/>
          </w:tcPr>
          <w:p w14:paraId="07F4F10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306,58</w:t>
            </w:r>
          </w:p>
        </w:tc>
      </w:tr>
      <w:tr w:rsidR="00CF6953" w:rsidRPr="00CF6953" w14:paraId="41382690" w14:textId="77777777" w:rsidTr="00633512">
        <w:trPr>
          <w:trHeight w:val="300"/>
        </w:trPr>
        <w:tc>
          <w:tcPr>
            <w:tcW w:w="960" w:type="dxa"/>
            <w:noWrap/>
            <w:hideMark/>
          </w:tcPr>
          <w:p w14:paraId="3C490C6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11</w:t>
            </w:r>
          </w:p>
        </w:tc>
        <w:tc>
          <w:tcPr>
            <w:tcW w:w="1000" w:type="dxa"/>
            <w:noWrap/>
            <w:hideMark/>
          </w:tcPr>
          <w:p w14:paraId="596D6D0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1617,22</w:t>
            </w:r>
          </w:p>
        </w:tc>
        <w:tc>
          <w:tcPr>
            <w:tcW w:w="959" w:type="dxa"/>
            <w:noWrap/>
            <w:hideMark/>
          </w:tcPr>
          <w:p w14:paraId="55FDC7A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1,34</w:t>
            </w:r>
          </w:p>
        </w:tc>
        <w:tc>
          <w:tcPr>
            <w:tcW w:w="360" w:type="dxa"/>
            <w:noWrap/>
            <w:hideMark/>
          </w:tcPr>
          <w:p w14:paraId="03E0CDB3"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62400DD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22</w:t>
            </w:r>
          </w:p>
        </w:tc>
        <w:tc>
          <w:tcPr>
            <w:tcW w:w="1441" w:type="dxa"/>
            <w:noWrap/>
            <w:hideMark/>
          </w:tcPr>
          <w:p w14:paraId="4E5ED0D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1048,7</w:t>
            </w:r>
          </w:p>
        </w:tc>
        <w:tc>
          <w:tcPr>
            <w:tcW w:w="450" w:type="dxa"/>
            <w:noWrap/>
            <w:hideMark/>
          </w:tcPr>
          <w:p w14:paraId="267E674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w:t>
            </w:r>
          </w:p>
        </w:tc>
        <w:tc>
          <w:tcPr>
            <w:tcW w:w="1335" w:type="dxa"/>
            <w:noWrap/>
            <w:hideMark/>
          </w:tcPr>
          <w:p w14:paraId="5A4CD7D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1354,39</w:t>
            </w:r>
          </w:p>
        </w:tc>
        <w:tc>
          <w:tcPr>
            <w:tcW w:w="1279" w:type="dxa"/>
            <w:noWrap/>
            <w:hideMark/>
          </w:tcPr>
          <w:p w14:paraId="51017D7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305,69</w:t>
            </w:r>
          </w:p>
        </w:tc>
      </w:tr>
      <w:tr w:rsidR="00CF6953" w:rsidRPr="00CF6953" w14:paraId="5ADA6064" w14:textId="77777777" w:rsidTr="00633512">
        <w:trPr>
          <w:trHeight w:val="300"/>
        </w:trPr>
        <w:tc>
          <w:tcPr>
            <w:tcW w:w="960" w:type="dxa"/>
            <w:noWrap/>
            <w:hideMark/>
          </w:tcPr>
          <w:p w14:paraId="222C295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w:t>
            </w:r>
          </w:p>
        </w:tc>
        <w:tc>
          <w:tcPr>
            <w:tcW w:w="1000" w:type="dxa"/>
            <w:noWrap/>
            <w:hideMark/>
          </w:tcPr>
          <w:p w14:paraId="133AF64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1665,73</w:t>
            </w:r>
          </w:p>
        </w:tc>
        <w:tc>
          <w:tcPr>
            <w:tcW w:w="959" w:type="dxa"/>
            <w:noWrap/>
            <w:hideMark/>
          </w:tcPr>
          <w:p w14:paraId="5807BFF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1,38</w:t>
            </w:r>
          </w:p>
        </w:tc>
        <w:tc>
          <w:tcPr>
            <w:tcW w:w="360" w:type="dxa"/>
            <w:noWrap/>
            <w:hideMark/>
          </w:tcPr>
          <w:p w14:paraId="3C5B3D78"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1351F1E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23</w:t>
            </w:r>
          </w:p>
        </w:tc>
        <w:tc>
          <w:tcPr>
            <w:tcW w:w="1441" w:type="dxa"/>
            <w:noWrap/>
            <w:hideMark/>
          </w:tcPr>
          <w:p w14:paraId="49BAAF9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1090,65</w:t>
            </w:r>
          </w:p>
        </w:tc>
        <w:tc>
          <w:tcPr>
            <w:tcW w:w="450" w:type="dxa"/>
            <w:noWrap/>
            <w:hideMark/>
          </w:tcPr>
          <w:p w14:paraId="19EF314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w:t>
            </w:r>
          </w:p>
        </w:tc>
        <w:tc>
          <w:tcPr>
            <w:tcW w:w="1335" w:type="dxa"/>
            <w:noWrap/>
            <w:hideMark/>
          </w:tcPr>
          <w:p w14:paraId="084299E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1354,39</w:t>
            </w:r>
          </w:p>
        </w:tc>
        <w:tc>
          <w:tcPr>
            <w:tcW w:w="1279" w:type="dxa"/>
            <w:noWrap/>
            <w:hideMark/>
          </w:tcPr>
          <w:p w14:paraId="7E1731B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263,74</w:t>
            </w:r>
          </w:p>
        </w:tc>
      </w:tr>
      <w:tr w:rsidR="00CF6953" w:rsidRPr="00CF6953" w14:paraId="29FF4330" w14:textId="77777777" w:rsidTr="00633512">
        <w:trPr>
          <w:trHeight w:val="300"/>
        </w:trPr>
        <w:tc>
          <w:tcPr>
            <w:tcW w:w="960" w:type="dxa"/>
            <w:noWrap/>
            <w:hideMark/>
          </w:tcPr>
          <w:p w14:paraId="06B0B75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w:t>
            </w:r>
          </w:p>
        </w:tc>
        <w:tc>
          <w:tcPr>
            <w:tcW w:w="1000" w:type="dxa"/>
            <w:noWrap/>
            <w:hideMark/>
          </w:tcPr>
          <w:p w14:paraId="44775F3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1715,70</w:t>
            </w:r>
          </w:p>
        </w:tc>
        <w:tc>
          <w:tcPr>
            <w:tcW w:w="959" w:type="dxa"/>
            <w:noWrap/>
            <w:hideMark/>
          </w:tcPr>
          <w:p w14:paraId="328CF1E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1,43</w:t>
            </w:r>
          </w:p>
        </w:tc>
        <w:tc>
          <w:tcPr>
            <w:tcW w:w="360" w:type="dxa"/>
            <w:noWrap/>
            <w:hideMark/>
          </w:tcPr>
          <w:p w14:paraId="642865AF"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7CD1CAB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24</w:t>
            </w:r>
          </w:p>
        </w:tc>
        <w:tc>
          <w:tcPr>
            <w:tcW w:w="1441" w:type="dxa"/>
            <w:noWrap/>
            <w:hideMark/>
          </w:tcPr>
          <w:p w14:paraId="175A5D5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1134,27</w:t>
            </w:r>
          </w:p>
        </w:tc>
        <w:tc>
          <w:tcPr>
            <w:tcW w:w="450" w:type="dxa"/>
            <w:noWrap/>
            <w:hideMark/>
          </w:tcPr>
          <w:p w14:paraId="00BAC51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w:t>
            </w:r>
          </w:p>
        </w:tc>
        <w:tc>
          <w:tcPr>
            <w:tcW w:w="1335" w:type="dxa"/>
            <w:noWrap/>
            <w:hideMark/>
          </w:tcPr>
          <w:p w14:paraId="1826F27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1395,02</w:t>
            </w:r>
          </w:p>
        </w:tc>
        <w:tc>
          <w:tcPr>
            <w:tcW w:w="1279" w:type="dxa"/>
            <w:noWrap/>
            <w:hideMark/>
          </w:tcPr>
          <w:p w14:paraId="292FCE0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260,75</w:t>
            </w:r>
          </w:p>
        </w:tc>
      </w:tr>
      <w:tr w:rsidR="00CF6953" w:rsidRPr="00CF6953" w14:paraId="2A11DF23" w14:textId="77777777" w:rsidTr="00633512">
        <w:trPr>
          <w:trHeight w:val="300"/>
        </w:trPr>
        <w:tc>
          <w:tcPr>
            <w:tcW w:w="960" w:type="dxa"/>
            <w:noWrap/>
            <w:hideMark/>
          </w:tcPr>
          <w:p w14:paraId="40C14E7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14</w:t>
            </w:r>
          </w:p>
        </w:tc>
        <w:tc>
          <w:tcPr>
            <w:tcW w:w="1000" w:type="dxa"/>
            <w:noWrap/>
            <w:hideMark/>
          </w:tcPr>
          <w:p w14:paraId="52EBC1A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1767,17</w:t>
            </w:r>
          </w:p>
        </w:tc>
        <w:tc>
          <w:tcPr>
            <w:tcW w:w="959" w:type="dxa"/>
            <w:noWrap/>
            <w:hideMark/>
          </w:tcPr>
          <w:p w14:paraId="3971B98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1,47</w:t>
            </w:r>
          </w:p>
        </w:tc>
        <w:tc>
          <w:tcPr>
            <w:tcW w:w="360" w:type="dxa"/>
            <w:noWrap/>
            <w:hideMark/>
          </w:tcPr>
          <w:p w14:paraId="5AE6516B"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50CE619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25</w:t>
            </w:r>
          </w:p>
        </w:tc>
        <w:tc>
          <w:tcPr>
            <w:tcW w:w="1441" w:type="dxa"/>
            <w:noWrap/>
            <w:hideMark/>
          </w:tcPr>
          <w:p w14:paraId="1883CBE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1179,63</w:t>
            </w:r>
          </w:p>
        </w:tc>
        <w:tc>
          <w:tcPr>
            <w:tcW w:w="450" w:type="dxa"/>
            <w:noWrap/>
            <w:hideMark/>
          </w:tcPr>
          <w:p w14:paraId="13315CA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7</w:t>
            </w:r>
          </w:p>
        </w:tc>
        <w:tc>
          <w:tcPr>
            <w:tcW w:w="1335" w:type="dxa"/>
            <w:noWrap/>
            <w:hideMark/>
          </w:tcPr>
          <w:p w14:paraId="67BBDA9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1436,87</w:t>
            </w:r>
          </w:p>
        </w:tc>
        <w:tc>
          <w:tcPr>
            <w:tcW w:w="1279" w:type="dxa"/>
            <w:noWrap/>
            <w:hideMark/>
          </w:tcPr>
          <w:p w14:paraId="2CBEAD7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257,24</w:t>
            </w:r>
          </w:p>
        </w:tc>
      </w:tr>
      <w:tr w:rsidR="00CF6953" w:rsidRPr="00CF6953" w14:paraId="59BF315B" w14:textId="77777777" w:rsidTr="00633512">
        <w:trPr>
          <w:trHeight w:val="300"/>
        </w:trPr>
        <w:tc>
          <w:tcPr>
            <w:tcW w:w="960" w:type="dxa"/>
            <w:noWrap/>
            <w:hideMark/>
          </w:tcPr>
          <w:p w14:paraId="0AAA15F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15</w:t>
            </w:r>
          </w:p>
        </w:tc>
        <w:tc>
          <w:tcPr>
            <w:tcW w:w="1000" w:type="dxa"/>
            <w:noWrap/>
            <w:hideMark/>
          </w:tcPr>
          <w:p w14:paraId="3A1851F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1820,19</w:t>
            </w:r>
          </w:p>
        </w:tc>
        <w:tc>
          <w:tcPr>
            <w:tcW w:w="959" w:type="dxa"/>
            <w:noWrap/>
            <w:hideMark/>
          </w:tcPr>
          <w:p w14:paraId="520CFF9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1,51</w:t>
            </w:r>
          </w:p>
        </w:tc>
        <w:tc>
          <w:tcPr>
            <w:tcW w:w="360" w:type="dxa"/>
            <w:noWrap/>
            <w:hideMark/>
          </w:tcPr>
          <w:p w14:paraId="57B5362A"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5DEBD6F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26</w:t>
            </w:r>
          </w:p>
        </w:tc>
        <w:tc>
          <w:tcPr>
            <w:tcW w:w="1441" w:type="dxa"/>
            <w:noWrap/>
            <w:hideMark/>
          </w:tcPr>
          <w:p w14:paraId="3BA2257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1226,82</w:t>
            </w:r>
          </w:p>
        </w:tc>
        <w:tc>
          <w:tcPr>
            <w:tcW w:w="450" w:type="dxa"/>
            <w:noWrap/>
            <w:hideMark/>
          </w:tcPr>
          <w:p w14:paraId="5684CD8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8</w:t>
            </w:r>
          </w:p>
        </w:tc>
        <w:tc>
          <w:tcPr>
            <w:tcW w:w="1335" w:type="dxa"/>
            <w:noWrap/>
            <w:hideMark/>
          </w:tcPr>
          <w:p w14:paraId="3FCD98D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1479,98</w:t>
            </w:r>
          </w:p>
        </w:tc>
        <w:tc>
          <w:tcPr>
            <w:tcW w:w="1279" w:type="dxa"/>
            <w:noWrap/>
            <w:hideMark/>
          </w:tcPr>
          <w:p w14:paraId="4D6C95E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253,16</w:t>
            </w:r>
          </w:p>
        </w:tc>
      </w:tr>
      <w:tr w:rsidR="00CF6953" w:rsidRPr="00CF6953" w14:paraId="699C2F3E" w14:textId="77777777" w:rsidTr="00633512">
        <w:trPr>
          <w:trHeight w:val="300"/>
        </w:trPr>
        <w:tc>
          <w:tcPr>
            <w:tcW w:w="960" w:type="dxa"/>
            <w:noWrap/>
            <w:hideMark/>
          </w:tcPr>
          <w:p w14:paraId="16D54E9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16</w:t>
            </w:r>
          </w:p>
        </w:tc>
        <w:tc>
          <w:tcPr>
            <w:tcW w:w="1000" w:type="dxa"/>
            <w:noWrap/>
            <w:hideMark/>
          </w:tcPr>
          <w:p w14:paraId="1035E61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1874,80</w:t>
            </w:r>
          </w:p>
        </w:tc>
        <w:tc>
          <w:tcPr>
            <w:tcW w:w="959" w:type="dxa"/>
            <w:noWrap/>
            <w:hideMark/>
          </w:tcPr>
          <w:p w14:paraId="7EC86F9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1,56</w:t>
            </w:r>
          </w:p>
        </w:tc>
        <w:tc>
          <w:tcPr>
            <w:tcW w:w="360" w:type="dxa"/>
            <w:noWrap/>
            <w:hideMark/>
          </w:tcPr>
          <w:p w14:paraId="6A6D19DD"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76862DC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27</w:t>
            </w:r>
          </w:p>
        </w:tc>
        <w:tc>
          <w:tcPr>
            <w:tcW w:w="1441" w:type="dxa"/>
            <w:noWrap/>
            <w:hideMark/>
          </w:tcPr>
          <w:p w14:paraId="14979DE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1275,88</w:t>
            </w:r>
          </w:p>
        </w:tc>
        <w:tc>
          <w:tcPr>
            <w:tcW w:w="450" w:type="dxa"/>
            <w:noWrap/>
            <w:hideMark/>
          </w:tcPr>
          <w:p w14:paraId="1791D37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9</w:t>
            </w:r>
          </w:p>
        </w:tc>
        <w:tc>
          <w:tcPr>
            <w:tcW w:w="1335" w:type="dxa"/>
            <w:noWrap/>
            <w:hideMark/>
          </w:tcPr>
          <w:p w14:paraId="506AD55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1524,38</w:t>
            </w:r>
          </w:p>
        </w:tc>
        <w:tc>
          <w:tcPr>
            <w:tcW w:w="1279" w:type="dxa"/>
            <w:noWrap/>
            <w:hideMark/>
          </w:tcPr>
          <w:p w14:paraId="2D88867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248,50</w:t>
            </w:r>
          </w:p>
        </w:tc>
      </w:tr>
      <w:tr w:rsidR="00CF6953" w:rsidRPr="00CF6953" w14:paraId="4D02CB72" w14:textId="77777777" w:rsidTr="00633512">
        <w:trPr>
          <w:trHeight w:val="300"/>
        </w:trPr>
        <w:tc>
          <w:tcPr>
            <w:tcW w:w="960" w:type="dxa"/>
            <w:noWrap/>
            <w:hideMark/>
          </w:tcPr>
          <w:p w14:paraId="27CD427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17</w:t>
            </w:r>
          </w:p>
        </w:tc>
        <w:tc>
          <w:tcPr>
            <w:tcW w:w="1000" w:type="dxa"/>
            <w:noWrap/>
            <w:hideMark/>
          </w:tcPr>
          <w:p w14:paraId="087B295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1931,04</w:t>
            </w:r>
          </w:p>
        </w:tc>
        <w:tc>
          <w:tcPr>
            <w:tcW w:w="959" w:type="dxa"/>
            <w:noWrap/>
            <w:hideMark/>
          </w:tcPr>
          <w:p w14:paraId="77ECE5B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1,60</w:t>
            </w:r>
          </w:p>
        </w:tc>
        <w:tc>
          <w:tcPr>
            <w:tcW w:w="360" w:type="dxa"/>
            <w:noWrap/>
            <w:hideMark/>
          </w:tcPr>
          <w:p w14:paraId="5635566D"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57416F3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28</w:t>
            </w:r>
          </w:p>
        </w:tc>
        <w:tc>
          <w:tcPr>
            <w:tcW w:w="1441" w:type="dxa"/>
            <w:noWrap/>
            <w:hideMark/>
          </w:tcPr>
          <w:p w14:paraId="0455304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1326,92</w:t>
            </w:r>
          </w:p>
        </w:tc>
        <w:tc>
          <w:tcPr>
            <w:tcW w:w="450" w:type="dxa"/>
            <w:noWrap/>
            <w:hideMark/>
          </w:tcPr>
          <w:p w14:paraId="5329173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10</w:t>
            </w:r>
          </w:p>
        </w:tc>
        <w:tc>
          <w:tcPr>
            <w:tcW w:w="1335" w:type="dxa"/>
            <w:noWrap/>
            <w:hideMark/>
          </w:tcPr>
          <w:p w14:paraId="6A6B63A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1570,11</w:t>
            </w:r>
          </w:p>
        </w:tc>
        <w:tc>
          <w:tcPr>
            <w:tcW w:w="1279" w:type="dxa"/>
            <w:noWrap/>
            <w:hideMark/>
          </w:tcPr>
          <w:p w14:paraId="34DAE7F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243,19</w:t>
            </w:r>
          </w:p>
        </w:tc>
      </w:tr>
      <w:tr w:rsidR="00CF6953" w:rsidRPr="00CF6953" w14:paraId="267520AF" w14:textId="77777777" w:rsidTr="00633512">
        <w:trPr>
          <w:trHeight w:val="300"/>
        </w:trPr>
        <w:tc>
          <w:tcPr>
            <w:tcW w:w="960" w:type="dxa"/>
            <w:noWrap/>
            <w:hideMark/>
          </w:tcPr>
          <w:p w14:paraId="7F43BBE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18</w:t>
            </w:r>
          </w:p>
        </w:tc>
        <w:tc>
          <w:tcPr>
            <w:tcW w:w="1000" w:type="dxa"/>
            <w:noWrap/>
            <w:hideMark/>
          </w:tcPr>
          <w:p w14:paraId="648BEDB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1988,97</w:t>
            </w:r>
          </w:p>
        </w:tc>
        <w:tc>
          <w:tcPr>
            <w:tcW w:w="959" w:type="dxa"/>
            <w:noWrap/>
            <w:hideMark/>
          </w:tcPr>
          <w:p w14:paraId="672CA30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1,65</w:t>
            </w:r>
          </w:p>
        </w:tc>
        <w:tc>
          <w:tcPr>
            <w:tcW w:w="360" w:type="dxa"/>
            <w:noWrap/>
            <w:hideMark/>
          </w:tcPr>
          <w:p w14:paraId="36766FC6"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78AAD5E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29</w:t>
            </w:r>
          </w:p>
        </w:tc>
        <w:tc>
          <w:tcPr>
            <w:tcW w:w="1441" w:type="dxa"/>
            <w:noWrap/>
            <w:hideMark/>
          </w:tcPr>
          <w:p w14:paraId="4CDD942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1380,01</w:t>
            </w:r>
          </w:p>
        </w:tc>
        <w:tc>
          <w:tcPr>
            <w:tcW w:w="450" w:type="dxa"/>
            <w:noWrap/>
            <w:hideMark/>
          </w:tcPr>
          <w:p w14:paraId="6B8978B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11</w:t>
            </w:r>
          </w:p>
        </w:tc>
        <w:tc>
          <w:tcPr>
            <w:tcW w:w="1335" w:type="dxa"/>
            <w:noWrap/>
            <w:hideMark/>
          </w:tcPr>
          <w:p w14:paraId="13E877B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1617,22</w:t>
            </w:r>
          </w:p>
        </w:tc>
        <w:tc>
          <w:tcPr>
            <w:tcW w:w="1279" w:type="dxa"/>
            <w:noWrap/>
            <w:hideMark/>
          </w:tcPr>
          <w:p w14:paraId="584692A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237,21</w:t>
            </w:r>
          </w:p>
        </w:tc>
      </w:tr>
      <w:tr w:rsidR="00CF6953" w:rsidRPr="00CF6953" w14:paraId="6CABA97C" w14:textId="77777777" w:rsidTr="00633512">
        <w:trPr>
          <w:trHeight w:val="300"/>
        </w:trPr>
        <w:tc>
          <w:tcPr>
            <w:tcW w:w="960" w:type="dxa"/>
            <w:noWrap/>
            <w:hideMark/>
          </w:tcPr>
          <w:p w14:paraId="7673916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19</w:t>
            </w:r>
          </w:p>
        </w:tc>
        <w:tc>
          <w:tcPr>
            <w:tcW w:w="1000" w:type="dxa"/>
            <w:noWrap/>
            <w:hideMark/>
          </w:tcPr>
          <w:p w14:paraId="4A9DB5E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2048,64</w:t>
            </w:r>
          </w:p>
        </w:tc>
        <w:tc>
          <w:tcPr>
            <w:tcW w:w="959" w:type="dxa"/>
            <w:noWrap/>
            <w:hideMark/>
          </w:tcPr>
          <w:p w14:paraId="1F57E2B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1,70</w:t>
            </w:r>
          </w:p>
        </w:tc>
        <w:tc>
          <w:tcPr>
            <w:tcW w:w="360" w:type="dxa"/>
            <w:noWrap/>
            <w:hideMark/>
          </w:tcPr>
          <w:p w14:paraId="09A2509E"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32FB7CB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30</w:t>
            </w:r>
          </w:p>
        </w:tc>
        <w:tc>
          <w:tcPr>
            <w:tcW w:w="1441" w:type="dxa"/>
            <w:noWrap/>
            <w:hideMark/>
          </w:tcPr>
          <w:p w14:paraId="74EC3E9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1435,2</w:t>
            </w:r>
          </w:p>
        </w:tc>
        <w:tc>
          <w:tcPr>
            <w:tcW w:w="450" w:type="dxa"/>
            <w:noWrap/>
            <w:hideMark/>
          </w:tcPr>
          <w:p w14:paraId="262AE77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12</w:t>
            </w:r>
          </w:p>
        </w:tc>
        <w:tc>
          <w:tcPr>
            <w:tcW w:w="1335" w:type="dxa"/>
            <w:noWrap/>
            <w:hideMark/>
          </w:tcPr>
          <w:p w14:paraId="56FEF01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1665,73</w:t>
            </w:r>
          </w:p>
        </w:tc>
        <w:tc>
          <w:tcPr>
            <w:tcW w:w="1279" w:type="dxa"/>
            <w:noWrap/>
            <w:hideMark/>
          </w:tcPr>
          <w:p w14:paraId="0D4D61C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230,53</w:t>
            </w:r>
          </w:p>
        </w:tc>
      </w:tr>
      <w:tr w:rsidR="00CF6953" w:rsidRPr="00CF6953" w14:paraId="69EDCF5C" w14:textId="77777777" w:rsidTr="00633512">
        <w:trPr>
          <w:trHeight w:val="300"/>
        </w:trPr>
        <w:tc>
          <w:tcPr>
            <w:tcW w:w="960" w:type="dxa"/>
            <w:noWrap/>
            <w:hideMark/>
          </w:tcPr>
          <w:p w14:paraId="1091F6B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20</w:t>
            </w:r>
          </w:p>
        </w:tc>
        <w:tc>
          <w:tcPr>
            <w:tcW w:w="1000" w:type="dxa"/>
            <w:noWrap/>
            <w:hideMark/>
          </w:tcPr>
          <w:p w14:paraId="4AB3210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2110,10</w:t>
            </w:r>
          </w:p>
        </w:tc>
        <w:tc>
          <w:tcPr>
            <w:tcW w:w="959" w:type="dxa"/>
            <w:noWrap/>
            <w:hideMark/>
          </w:tcPr>
          <w:p w14:paraId="5505D84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1,75</w:t>
            </w:r>
          </w:p>
        </w:tc>
        <w:tc>
          <w:tcPr>
            <w:tcW w:w="360" w:type="dxa"/>
            <w:noWrap/>
            <w:hideMark/>
          </w:tcPr>
          <w:p w14:paraId="5C466552"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13A9D29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31</w:t>
            </w:r>
          </w:p>
        </w:tc>
        <w:tc>
          <w:tcPr>
            <w:tcW w:w="1441" w:type="dxa"/>
            <w:noWrap/>
            <w:hideMark/>
          </w:tcPr>
          <w:p w14:paraId="750159A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1492,62</w:t>
            </w:r>
          </w:p>
        </w:tc>
        <w:tc>
          <w:tcPr>
            <w:tcW w:w="450" w:type="dxa"/>
            <w:noWrap/>
            <w:hideMark/>
          </w:tcPr>
          <w:p w14:paraId="4FD9313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w:t>
            </w:r>
          </w:p>
        </w:tc>
        <w:tc>
          <w:tcPr>
            <w:tcW w:w="1335" w:type="dxa"/>
            <w:noWrap/>
            <w:hideMark/>
          </w:tcPr>
          <w:p w14:paraId="5A42B56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1715,70</w:t>
            </w:r>
          </w:p>
        </w:tc>
        <w:tc>
          <w:tcPr>
            <w:tcW w:w="1279" w:type="dxa"/>
            <w:noWrap/>
            <w:hideMark/>
          </w:tcPr>
          <w:p w14:paraId="4C36B5E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223,08</w:t>
            </w:r>
          </w:p>
        </w:tc>
      </w:tr>
      <w:tr w:rsidR="00CF6953" w:rsidRPr="00CF6953" w14:paraId="1C494636" w14:textId="77777777" w:rsidTr="00633512">
        <w:trPr>
          <w:trHeight w:val="300"/>
        </w:trPr>
        <w:tc>
          <w:tcPr>
            <w:tcW w:w="960" w:type="dxa"/>
            <w:noWrap/>
            <w:hideMark/>
          </w:tcPr>
          <w:p w14:paraId="6338F83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21</w:t>
            </w:r>
          </w:p>
        </w:tc>
        <w:tc>
          <w:tcPr>
            <w:tcW w:w="1000" w:type="dxa"/>
            <w:noWrap/>
            <w:hideMark/>
          </w:tcPr>
          <w:p w14:paraId="1B96BF6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2173,40</w:t>
            </w:r>
          </w:p>
        </w:tc>
        <w:tc>
          <w:tcPr>
            <w:tcW w:w="959" w:type="dxa"/>
            <w:noWrap/>
            <w:hideMark/>
          </w:tcPr>
          <w:p w14:paraId="013A9EF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1,81</w:t>
            </w:r>
          </w:p>
        </w:tc>
        <w:tc>
          <w:tcPr>
            <w:tcW w:w="360" w:type="dxa"/>
            <w:noWrap/>
            <w:hideMark/>
          </w:tcPr>
          <w:p w14:paraId="40F0AEC3"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6C6D4A8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32</w:t>
            </w:r>
          </w:p>
        </w:tc>
        <w:tc>
          <w:tcPr>
            <w:tcW w:w="1441" w:type="dxa"/>
            <w:noWrap/>
            <w:hideMark/>
          </w:tcPr>
          <w:p w14:paraId="37D1F51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1552,31</w:t>
            </w:r>
          </w:p>
        </w:tc>
        <w:tc>
          <w:tcPr>
            <w:tcW w:w="450" w:type="dxa"/>
            <w:noWrap/>
            <w:hideMark/>
          </w:tcPr>
          <w:p w14:paraId="0CB536F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14</w:t>
            </w:r>
          </w:p>
        </w:tc>
        <w:tc>
          <w:tcPr>
            <w:tcW w:w="1335" w:type="dxa"/>
            <w:noWrap/>
            <w:hideMark/>
          </w:tcPr>
          <w:p w14:paraId="1F0AB55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1767,17</w:t>
            </w:r>
          </w:p>
        </w:tc>
        <w:tc>
          <w:tcPr>
            <w:tcW w:w="1279" w:type="dxa"/>
            <w:noWrap/>
            <w:hideMark/>
          </w:tcPr>
          <w:p w14:paraId="78DB9DF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214,86</w:t>
            </w:r>
          </w:p>
        </w:tc>
      </w:tr>
      <w:tr w:rsidR="00CF6953" w:rsidRPr="00CF6953" w14:paraId="219CF3EA" w14:textId="77777777" w:rsidTr="00633512">
        <w:trPr>
          <w:trHeight w:val="300"/>
        </w:trPr>
        <w:tc>
          <w:tcPr>
            <w:tcW w:w="960" w:type="dxa"/>
            <w:noWrap/>
            <w:hideMark/>
          </w:tcPr>
          <w:p w14:paraId="421741C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22</w:t>
            </w:r>
          </w:p>
        </w:tc>
        <w:tc>
          <w:tcPr>
            <w:tcW w:w="1000" w:type="dxa"/>
            <w:noWrap/>
            <w:hideMark/>
          </w:tcPr>
          <w:p w14:paraId="1143906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2238,60</w:t>
            </w:r>
          </w:p>
        </w:tc>
        <w:tc>
          <w:tcPr>
            <w:tcW w:w="959" w:type="dxa"/>
            <w:noWrap/>
            <w:hideMark/>
          </w:tcPr>
          <w:p w14:paraId="6807140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1,86</w:t>
            </w:r>
          </w:p>
        </w:tc>
        <w:tc>
          <w:tcPr>
            <w:tcW w:w="360" w:type="dxa"/>
            <w:noWrap/>
            <w:hideMark/>
          </w:tcPr>
          <w:p w14:paraId="72987096"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5D242A1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33</w:t>
            </w:r>
          </w:p>
        </w:tc>
        <w:tc>
          <w:tcPr>
            <w:tcW w:w="1441" w:type="dxa"/>
            <w:noWrap/>
            <w:hideMark/>
          </w:tcPr>
          <w:p w14:paraId="4F6FC17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1614,4</w:t>
            </w:r>
          </w:p>
        </w:tc>
        <w:tc>
          <w:tcPr>
            <w:tcW w:w="450" w:type="dxa"/>
            <w:noWrap/>
            <w:hideMark/>
          </w:tcPr>
          <w:p w14:paraId="0D5D0D6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15</w:t>
            </w:r>
          </w:p>
        </w:tc>
        <w:tc>
          <w:tcPr>
            <w:tcW w:w="1335" w:type="dxa"/>
            <w:noWrap/>
            <w:hideMark/>
          </w:tcPr>
          <w:p w14:paraId="45D7095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1820,19</w:t>
            </w:r>
          </w:p>
        </w:tc>
        <w:tc>
          <w:tcPr>
            <w:tcW w:w="1279" w:type="dxa"/>
            <w:noWrap/>
            <w:hideMark/>
          </w:tcPr>
          <w:p w14:paraId="658E5D4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205,79</w:t>
            </w:r>
          </w:p>
        </w:tc>
      </w:tr>
      <w:tr w:rsidR="00CF6953" w:rsidRPr="00CF6953" w14:paraId="69577568" w14:textId="77777777" w:rsidTr="00633512">
        <w:trPr>
          <w:trHeight w:val="300"/>
        </w:trPr>
        <w:tc>
          <w:tcPr>
            <w:tcW w:w="960" w:type="dxa"/>
            <w:noWrap/>
            <w:hideMark/>
          </w:tcPr>
          <w:p w14:paraId="1D46154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23</w:t>
            </w:r>
          </w:p>
        </w:tc>
        <w:tc>
          <w:tcPr>
            <w:tcW w:w="1000" w:type="dxa"/>
            <w:noWrap/>
            <w:hideMark/>
          </w:tcPr>
          <w:p w14:paraId="24ABF4C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2305,76</w:t>
            </w:r>
          </w:p>
        </w:tc>
        <w:tc>
          <w:tcPr>
            <w:tcW w:w="959" w:type="dxa"/>
            <w:noWrap/>
            <w:hideMark/>
          </w:tcPr>
          <w:p w14:paraId="73DA4CE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1,92</w:t>
            </w:r>
          </w:p>
        </w:tc>
        <w:tc>
          <w:tcPr>
            <w:tcW w:w="360" w:type="dxa"/>
            <w:noWrap/>
            <w:hideMark/>
          </w:tcPr>
          <w:p w14:paraId="18C55F96"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66F0C85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34</w:t>
            </w:r>
          </w:p>
        </w:tc>
        <w:tc>
          <w:tcPr>
            <w:tcW w:w="1441" w:type="dxa"/>
            <w:noWrap/>
            <w:hideMark/>
          </w:tcPr>
          <w:p w14:paraId="3E42C36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1678,98</w:t>
            </w:r>
          </w:p>
        </w:tc>
        <w:tc>
          <w:tcPr>
            <w:tcW w:w="450" w:type="dxa"/>
            <w:noWrap/>
            <w:hideMark/>
          </w:tcPr>
          <w:p w14:paraId="224FA57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16</w:t>
            </w:r>
          </w:p>
        </w:tc>
        <w:tc>
          <w:tcPr>
            <w:tcW w:w="1335" w:type="dxa"/>
            <w:noWrap/>
            <w:hideMark/>
          </w:tcPr>
          <w:p w14:paraId="648C2FB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1874,80</w:t>
            </w:r>
          </w:p>
        </w:tc>
        <w:tc>
          <w:tcPr>
            <w:tcW w:w="1279" w:type="dxa"/>
            <w:noWrap/>
            <w:hideMark/>
          </w:tcPr>
          <w:p w14:paraId="710F0C4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195,82</w:t>
            </w:r>
          </w:p>
        </w:tc>
      </w:tr>
      <w:tr w:rsidR="00CF6953" w:rsidRPr="00CF6953" w14:paraId="29BEC101" w14:textId="77777777" w:rsidTr="00633512">
        <w:trPr>
          <w:trHeight w:val="300"/>
        </w:trPr>
        <w:tc>
          <w:tcPr>
            <w:tcW w:w="960" w:type="dxa"/>
            <w:noWrap/>
            <w:hideMark/>
          </w:tcPr>
          <w:p w14:paraId="5B4000C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24</w:t>
            </w:r>
          </w:p>
        </w:tc>
        <w:tc>
          <w:tcPr>
            <w:tcW w:w="1000" w:type="dxa"/>
            <w:noWrap/>
            <w:hideMark/>
          </w:tcPr>
          <w:p w14:paraId="416BB98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2374,94</w:t>
            </w:r>
          </w:p>
        </w:tc>
        <w:tc>
          <w:tcPr>
            <w:tcW w:w="959" w:type="dxa"/>
            <w:noWrap/>
            <w:hideMark/>
          </w:tcPr>
          <w:p w14:paraId="5CB8351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1,97</w:t>
            </w:r>
          </w:p>
        </w:tc>
        <w:tc>
          <w:tcPr>
            <w:tcW w:w="360" w:type="dxa"/>
            <w:noWrap/>
            <w:hideMark/>
          </w:tcPr>
          <w:p w14:paraId="21D9D281"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3C6D713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35</w:t>
            </w:r>
          </w:p>
        </w:tc>
        <w:tc>
          <w:tcPr>
            <w:tcW w:w="1441" w:type="dxa"/>
            <w:noWrap/>
            <w:hideMark/>
          </w:tcPr>
          <w:p w14:paraId="4D9CEFF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1746,13</w:t>
            </w:r>
          </w:p>
        </w:tc>
        <w:tc>
          <w:tcPr>
            <w:tcW w:w="450" w:type="dxa"/>
            <w:noWrap/>
            <w:hideMark/>
          </w:tcPr>
          <w:p w14:paraId="18AFD92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17</w:t>
            </w:r>
          </w:p>
        </w:tc>
        <w:tc>
          <w:tcPr>
            <w:tcW w:w="1335" w:type="dxa"/>
            <w:noWrap/>
            <w:hideMark/>
          </w:tcPr>
          <w:p w14:paraId="2D29E2D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1931,04</w:t>
            </w:r>
          </w:p>
        </w:tc>
        <w:tc>
          <w:tcPr>
            <w:tcW w:w="1279" w:type="dxa"/>
            <w:noWrap/>
            <w:hideMark/>
          </w:tcPr>
          <w:p w14:paraId="3AF024C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184,91</w:t>
            </w:r>
          </w:p>
        </w:tc>
      </w:tr>
      <w:tr w:rsidR="00CF6953" w:rsidRPr="00CF6953" w14:paraId="0438F3C4" w14:textId="77777777" w:rsidTr="00633512">
        <w:trPr>
          <w:trHeight w:val="300"/>
        </w:trPr>
        <w:tc>
          <w:tcPr>
            <w:tcW w:w="960" w:type="dxa"/>
            <w:noWrap/>
            <w:hideMark/>
          </w:tcPr>
          <w:p w14:paraId="15FF026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25</w:t>
            </w:r>
          </w:p>
        </w:tc>
        <w:tc>
          <w:tcPr>
            <w:tcW w:w="1000" w:type="dxa"/>
            <w:noWrap/>
            <w:hideMark/>
          </w:tcPr>
          <w:p w14:paraId="730B13D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2446,18</w:t>
            </w:r>
          </w:p>
        </w:tc>
        <w:tc>
          <w:tcPr>
            <w:tcW w:w="959" w:type="dxa"/>
            <w:noWrap/>
            <w:hideMark/>
          </w:tcPr>
          <w:p w14:paraId="0B05C9D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2,03</w:t>
            </w:r>
          </w:p>
        </w:tc>
        <w:tc>
          <w:tcPr>
            <w:tcW w:w="360" w:type="dxa"/>
            <w:noWrap/>
            <w:hideMark/>
          </w:tcPr>
          <w:p w14:paraId="781D4519"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15F0C3E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36</w:t>
            </w:r>
          </w:p>
        </w:tc>
        <w:tc>
          <w:tcPr>
            <w:tcW w:w="1441" w:type="dxa"/>
            <w:noWrap/>
            <w:hideMark/>
          </w:tcPr>
          <w:p w14:paraId="509907A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1815,99</w:t>
            </w:r>
          </w:p>
        </w:tc>
        <w:tc>
          <w:tcPr>
            <w:tcW w:w="450" w:type="dxa"/>
            <w:noWrap/>
            <w:hideMark/>
          </w:tcPr>
          <w:p w14:paraId="19C87AF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18</w:t>
            </w:r>
          </w:p>
        </w:tc>
        <w:tc>
          <w:tcPr>
            <w:tcW w:w="1335" w:type="dxa"/>
            <w:noWrap/>
            <w:hideMark/>
          </w:tcPr>
          <w:p w14:paraId="3B22775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1988,97</w:t>
            </w:r>
          </w:p>
        </w:tc>
        <w:tc>
          <w:tcPr>
            <w:tcW w:w="1279" w:type="dxa"/>
            <w:noWrap/>
            <w:hideMark/>
          </w:tcPr>
          <w:p w14:paraId="344989D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172,98</w:t>
            </w:r>
          </w:p>
        </w:tc>
      </w:tr>
      <w:tr w:rsidR="00CF6953" w:rsidRPr="00CF6953" w14:paraId="54EDFF79" w14:textId="77777777" w:rsidTr="00633512">
        <w:trPr>
          <w:trHeight w:val="300"/>
        </w:trPr>
        <w:tc>
          <w:tcPr>
            <w:tcW w:w="960" w:type="dxa"/>
            <w:noWrap/>
            <w:hideMark/>
          </w:tcPr>
          <w:p w14:paraId="17EC5BB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26</w:t>
            </w:r>
          </w:p>
        </w:tc>
        <w:tc>
          <w:tcPr>
            <w:tcW w:w="1000" w:type="dxa"/>
            <w:noWrap/>
            <w:hideMark/>
          </w:tcPr>
          <w:p w14:paraId="6186D66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2519,57</w:t>
            </w:r>
          </w:p>
        </w:tc>
        <w:tc>
          <w:tcPr>
            <w:tcW w:w="959" w:type="dxa"/>
            <w:noWrap/>
            <w:hideMark/>
          </w:tcPr>
          <w:p w14:paraId="0CDB978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2,09</w:t>
            </w:r>
          </w:p>
        </w:tc>
        <w:tc>
          <w:tcPr>
            <w:tcW w:w="360" w:type="dxa"/>
            <w:noWrap/>
            <w:hideMark/>
          </w:tcPr>
          <w:p w14:paraId="5F516179"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50153EB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37</w:t>
            </w:r>
          </w:p>
        </w:tc>
        <w:tc>
          <w:tcPr>
            <w:tcW w:w="1441" w:type="dxa"/>
            <w:noWrap/>
            <w:hideMark/>
          </w:tcPr>
          <w:p w14:paraId="5A13D19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1888,62</w:t>
            </w:r>
          </w:p>
        </w:tc>
        <w:tc>
          <w:tcPr>
            <w:tcW w:w="450" w:type="dxa"/>
            <w:noWrap/>
            <w:hideMark/>
          </w:tcPr>
          <w:p w14:paraId="455B6E6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19</w:t>
            </w:r>
          </w:p>
        </w:tc>
        <w:tc>
          <w:tcPr>
            <w:tcW w:w="1335" w:type="dxa"/>
            <w:noWrap/>
            <w:hideMark/>
          </w:tcPr>
          <w:p w14:paraId="5FA7779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2048,64</w:t>
            </w:r>
          </w:p>
        </w:tc>
        <w:tc>
          <w:tcPr>
            <w:tcW w:w="1279" w:type="dxa"/>
            <w:noWrap/>
            <w:hideMark/>
          </w:tcPr>
          <w:p w14:paraId="36A4376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160,02</w:t>
            </w:r>
          </w:p>
        </w:tc>
      </w:tr>
      <w:tr w:rsidR="00CF6953" w:rsidRPr="00CF6953" w14:paraId="35062F47" w14:textId="77777777" w:rsidTr="00633512">
        <w:trPr>
          <w:trHeight w:val="300"/>
        </w:trPr>
        <w:tc>
          <w:tcPr>
            <w:tcW w:w="960" w:type="dxa"/>
            <w:noWrap/>
            <w:hideMark/>
          </w:tcPr>
          <w:p w14:paraId="496EA05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27</w:t>
            </w:r>
          </w:p>
        </w:tc>
        <w:tc>
          <w:tcPr>
            <w:tcW w:w="1000" w:type="dxa"/>
            <w:noWrap/>
            <w:hideMark/>
          </w:tcPr>
          <w:p w14:paraId="340B271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2595,16</w:t>
            </w:r>
          </w:p>
        </w:tc>
        <w:tc>
          <w:tcPr>
            <w:tcW w:w="959" w:type="dxa"/>
            <w:noWrap/>
            <w:hideMark/>
          </w:tcPr>
          <w:p w14:paraId="2AE686C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2,16</w:t>
            </w:r>
          </w:p>
        </w:tc>
        <w:tc>
          <w:tcPr>
            <w:tcW w:w="360" w:type="dxa"/>
            <w:noWrap/>
            <w:hideMark/>
          </w:tcPr>
          <w:p w14:paraId="68CC49D7"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0039B1F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38</w:t>
            </w:r>
          </w:p>
        </w:tc>
        <w:tc>
          <w:tcPr>
            <w:tcW w:w="1441" w:type="dxa"/>
            <w:noWrap/>
            <w:hideMark/>
          </w:tcPr>
          <w:p w14:paraId="406E44E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1964,17</w:t>
            </w:r>
          </w:p>
        </w:tc>
        <w:tc>
          <w:tcPr>
            <w:tcW w:w="450" w:type="dxa"/>
            <w:noWrap/>
            <w:hideMark/>
          </w:tcPr>
          <w:p w14:paraId="61560D6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20</w:t>
            </w:r>
          </w:p>
        </w:tc>
        <w:tc>
          <w:tcPr>
            <w:tcW w:w="1335" w:type="dxa"/>
            <w:noWrap/>
            <w:hideMark/>
          </w:tcPr>
          <w:p w14:paraId="3D4D65E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2110,10</w:t>
            </w:r>
          </w:p>
        </w:tc>
        <w:tc>
          <w:tcPr>
            <w:tcW w:w="1279" w:type="dxa"/>
            <w:noWrap/>
            <w:hideMark/>
          </w:tcPr>
          <w:p w14:paraId="5D4B83A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145,93</w:t>
            </w:r>
          </w:p>
        </w:tc>
      </w:tr>
      <w:tr w:rsidR="00CF6953" w:rsidRPr="00CF6953" w14:paraId="12D139FA" w14:textId="77777777" w:rsidTr="00633512">
        <w:trPr>
          <w:trHeight w:val="300"/>
        </w:trPr>
        <w:tc>
          <w:tcPr>
            <w:tcW w:w="960" w:type="dxa"/>
            <w:noWrap/>
            <w:hideMark/>
          </w:tcPr>
          <w:p w14:paraId="4950849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28</w:t>
            </w:r>
          </w:p>
        </w:tc>
        <w:tc>
          <w:tcPr>
            <w:tcW w:w="1000" w:type="dxa"/>
            <w:noWrap/>
            <w:hideMark/>
          </w:tcPr>
          <w:p w14:paraId="30FA9D5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2673,01</w:t>
            </w:r>
          </w:p>
        </w:tc>
        <w:tc>
          <w:tcPr>
            <w:tcW w:w="959" w:type="dxa"/>
            <w:noWrap/>
            <w:hideMark/>
          </w:tcPr>
          <w:p w14:paraId="19731DA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2,22</w:t>
            </w:r>
          </w:p>
        </w:tc>
        <w:tc>
          <w:tcPr>
            <w:tcW w:w="360" w:type="dxa"/>
            <w:noWrap/>
            <w:hideMark/>
          </w:tcPr>
          <w:p w14:paraId="70462E1E"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4F641E8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39</w:t>
            </w:r>
          </w:p>
        </w:tc>
        <w:tc>
          <w:tcPr>
            <w:tcW w:w="1441" w:type="dxa"/>
            <w:noWrap/>
            <w:hideMark/>
          </w:tcPr>
          <w:p w14:paraId="4EF4BF3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2042,75</w:t>
            </w:r>
          </w:p>
        </w:tc>
        <w:tc>
          <w:tcPr>
            <w:tcW w:w="450" w:type="dxa"/>
            <w:noWrap/>
            <w:hideMark/>
          </w:tcPr>
          <w:p w14:paraId="1E57AEF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21</w:t>
            </w:r>
          </w:p>
        </w:tc>
        <w:tc>
          <w:tcPr>
            <w:tcW w:w="1335" w:type="dxa"/>
            <w:noWrap/>
            <w:hideMark/>
          </w:tcPr>
          <w:p w14:paraId="24DF1BD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2173,40</w:t>
            </w:r>
          </w:p>
        </w:tc>
        <w:tc>
          <w:tcPr>
            <w:tcW w:w="1279" w:type="dxa"/>
            <w:noWrap/>
            <w:hideMark/>
          </w:tcPr>
          <w:p w14:paraId="1E3C854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130,65</w:t>
            </w:r>
          </w:p>
        </w:tc>
      </w:tr>
      <w:tr w:rsidR="00CF6953" w:rsidRPr="00CF6953" w14:paraId="3722B205" w14:textId="77777777" w:rsidTr="00633512">
        <w:trPr>
          <w:trHeight w:val="300"/>
        </w:trPr>
        <w:tc>
          <w:tcPr>
            <w:tcW w:w="960" w:type="dxa"/>
            <w:noWrap/>
            <w:hideMark/>
          </w:tcPr>
          <w:p w14:paraId="7FA9EF1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29</w:t>
            </w:r>
          </w:p>
        </w:tc>
        <w:tc>
          <w:tcPr>
            <w:tcW w:w="1000" w:type="dxa"/>
            <w:noWrap/>
            <w:hideMark/>
          </w:tcPr>
          <w:p w14:paraId="3546BCF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2753,20</w:t>
            </w:r>
          </w:p>
        </w:tc>
        <w:tc>
          <w:tcPr>
            <w:tcW w:w="959" w:type="dxa"/>
            <w:noWrap/>
            <w:hideMark/>
          </w:tcPr>
          <w:p w14:paraId="75CD428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2,29</w:t>
            </w:r>
          </w:p>
        </w:tc>
        <w:tc>
          <w:tcPr>
            <w:tcW w:w="360" w:type="dxa"/>
            <w:noWrap/>
            <w:hideMark/>
          </w:tcPr>
          <w:p w14:paraId="5E7EF2BD"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47331C7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40</w:t>
            </w:r>
          </w:p>
        </w:tc>
        <w:tc>
          <w:tcPr>
            <w:tcW w:w="1441" w:type="dxa"/>
            <w:noWrap/>
            <w:hideMark/>
          </w:tcPr>
          <w:p w14:paraId="0ED8F3D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2124,46</w:t>
            </w:r>
          </w:p>
        </w:tc>
        <w:tc>
          <w:tcPr>
            <w:tcW w:w="450" w:type="dxa"/>
            <w:noWrap/>
            <w:hideMark/>
          </w:tcPr>
          <w:p w14:paraId="340ECEA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22</w:t>
            </w:r>
          </w:p>
        </w:tc>
        <w:tc>
          <w:tcPr>
            <w:tcW w:w="1335" w:type="dxa"/>
            <w:noWrap/>
            <w:hideMark/>
          </w:tcPr>
          <w:p w14:paraId="3719BC5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2238,60</w:t>
            </w:r>
          </w:p>
        </w:tc>
        <w:tc>
          <w:tcPr>
            <w:tcW w:w="1279" w:type="dxa"/>
            <w:noWrap/>
            <w:hideMark/>
          </w:tcPr>
          <w:p w14:paraId="715A7AB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114,14</w:t>
            </w:r>
          </w:p>
        </w:tc>
      </w:tr>
      <w:tr w:rsidR="00CF6953" w:rsidRPr="00CF6953" w14:paraId="2C9D7487" w14:textId="77777777" w:rsidTr="00633512">
        <w:trPr>
          <w:trHeight w:val="300"/>
        </w:trPr>
        <w:tc>
          <w:tcPr>
            <w:tcW w:w="960" w:type="dxa"/>
            <w:noWrap/>
            <w:hideMark/>
          </w:tcPr>
          <w:p w14:paraId="4914474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30</w:t>
            </w:r>
          </w:p>
        </w:tc>
        <w:tc>
          <w:tcPr>
            <w:tcW w:w="1000" w:type="dxa"/>
            <w:noWrap/>
            <w:hideMark/>
          </w:tcPr>
          <w:p w14:paraId="29FE4F7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2835,80</w:t>
            </w:r>
          </w:p>
        </w:tc>
        <w:tc>
          <w:tcPr>
            <w:tcW w:w="959" w:type="dxa"/>
            <w:noWrap/>
            <w:hideMark/>
          </w:tcPr>
          <w:p w14:paraId="1C3C8E8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2,36</w:t>
            </w:r>
          </w:p>
        </w:tc>
        <w:tc>
          <w:tcPr>
            <w:tcW w:w="360" w:type="dxa"/>
            <w:noWrap/>
            <w:hideMark/>
          </w:tcPr>
          <w:p w14:paraId="5A34D79D"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3840849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41</w:t>
            </w:r>
          </w:p>
        </w:tc>
        <w:tc>
          <w:tcPr>
            <w:tcW w:w="1441" w:type="dxa"/>
            <w:noWrap/>
            <w:hideMark/>
          </w:tcPr>
          <w:p w14:paraId="1E2A830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2209,43</w:t>
            </w:r>
          </w:p>
        </w:tc>
        <w:tc>
          <w:tcPr>
            <w:tcW w:w="450" w:type="dxa"/>
            <w:noWrap/>
            <w:hideMark/>
          </w:tcPr>
          <w:p w14:paraId="5FF22B1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23</w:t>
            </w:r>
          </w:p>
        </w:tc>
        <w:tc>
          <w:tcPr>
            <w:tcW w:w="1335" w:type="dxa"/>
            <w:noWrap/>
            <w:hideMark/>
          </w:tcPr>
          <w:p w14:paraId="686AFE7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2305,76</w:t>
            </w:r>
          </w:p>
        </w:tc>
        <w:tc>
          <w:tcPr>
            <w:tcW w:w="1279" w:type="dxa"/>
            <w:noWrap/>
            <w:hideMark/>
          </w:tcPr>
          <w:p w14:paraId="6BB2276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96,33</w:t>
            </w:r>
          </w:p>
        </w:tc>
      </w:tr>
      <w:tr w:rsidR="00CF6953" w:rsidRPr="00CF6953" w14:paraId="6F5196E5" w14:textId="77777777" w:rsidTr="00633512">
        <w:trPr>
          <w:trHeight w:val="300"/>
        </w:trPr>
        <w:tc>
          <w:tcPr>
            <w:tcW w:w="960" w:type="dxa"/>
            <w:noWrap/>
            <w:hideMark/>
          </w:tcPr>
          <w:p w14:paraId="2F8C333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31</w:t>
            </w:r>
          </w:p>
        </w:tc>
        <w:tc>
          <w:tcPr>
            <w:tcW w:w="1000" w:type="dxa"/>
            <w:noWrap/>
            <w:hideMark/>
          </w:tcPr>
          <w:p w14:paraId="3094919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2920,87</w:t>
            </w:r>
          </w:p>
        </w:tc>
        <w:tc>
          <w:tcPr>
            <w:tcW w:w="959" w:type="dxa"/>
            <w:noWrap/>
            <w:hideMark/>
          </w:tcPr>
          <w:p w14:paraId="4EA2A0A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2,43</w:t>
            </w:r>
          </w:p>
        </w:tc>
        <w:tc>
          <w:tcPr>
            <w:tcW w:w="360" w:type="dxa"/>
            <w:noWrap/>
            <w:hideMark/>
          </w:tcPr>
          <w:p w14:paraId="4FF9189A"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2231BD2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42</w:t>
            </w:r>
          </w:p>
        </w:tc>
        <w:tc>
          <w:tcPr>
            <w:tcW w:w="1441" w:type="dxa"/>
            <w:noWrap/>
            <w:hideMark/>
          </w:tcPr>
          <w:p w14:paraId="6932B95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2297,79</w:t>
            </w:r>
          </w:p>
        </w:tc>
        <w:tc>
          <w:tcPr>
            <w:tcW w:w="450" w:type="dxa"/>
            <w:noWrap/>
            <w:hideMark/>
          </w:tcPr>
          <w:p w14:paraId="59FD2A9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24</w:t>
            </w:r>
          </w:p>
        </w:tc>
        <w:tc>
          <w:tcPr>
            <w:tcW w:w="1335" w:type="dxa"/>
            <w:noWrap/>
            <w:hideMark/>
          </w:tcPr>
          <w:p w14:paraId="60573FC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2374,94</w:t>
            </w:r>
          </w:p>
        </w:tc>
        <w:tc>
          <w:tcPr>
            <w:tcW w:w="1279" w:type="dxa"/>
            <w:noWrap/>
            <w:hideMark/>
          </w:tcPr>
          <w:p w14:paraId="0E3701E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77,15</w:t>
            </w:r>
          </w:p>
        </w:tc>
      </w:tr>
      <w:tr w:rsidR="00CF6953" w:rsidRPr="00CF6953" w14:paraId="67FC546D" w14:textId="77777777" w:rsidTr="00633512">
        <w:trPr>
          <w:trHeight w:val="300"/>
        </w:trPr>
        <w:tc>
          <w:tcPr>
            <w:tcW w:w="960" w:type="dxa"/>
            <w:noWrap/>
            <w:hideMark/>
          </w:tcPr>
          <w:p w14:paraId="2816B91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32</w:t>
            </w:r>
          </w:p>
        </w:tc>
        <w:tc>
          <w:tcPr>
            <w:tcW w:w="1000" w:type="dxa"/>
            <w:noWrap/>
            <w:hideMark/>
          </w:tcPr>
          <w:p w14:paraId="0AC68DF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3008,50</w:t>
            </w:r>
          </w:p>
        </w:tc>
        <w:tc>
          <w:tcPr>
            <w:tcW w:w="959" w:type="dxa"/>
            <w:noWrap/>
            <w:hideMark/>
          </w:tcPr>
          <w:p w14:paraId="7E4190A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2,50</w:t>
            </w:r>
          </w:p>
        </w:tc>
        <w:tc>
          <w:tcPr>
            <w:tcW w:w="360" w:type="dxa"/>
            <w:noWrap/>
            <w:hideMark/>
          </w:tcPr>
          <w:p w14:paraId="34563E0A"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6B96DF7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43</w:t>
            </w:r>
          </w:p>
        </w:tc>
        <w:tc>
          <w:tcPr>
            <w:tcW w:w="1441" w:type="dxa"/>
            <w:noWrap/>
            <w:hideMark/>
          </w:tcPr>
          <w:p w14:paraId="1607F6A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2389,72</w:t>
            </w:r>
          </w:p>
        </w:tc>
        <w:tc>
          <w:tcPr>
            <w:tcW w:w="450" w:type="dxa"/>
            <w:noWrap/>
            <w:hideMark/>
          </w:tcPr>
          <w:p w14:paraId="4A8D580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25</w:t>
            </w:r>
          </w:p>
        </w:tc>
        <w:tc>
          <w:tcPr>
            <w:tcW w:w="1335" w:type="dxa"/>
            <w:noWrap/>
            <w:hideMark/>
          </w:tcPr>
          <w:p w14:paraId="2B76E0B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2446,18</w:t>
            </w:r>
          </w:p>
        </w:tc>
        <w:tc>
          <w:tcPr>
            <w:tcW w:w="1279" w:type="dxa"/>
            <w:noWrap/>
            <w:hideMark/>
          </w:tcPr>
          <w:p w14:paraId="0A97434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56,46</w:t>
            </w:r>
          </w:p>
        </w:tc>
      </w:tr>
      <w:tr w:rsidR="00CF6953" w:rsidRPr="00CF6953" w14:paraId="0F2C65C7" w14:textId="77777777" w:rsidTr="00633512">
        <w:trPr>
          <w:trHeight w:val="300"/>
        </w:trPr>
        <w:tc>
          <w:tcPr>
            <w:tcW w:w="960" w:type="dxa"/>
            <w:noWrap/>
            <w:hideMark/>
          </w:tcPr>
          <w:p w14:paraId="563FD9C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33</w:t>
            </w:r>
          </w:p>
        </w:tc>
        <w:tc>
          <w:tcPr>
            <w:tcW w:w="1000" w:type="dxa"/>
            <w:noWrap/>
            <w:hideMark/>
          </w:tcPr>
          <w:p w14:paraId="6A935F2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3098,75</w:t>
            </w:r>
          </w:p>
        </w:tc>
        <w:tc>
          <w:tcPr>
            <w:tcW w:w="959" w:type="dxa"/>
            <w:noWrap/>
            <w:hideMark/>
          </w:tcPr>
          <w:p w14:paraId="32B5E7D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2,58</w:t>
            </w:r>
          </w:p>
        </w:tc>
        <w:tc>
          <w:tcPr>
            <w:tcW w:w="360" w:type="dxa"/>
            <w:noWrap/>
            <w:hideMark/>
          </w:tcPr>
          <w:p w14:paraId="078BA49C"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13369A1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44</w:t>
            </w:r>
          </w:p>
        </w:tc>
        <w:tc>
          <w:tcPr>
            <w:tcW w:w="1441" w:type="dxa"/>
            <w:noWrap/>
            <w:hideMark/>
          </w:tcPr>
          <w:p w14:paraId="30C123C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2485,3</w:t>
            </w:r>
          </w:p>
        </w:tc>
        <w:tc>
          <w:tcPr>
            <w:tcW w:w="450" w:type="dxa"/>
            <w:noWrap/>
            <w:hideMark/>
          </w:tcPr>
          <w:p w14:paraId="7C86DD4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26</w:t>
            </w:r>
          </w:p>
        </w:tc>
        <w:tc>
          <w:tcPr>
            <w:tcW w:w="1335" w:type="dxa"/>
            <w:noWrap/>
            <w:hideMark/>
          </w:tcPr>
          <w:p w14:paraId="5CE34E3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2519,57</w:t>
            </w:r>
          </w:p>
        </w:tc>
        <w:tc>
          <w:tcPr>
            <w:tcW w:w="1279" w:type="dxa"/>
            <w:noWrap/>
            <w:hideMark/>
          </w:tcPr>
          <w:p w14:paraId="173CB65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34,27</w:t>
            </w:r>
          </w:p>
        </w:tc>
      </w:tr>
      <w:tr w:rsidR="00CF6953" w:rsidRPr="00CF6953" w14:paraId="44F27B30" w14:textId="77777777" w:rsidTr="00633512">
        <w:trPr>
          <w:trHeight w:val="300"/>
        </w:trPr>
        <w:tc>
          <w:tcPr>
            <w:tcW w:w="960" w:type="dxa"/>
            <w:noWrap/>
            <w:hideMark/>
          </w:tcPr>
          <w:p w14:paraId="354936E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34</w:t>
            </w:r>
          </w:p>
        </w:tc>
        <w:tc>
          <w:tcPr>
            <w:tcW w:w="1000" w:type="dxa"/>
            <w:noWrap/>
            <w:hideMark/>
          </w:tcPr>
          <w:p w14:paraId="54CCB4F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3191,71</w:t>
            </w:r>
          </w:p>
        </w:tc>
        <w:tc>
          <w:tcPr>
            <w:tcW w:w="959" w:type="dxa"/>
            <w:noWrap/>
            <w:hideMark/>
          </w:tcPr>
          <w:p w14:paraId="4C47D25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2,65</w:t>
            </w:r>
          </w:p>
        </w:tc>
        <w:tc>
          <w:tcPr>
            <w:tcW w:w="360" w:type="dxa"/>
            <w:noWrap/>
            <w:hideMark/>
          </w:tcPr>
          <w:p w14:paraId="7A5CD5DA"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5684F74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45</w:t>
            </w:r>
          </w:p>
        </w:tc>
        <w:tc>
          <w:tcPr>
            <w:tcW w:w="1441" w:type="dxa"/>
            <w:noWrap/>
            <w:hideMark/>
          </w:tcPr>
          <w:p w14:paraId="460EDB4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2584,71</w:t>
            </w:r>
          </w:p>
        </w:tc>
        <w:tc>
          <w:tcPr>
            <w:tcW w:w="450" w:type="dxa"/>
            <w:noWrap/>
            <w:hideMark/>
          </w:tcPr>
          <w:p w14:paraId="42FED1A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27</w:t>
            </w:r>
          </w:p>
        </w:tc>
        <w:tc>
          <w:tcPr>
            <w:tcW w:w="1335" w:type="dxa"/>
            <w:noWrap/>
            <w:hideMark/>
          </w:tcPr>
          <w:p w14:paraId="44BE3A4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2595,16</w:t>
            </w:r>
          </w:p>
        </w:tc>
        <w:tc>
          <w:tcPr>
            <w:tcW w:w="1279" w:type="dxa"/>
            <w:noWrap/>
            <w:hideMark/>
          </w:tcPr>
          <w:p w14:paraId="50CF8A1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10,45</w:t>
            </w:r>
          </w:p>
        </w:tc>
      </w:tr>
      <w:tr w:rsidR="00CF6953" w:rsidRPr="00CF6953" w14:paraId="35051F65" w14:textId="77777777" w:rsidTr="00633512">
        <w:trPr>
          <w:trHeight w:val="300"/>
        </w:trPr>
        <w:tc>
          <w:tcPr>
            <w:tcW w:w="960" w:type="dxa"/>
            <w:noWrap/>
            <w:hideMark/>
          </w:tcPr>
          <w:p w14:paraId="256CB58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35</w:t>
            </w:r>
          </w:p>
        </w:tc>
        <w:tc>
          <w:tcPr>
            <w:tcW w:w="1000" w:type="dxa"/>
            <w:noWrap/>
            <w:hideMark/>
          </w:tcPr>
          <w:p w14:paraId="567DEF9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3287,47</w:t>
            </w:r>
          </w:p>
        </w:tc>
        <w:tc>
          <w:tcPr>
            <w:tcW w:w="959" w:type="dxa"/>
            <w:noWrap/>
            <w:hideMark/>
          </w:tcPr>
          <w:p w14:paraId="385E2A8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2,73</w:t>
            </w:r>
          </w:p>
        </w:tc>
        <w:tc>
          <w:tcPr>
            <w:tcW w:w="360" w:type="dxa"/>
            <w:noWrap/>
            <w:hideMark/>
          </w:tcPr>
          <w:p w14:paraId="0F919A37"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5FD5F36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46</w:t>
            </w:r>
          </w:p>
        </w:tc>
        <w:tc>
          <w:tcPr>
            <w:tcW w:w="1441" w:type="dxa"/>
            <w:noWrap/>
            <w:hideMark/>
          </w:tcPr>
          <w:p w14:paraId="2DE815A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2688,1</w:t>
            </w:r>
          </w:p>
        </w:tc>
        <w:tc>
          <w:tcPr>
            <w:tcW w:w="450" w:type="dxa"/>
            <w:noWrap/>
            <w:hideMark/>
          </w:tcPr>
          <w:p w14:paraId="3B929F7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29</w:t>
            </w:r>
          </w:p>
        </w:tc>
        <w:tc>
          <w:tcPr>
            <w:tcW w:w="1335" w:type="dxa"/>
            <w:noWrap/>
            <w:hideMark/>
          </w:tcPr>
          <w:p w14:paraId="02FBD01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2753,20</w:t>
            </w:r>
          </w:p>
        </w:tc>
        <w:tc>
          <w:tcPr>
            <w:tcW w:w="1279" w:type="dxa"/>
            <w:noWrap/>
            <w:hideMark/>
          </w:tcPr>
          <w:p w14:paraId="116A45D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65,10</w:t>
            </w:r>
          </w:p>
        </w:tc>
      </w:tr>
      <w:tr w:rsidR="00CF6953" w:rsidRPr="00CF6953" w14:paraId="563254FD" w14:textId="77777777" w:rsidTr="00633512">
        <w:trPr>
          <w:trHeight w:val="300"/>
        </w:trPr>
        <w:tc>
          <w:tcPr>
            <w:tcW w:w="960" w:type="dxa"/>
            <w:noWrap/>
            <w:hideMark/>
          </w:tcPr>
          <w:p w14:paraId="2092469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36</w:t>
            </w:r>
          </w:p>
        </w:tc>
        <w:tc>
          <w:tcPr>
            <w:tcW w:w="1000" w:type="dxa"/>
            <w:noWrap/>
            <w:hideMark/>
          </w:tcPr>
          <w:p w14:paraId="26AA49E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3386,09</w:t>
            </w:r>
          </w:p>
        </w:tc>
        <w:tc>
          <w:tcPr>
            <w:tcW w:w="959" w:type="dxa"/>
            <w:noWrap/>
            <w:hideMark/>
          </w:tcPr>
          <w:p w14:paraId="6DE2B86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2,81</w:t>
            </w:r>
          </w:p>
        </w:tc>
        <w:tc>
          <w:tcPr>
            <w:tcW w:w="360" w:type="dxa"/>
            <w:noWrap/>
            <w:hideMark/>
          </w:tcPr>
          <w:p w14:paraId="2DC82C51"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7358F99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47</w:t>
            </w:r>
          </w:p>
        </w:tc>
        <w:tc>
          <w:tcPr>
            <w:tcW w:w="1441" w:type="dxa"/>
            <w:noWrap/>
            <w:hideMark/>
          </w:tcPr>
          <w:p w14:paraId="376AF6D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2795,64</w:t>
            </w:r>
          </w:p>
        </w:tc>
        <w:tc>
          <w:tcPr>
            <w:tcW w:w="450" w:type="dxa"/>
            <w:noWrap/>
            <w:hideMark/>
          </w:tcPr>
          <w:p w14:paraId="1D8D1EF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30</w:t>
            </w:r>
          </w:p>
        </w:tc>
        <w:tc>
          <w:tcPr>
            <w:tcW w:w="1335" w:type="dxa"/>
            <w:noWrap/>
            <w:hideMark/>
          </w:tcPr>
          <w:p w14:paraId="49EA3A7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2835,80</w:t>
            </w:r>
          </w:p>
        </w:tc>
        <w:tc>
          <w:tcPr>
            <w:tcW w:w="1279" w:type="dxa"/>
            <w:noWrap/>
            <w:hideMark/>
          </w:tcPr>
          <w:p w14:paraId="39D25C7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40,16</w:t>
            </w:r>
          </w:p>
        </w:tc>
      </w:tr>
      <w:tr w:rsidR="00CF6953" w:rsidRPr="00CF6953" w14:paraId="159E3CF8" w14:textId="77777777" w:rsidTr="00633512">
        <w:trPr>
          <w:trHeight w:val="300"/>
        </w:trPr>
        <w:tc>
          <w:tcPr>
            <w:tcW w:w="960" w:type="dxa"/>
            <w:noWrap/>
            <w:hideMark/>
          </w:tcPr>
          <w:p w14:paraId="63F34F3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37</w:t>
            </w:r>
          </w:p>
        </w:tc>
        <w:tc>
          <w:tcPr>
            <w:tcW w:w="1000" w:type="dxa"/>
            <w:noWrap/>
            <w:hideMark/>
          </w:tcPr>
          <w:p w14:paraId="0833D57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3487,67</w:t>
            </w:r>
          </w:p>
        </w:tc>
        <w:tc>
          <w:tcPr>
            <w:tcW w:w="959" w:type="dxa"/>
            <w:noWrap/>
            <w:hideMark/>
          </w:tcPr>
          <w:p w14:paraId="4791FFB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2,90</w:t>
            </w:r>
          </w:p>
        </w:tc>
        <w:tc>
          <w:tcPr>
            <w:tcW w:w="360" w:type="dxa"/>
            <w:noWrap/>
            <w:hideMark/>
          </w:tcPr>
          <w:p w14:paraId="470AF6A0"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0AA4435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48</w:t>
            </w:r>
          </w:p>
        </w:tc>
        <w:tc>
          <w:tcPr>
            <w:tcW w:w="1441" w:type="dxa"/>
            <w:noWrap/>
            <w:hideMark/>
          </w:tcPr>
          <w:p w14:paraId="5AB8846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2907,45</w:t>
            </w:r>
          </w:p>
        </w:tc>
        <w:tc>
          <w:tcPr>
            <w:tcW w:w="450" w:type="dxa"/>
            <w:noWrap/>
            <w:hideMark/>
          </w:tcPr>
          <w:p w14:paraId="73BC197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31</w:t>
            </w:r>
          </w:p>
        </w:tc>
        <w:tc>
          <w:tcPr>
            <w:tcW w:w="1335" w:type="dxa"/>
            <w:noWrap/>
            <w:hideMark/>
          </w:tcPr>
          <w:p w14:paraId="1228DC7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2920,87</w:t>
            </w:r>
          </w:p>
        </w:tc>
        <w:tc>
          <w:tcPr>
            <w:tcW w:w="1279" w:type="dxa"/>
            <w:noWrap/>
            <w:hideMark/>
          </w:tcPr>
          <w:p w14:paraId="449EA7F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13,42</w:t>
            </w:r>
          </w:p>
        </w:tc>
      </w:tr>
      <w:tr w:rsidR="00CF6953" w:rsidRPr="00CF6953" w14:paraId="31F0846B" w14:textId="77777777" w:rsidTr="00633512">
        <w:trPr>
          <w:trHeight w:val="300"/>
        </w:trPr>
        <w:tc>
          <w:tcPr>
            <w:tcW w:w="960" w:type="dxa"/>
            <w:noWrap/>
            <w:hideMark/>
          </w:tcPr>
          <w:p w14:paraId="7295BD3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38</w:t>
            </w:r>
          </w:p>
        </w:tc>
        <w:tc>
          <w:tcPr>
            <w:tcW w:w="1000" w:type="dxa"/>
            <w:noWrap/>
            <w:hideMark/>
          </w:tcPr>
          <w:p w14:paraId="758835D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3592,30</w:t>
            </w:r>
          </w:p>
        </w:tc>
        <w:tc>
          <w:tcPr>
            <w:tcW w:w="959" w:type="dxa"/>
            <w:noWrap/>
            <w:hideMark/>
          </w:tcPr>
          <w:p w14:paraId="0585D9D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2,99</w:t>
            </w:r>
          </w:p>
        </w:tc>
        <w:tc>
          <w:tcPr>
            <w:tcW w:w="360" w:type="dxa"/>
            <w:noWrap/>
            <w:hideMark/>
          </w:tcPr>
          <w:p w14:paraId="7B03B0A6"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579CC77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49</w:t>
            </w:r>
          </w:p>
        </w:tc>
        <w:tc>
          <w:tcPr>
            <w:tcW w:w="1441" w:type="dxa"/>
            <w:noWrap/>
            <w:hideMark/>
          </w:tcPr>
          <w:p w14:paraId="349C0CB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3023,75</w:t>
            </w:r>
          </w:p>
        </w:tc>
        <w:tc>
          <w:tcPr>
            <w:tcW w:w="450" w:type="dxa"/>
            <w:noWrap/>
            <w:hideMark/>
          </w:tcPr>
          <w:p w14:paraId="619FEFE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33</w:t>
            </w:r>
          </w:p>
        </w:tc>
        <w:tc>
          <w:tcPr>
            <w:tcW w:w="1335" w:type="dxa"/>
            <w:noWrap/>
            <w:hideMark/>
          </w:tcPr>
          <w:p w14:paraId="4FC3C96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3098,75</w:t>
            </w:r>
          </w:p>
        </w:tc>
        <w:tc>
          <w:tcPr>
            <w:tcW w:w="1279" w:type="dxa"/>
            <w:noWrap/>
            <w:hideMark/>
          </w:tcPr>
          <w:p w14:paraId="2511AB9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75,00</w:t>
            </w:r>
          </w:p>
        </w:tc>
      </w:tr>
      <w:tr w:rsidR="00CF6953" w:rsidRPr="00CF6953" w14:paraId="0313FA2F" w14:textId="77777777" w:rsidTr="00633512">
        <w:trPr>
          <w:trHeight w:val="300"/>
        </w:trPr>
        <w:tc>
          <w:tcPr>
            <w:tcW w:w="960" w:type="dxa"/>
            <w:noWrap/>
            <w:hideMark/>
          </w:tcPr>
          <w:p w14:paraId="7314B81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39</w:t>
            </w:r>
          </w:p>
        </w:tc>
        <w:tc>
          <w:tcPr>
            <w:tcW w:w="1000" w:type="dxa"/>
            <w:noWrap/>
            <w:hideMark/>
          </w:tcPr>
          <w:p w14:paraId="7CE62AA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3700,07</w:t>
            </w:r>
          </w:p>
        </w:tc>
        <w:tc>
          <w:tcPr>
            <w:tcW w:w="959" w:type="dxa"/>
            <w:noWrap/>
            <w:hideMark/>
          </w:tcPr>
          <w:p w14:paraId="2500529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3,07</w:t>
            </w:r>
          </w:p>
        </w:tc>
        <w:tc>
          <w:tcPr>
            <w:tcW w:w="360" w:type="dxa"/>
            <w:noWrap/>
            <w:hideMark/>
          </w:tcPr>
          <w:p w14:paraId="186C5A2C"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0FCC072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50</w:t>
            </w:r>
          </w:p>
        </w:tc>
        <w:tc>
          <w:tcPr>
            <w:tcW w:w="1441" w:type="dxa"/>
            <w:noWrap/>
            <w:hideMark/>
          </w:tcPr>
          <w:p w14:paraId="213A38D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3144,7</w:t>
            </w:r>
          </w:p>
        </w:tc>
        <w:tc>
          <w:tcPr>
            <w:tcW w:w="450" w:type="dxa"/>
            <w:noWrap/>
            <w:hideMark/>
          </w:tcPr>
          <w:p w14:paraId="51A4086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34</w:t>
            </w:r>
          </w:p>
        </w:tc>
        <w:tc>
          <w:tcPr>
            <w:tcW w:w="1335" w:type="dxa"/>
            <w:noWrap/>
            <w:hideMark/>
          </w:tcPr>
          <w:p w14:paraId="1CE3C91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3191,71</w:t>
            </w:r>
          </w:p>
        </w:tc>
        <w:tc>
          <w:tcPr>
            <w:tcW w:w="1279" w:type="dxa"/>
            <w:noWrap/>
            <w:hideMark/>
          </w:tcPr>
          <w:p w14:paraId="69A53CA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47,01</w:t>
            </w:r>
          </w:p>
        </w:tc>
      </w:tr>
      <w:tr w:rsidR="00CF6953" w:rsidRPr="00CF6953" w14:paraId="2D7A56EF" w14:textId="77777777" w:rsidTr="00633512">
        <w:trPr>
          <w:trHeight w:val="300"/>
        </w:trPr>
        <w:tc>
          <w:tcPr>
            <w:tcW w:w="960" w:type="dxa"/>
            <w:noWrap/>
            <w:hideMark/>
          </w:tcPr>
          <w:p w14:paraId="30717CB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40</w:t>
            </w:r>
          </w:p>
        </w:tc>
        <w:tc>
          <w:tcPr>
            <w:tcW w:w="1000" w:type="dxa"/>
            <w:noWrap/>
            <w:hideMark/>
          </w:tcPr>
          <w:p w14:paraId="0CC9852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3811,07</w:t>
            </w:r>
          </w:p>
        </w:tc>
        <w:tc>
          <w:tcPr>
            <w:tcW w:w="959" w:type="dxa"/>
            <w:noWrap/>
            <w:hideMark/>
          </w:tcPr>
          <w:p w14:paraId="2A069E8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3,17</w:t>
            </w:r>
          </w:p>
        </w:tc>
        <w:tc>
          <w:tcPr>
            <w:tcW w:w="360" w:type="dxa"/>
            <w:noWrap/>
            <w:hideMark/>
          </w:tcPr>
          <w:p w14:paraId="5AFDA8EB"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5046187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51</w:t>
            </w:r>
          </w:p>
        </w:tc>
        <w:tc>
          <w:tcPr>
            <w:tcW w:w="1441" w:type="dxa"/>
            <w:noWrap/>
            <w:hideMark/>
          </w:tcPr>
          <w:p w14:paraId="2C253F9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3270,49</w:t>
            </w:r>
          </w:p>
        </w:tc>
        <w:tc>
          <w:tcPr>
            <w:tcW w:w="450" w:type="dxa"/>
            <w:noWrap/>
            <w:hideMark/>
          </w:tcPr>
          <w:p w14:paraId="2C05135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35</w:t>
            </w:r>
          </w:p>
        </w:tc>
        <w:tc>
          <w:tcPr>
            <w:tcW w:w="1335" w:type="dxa"/>
            <w:noWrap/>
            <w:hideMark/>
          </w:tcPr>
          <w:p w14:paraId="59C4C7A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3287,47</w:t>
            </w:r>
          </w:p>
        </w:tc>
        <w:tc>
          <w:tcPr>
            <w:tcW w:w="1279" w:type="dxa"/>
            <w:noWrap/>
            <w:hideMark/>
          </w:tcPr>
          <w:p w14:paraId="6D2B341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16,98</w:t>
            </w:r>
          </w:p>
        </w:tc>
      </w:tr>
      <w:tr w:rsidR="00CF6953" w:rsidRPr="00CF6953" w14:paraId="05E34586" w14:textId="77777777" w:rsidTr="00633512">
        <w:trPr>
          <w:trHeight w:val="300"/>
        </w:trPr>
        <w:tc>
          <w:tcPr>
            <w:tcW w:w="960" w:type="dxa"/>
            <w:noWrap/>
            <w:hideMark/>
          </w:tcPr>
          <w:p w14:paraId="4965DCF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41</w:t>
            </w:r>
          </w:p>
        </w:tc>
        <w:tc>
          <w:tcPr>
            <w:tcW w:w="1000" w:type="dxa"/>
            <w:noWrap/>
            <w:hideMark/>
          </w:tcPr>
          <w:p w14:paraId="63DB279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3925,41</w:t>
            </w:r>
          </w:p>
        </w:tc>
        <w:tc>
          <w:tcPr>
            <w:tcW w:w="959" w:type="dxa"/>
            <w:noWrap/>
            <w:hideMark/>
          </w:tcPr>
          <w:p w14:paraId="698B356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3,26</w:t>
            </w:r>
          </w:p>
        </w:tc>
        <w:tc>
          <w:tcPr>
            <w:tcW w:w="360" w:type="dxa"/>
            <w:noWrap/>
            <w:hideMark/>
          </w:tcPr>
          <w:p w14:paraId="1C8CB74B"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5D6069E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52</w:t>
            </w:r>
          </w:p>
        </w:tc>
        <w:tc>
          <w:tcPr>
            <w:tcW w:w="1441" w:type="dxa"/>
            <w:noWrap/>
            <w:hideMark/>
          </w:tcPr>
          <w:p w14:paraId="56CC6CF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3401,31</w:t>
            </w:r>
          </w:p>
        </w:tc>
        <w:tc>
          <w:tcPr>
            <w:tcW w:w="450" w:type="dxa"/>
            <w:noWrap/>
            <w:hideMark/>
          </w:tcPr>
          <w:p w14:paraId="7B7DC8C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37</w:t>
            </w:r>
          </w:p>
        </w:tc>
        <w:tc>
          <w:tcPr>
            <w:tcW w:w="1335" w:type="dxa"/>
            <w:noWrap/>
            <w:hideMark/>
          </w:tcPr>
          <w:p w14:paraId="238B595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3487,67</w:t>
            </w:r>
          </w:p>
        </w:tc>
        <w:tc>
          <w:tcPr>
            <w:tcW w:w="1279" w:type="dxa"/>
            <w:noWrap/>
            <w:hideMark/>
          </w:tcPr>
          <w:p w14:paraId="33EF7EE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86,36</w:t>
            </w:r>
          </w:p>
        </w:tc>
      </w:tr>
      <w:tr w:rsidR="00CF6953" w:rsidRPr="00CF6953" w14:paraId="778CE80E" w14:textId="77777777" w:rsidTr="00633512">
        <w:trPr>
          <w:trHeight w:val="300"/>
        </w:trPr>
        <w:tc>
          <w:tcPr>
            <w:tcW w:w="960" w:type="dxa"/>
            <w:noWrap/>
            <w:hideMark/>
          </w:tcPr>
          <w:p w14:paraId="7AEED99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lastRenderedPageBreak/>
              <w:t>42</w:t>
            </w:r>
          </w:p>
        </w:tc>
        <w:tc>
          <w:tcPr>
            <w:tcW w:w="1000" w:type="dxa"/>
            <w:noWrap/>
            <w:hideMark/>
          </w:tcPr>
          <w:p w14:paraId="381EE46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4043,17</w:t>
            </w:r>
          </w:p>
        </w:tc>
        <w:tc>
          <w:tcPr>
            <w:tcW w:w="959" w:type="dxa"/>
            <w:noWrap/>
            <w:hideMark/>
          </w:tcPr>
          <w:p w14:paraId="142E10A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3,36</w:t>
            </w:r>
          </w:p>
        </w:tc>
        <w:tc>
          <w:tcPr>
            <w:tcW w:w="360" w:type="dxa"/>
            <w:noWrap/>
            <w:hideMark/>
          </w:tcPr>
          <w:p w14:paraId="46409A99"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3777BC9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53</w:t>
            </w:r>
          </w:p>
        </w:tc>
        <w:tc>
          <w:tcPr>
            <w:tcW w:w="1441" w:type="dxa"/>
            <w:noWrap/>
            <w:hideMark/>
          </w:tcPr>
          <w:p w14:paraId="0789F07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3537,36</w:t>
            </w:r>
          </w:p>
        </w:tc>
        <w:tc>
          <w:tcPr>
            <w:tcW w:w="450" w:type="dxa"/>
            <w:noWrap/>
            <w:hideMark/>
          </w:tcPr>
          <w:p w14:paraId="51DB3E1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38</w:t>
            </w:r>
          </w:p>
        </w:tc>
        <w:tc>
          <w:tcPr>
            <w:tcW w:w="1335" w:type="dxa"/>
            <w:noWrap/>
            <w:hideMark/>
          </w:tcPr>
          <w:p w14:paraId="62E9633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3592,30</w:t>
            </w:r>
          </w:p>
        </w:tc>
        <w:tc>
          <w:tcPr>
            <w:tcW w:w="1279" w:type="dxa"/>
            <w:noWrap/>
            <w:hideMark/>
          </w:tcPr>
          <w:p w14:paraId="2E90795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54,94</w:t>
            </w:r>
          </w:p>
        </w:tc>
      </w:tr>
      <w:tr w:rsidR="00CF6953" w:rsidRPr="00CF6953" w14:paraId="1EACF153" w14:textId="77777777" w:rsidTr="00633512">
        <w:trPr>
          <w:trHeight w:val="300"/>
        </w:trPr>
        <w:tc>
          <w:tcPr>
            <w:tcW w:w="960" w:type="dxa"/>
            <w:noWrap/>
            <w:hideMark/>
          </w:tcPr>
          <w:p w14:paraId="73AF6A4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43</w:t>
            </w:r>
          </w:p>
        </w:tc>
        <w:tc>
          <w:tcPr>
            <w:tcW w:w="1000" w:type="dxa"/>
            <w:noWrap/>
            <w:hideMark/>
          </w:tcPr>
          <w:p w14:paraId="2B8D161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4164,46</w:t>
            </w:r>
          </w:p>
        </w:tc>
        <w:tc>
          <w:tcPr>
            <w:tcW w:w="959" w:type="dxa"/>
            <w:noWrap/>
            <w:hideMark/>
          </w:tcPr>
          <w:p w14:paraId="5E9614C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3,46</w:t>
            </w:r>
          </w:p>
        </w:tc>
        <w:tc>
          <w:tcPr>
            <w:tcW w:w="360" w:type="dxa"/>
            <w:noWrap/>
            <w:hideMark/>
          </w:tcPr>
          <w:p w14:paraId="3EA8D424"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6DDF307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54</w:t>
            </w:r>
          </w:p>
        </w:tc>
        <w:tc>
          <w:tcPr>
            <w:tcW w:w="1441" w:type="dxa"/>
            <w:noWrap/>
            <w:hideMark/>
          </w:tcPr>
          <w:p w14:paraId="2653E2D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3678,86</w:t>
            </w:r>
          </w:p>
        </w:tc>
        <w:tc>
          <w:tcPr>
            <w:tcW w:w="450" w:type="dxa"/>
            <w:noWrap/>
            <w:hideMark/>
          </w:tcPr>
          <w:p w14:paraId="7B32D54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39</w:t>
            </w:r>
          </w:p>
        </w:tc>
        <w:tc>
          <w:tcPr>
            <w:tcW w:w="1335" w:type="dxa"/>
            <w:noWrap/>
            <w:hideMark/>
          </w:tcPr>
          <w:p w14:paraId="682D104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3700,07</w:t>
            </w:r>
          </w:p>
        </w:tc>
        <w:tc>
          <w:tcPr>
            <w:tcW w:w="1279" w:type="dxa"/>
            <w:noWrap/>
            <w:hideMark/>
          </w:tcPr>
          <w:p w14:paraId="23D788E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21,21</w:t>
            </w:r>
          </w:p>
        </w:tc>
      </w:tr>
      <w:tr w:rsidR="00CF6953" w:rsidRPr="00CF6953" w14:paraId="32BD6532" w14:textId="77777777" w:rsidTr="00633512">
        <w:trPr>
          <w:trHeight w:val="300"/>
        </w:trPr>
        <w:tc>
          <w:tcPr>
            <w:tcW w:w="960" w:type="dxa"/>
            <w:noWrap/>
            <w:hideMark/>
          </w:tcPr>
          <w:p w14:paraId="6BB2AEF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44</w:t>
            </w:r>
          </w:p>
        </w:tc>
        <w:tc>
          <w:tcPr>
            <w:tcW w:w="1000" w:type="dxa"/>
            <w:noWrap/>
            <w:hideMark/>
          </w:tcPr>
          <w:p w14:paraId="40EFA50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4289,40</w:t>
            </w:r>
          </w:p>
        </w:tc>
        <w:tc>
          <w:tcPr>
            <w:tcW w:w="959" w:type="dxa"/>
            <w:noWrap/>
            <w:hideMark/>
          </w:tcPr>
          <w:p w14:paraId="4499FEB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3,56</w:t>
            </w:r>
          </w:p>
        </w:tc>
        <w:tc>
          <w:tcPr>
            <w:tcW w:w="360" w:type="dxa"/>
            <w:noWrap/>
            <w:hideMark/>
          </w:tcPr>
          <w:p w14:paraId="62CC9248"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5D14C70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55</w:t>
            </w:r>
          </w:p>
        </w:tc>
        <w:tc>
          <w:tcPr>
            <w:tcW w:w="1441" w:type="dxa"/>
            <w:noWrap/>
            <w:hideMark/>
          </w:tcPr>
          <w:p w14:paraId="0123F61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3826,01</w:t>
            </w:r>
          </w:p>
        </w:tc>
        <w:tc>
          <w:tcPr>
            <w:tcW w:w="450" w:type="dxa"/>
            <w:noWrap/>
            <w:hideMark/>
          </w:tcPr>
          <w:p w14:paraId="5BA5949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41</w:t>
            </w:r>
          </w:p>
        </w:tc>
        <w:tc>
          <w:tcPr>
            <w:tcW w:w="1335" w:type="dxa"/>
            <w:noWrap/>
            <w:hideMark/>
          </w:tcPr>
          <w:p w14:paraId="7A417D4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3925,41</w:t>
            </w:r>
          </w:p>
        </w:tc>
        <w:tc>
          <w:tcPr>
            <w:tcW w:w="1279" w:type="dxa"/>
            <w:noWrap/>
            <w:hideMark/>
          </w:tcPr>
          <w:p w14:paraId="3D70FD9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99,40</w:t>
            </w:r>
          </w:p>
        </w:tc>
      </w:tr>
      <w:tr w:rsidR="00CF6953" w:rsidRPr="00CF6953" w14:paraId="71A618F7" w14:textId="77777777" w:rsidTr="00633512">
        <w:trPr>
          <w:trHeight w:val="300"/>
        </w:trPr>
        <w:tc>
          <w:tcPr>
            <w:tcW w:w="960" w:type="dxa"/>
            <w:noWrap/>
            <w:hideMark/>
          </w:tcPr>
          <w:p w14:paraId="26DFF2C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45</w:t>
            </w:r>
          </w:p>
        </w:tc>
        <w:tc>
          <w:tcPr>
            <w:tcW w:w="1000" w:type="dxa"/>
            <w:noWrap/>
            <w:hideMark/>
          </w:tcPr>
          <w:p w14:paraId="7870837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4418,08</w:t>
            </w:r>
          </w:p>
        </w:tc>
        <w:tc>
          <w:tcPr>
            <w:tcW w:w="959" w:type="dxa"/>
            <w:noWrap/>
            <w:hideMark/>
          </w:tcPr>
          <w:p w14:paraId="0F6F822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3,67</w:t>
            </w:r>
          </w:p>
        </w:tc>
        <w:tc>
          <w:tcPr>
            <w:tcW w:w="360" w:type="dxa"/>
            <w:noWrap/>
            <w:hideMark/>
          </w:tcPr>
          <w:p w14:paraId="43E02466"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08E132E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56</w:t>
            </w:r>
          </w:p>
        </w:tc>
        <w:tc>
          <w:tcPr>
            <w:tcW w:w="1441" w:type="dxa"/>
            <w:noWrap/>
            <w:hideMark/>
          </w:tcPr>
          <w:p w14:paraId="426B67B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3979,04</w:t>
            </w:r>
          </w:p>
        </w:tc>
        <w:tc>
          <w:tcPr>
            <w:tcW w:w="450" w:type="dxa"/>
            <w:noWrap/>
            <w:hideMark/>
          </w:tcPr>
          <w:p w14:paraId="2D76CB7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42</w:t>
            </w:r>
          </w:p>
        </w:tc>
        <w:tc>
          <w:tcPr>
            <w:tcW w:w="1335" w:type="dxa"/>
            <w:noWrap/>
            <w:hideMark/>
          </w:tcPr>
          <w:p w14:paraId="41689B5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4043,17</w:t>
            </w:r>
          </w:p>
        </w:tc>
        <w:tc>
          <w:tcPr>
            <w:tcW w:w="1279" w:type="dxa"/>
            <w:noWrap/>
            <w:hideMark/>
          </w:tcPr>
          <w:p w14:paraId="651BAC1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64,13</w:t>
            </w:r>
          </w:p>
        </w:tc>
      </w:tr>
      <w:tr w:rsidR="00CF6953" w:rsidRPr="00CF6953" w14:paraId="07DEFA2C" w14:textId="77777777" w:rsidTr="00633512">
        <w:trPr>
          <w:trHeight w:val="300"/>
        </w:trPr>
        <w:tc>
          <w:tcPr>
            <w:tcW w:w="960" w:type="dxa"/>
            <w:noWrap/>
            <w:hideMark/>
          </w:tcPr>
          <w:p w14:paraId="0C18AC6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46</w:t>
            </w:r>
          </w:p>
        </w:tc>
        <w:tc>
          <w:tcPr>
            <w:tcW w:w="1000" w:type="dxa"/>
            <w:noWrap/>
            <w:hideMark/>
          </w:tcPr>
          <w:p w14:paraId="299B8C4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4550,62</w:t>
            </w:r>
          </w:p>
        </w:tc>
        <w:tc>
          <w:tcPr>
            <w:tcW w:w="959" w:type="dxa"/>
            <w:noWrap/>
            <w:hideMark/>
          </w:tcPr>
          <w:p w14:paraId="4F60EF2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3,78</w:t>
            </w:r>
          </w:p>
        </w:tc>
        <w:tc>
          <w:tcPr>
            <w:tcW w:w="360" w:type="dxa"/>
            <w:noWrap/>
            <w:hideMark/>
          </w:tcPr>
          <w:p w14:paraId="54C3C54B"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7574C06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57</w:t>
            </w:r>
          </w:p>
        </w:tc>
        <w:tc>
          <w:tcPr>
            <w:tcW w:w="1441" w:type="dxa"/>
            <w:noWrap/>
            <w:hideMark/>
          </w:tcPr>
          <w:p w14:paraId="1B075BA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4138,22</w:t>
            </w:r>
          </w:p>
        </w:tc>
        <w:tc>
          <w:tcPr>
            <w:tcW w:w="450" w:type="dxa"/>
            <w:noWrap/>
            <w:hideMark/>
          </w:tcPr>
          <w:p w14:paraId="045332B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43</w:t>
            </w:r>
          </w:p>
        </w:tc>
        <w:tc>
          <w:tcPr>
            <w:tcW w:w="1335" w:type="dxa"/>
            <w:noWrap/>
            <w:hideMark/>
          </w:tcPr>
          <w:p w14:paraId="06CC65C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4164,46</w:t>
            </w:r>
          </w:p>
        </w:tc>
        <w:tc>
          <w:tcPr>
            <w:tcW w:w="1279" w:type="dxa"/>
            <w:noWrap/>
            <w:hideMark/>
          </w:tcPr>
          <w:p w14:paraId="6A6A377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26,24</w:t>
            </w:r>
          </w:p>
        </w:tc>
      </w:tr>
      <w:tr w:rsidR="00CF6953" w:rsidRPr="00CF6953" w14:paraId="7C80CDC8" w14:textId="77777777" w:rsidTr="00633512">
        <w:trPr>
          <w:trHeight w:val="300"/>
        </w:trPr>
        <w:tc>
          <w:tcPr>
            <w:tcW w:w="960" w:type="dxa"/>
            <w:noWrap/>
            <w:hideMark/>
          </w:tcPr>
          <w:p w14:paraId="10301BF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47</w:t>
            </w:r>
          </w:p>
        </w:tc>
        <w:tc>
          <w:tcPr>
            <w:tcW w:w="1000" w:type="dxa"/>
            <w:noWrap/>
            <w:hideMark/>
          </w:tcPr>
          <w:p w14:paraId="20AD8C2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4687,14</w:t>
            </w:r>
          </w:p>
        </w:tc>
        <w:tc>
          <w:tcPr>
            <w:tcW w:w="959" w:type="dxa"/>
            <w:noWrap/>
            <w:hideMark/>
          </w:tcPr>
          <w:p w14:paraId="3CE586B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3,90</w:t>
            </w:r>
          </w:p>
        </w:tc>
        <w:tc>
          <w:tcPr>
            <w:tcW w:w="360" w:type="dxa"/>
            <w:noWrap/>
            <w:hideMark/>
          </w:tcPr>
          <w:p w14:paraId="4C6DBAD9"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28A602A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58</w:t>
            </w:r>
          </w:p>
        </w:tc>
        <w:tc>
          <w:tcPr>
            <w:tcW w:w="1441" w:type="dxa"/>
            <w:noWrap/>
            <w:hideMark/>
          </w:tcPr>
          <w:p w14:paraId="03C0A91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4303,74</w:t>
            </w:r>
          </w:p>
        </w:tc>
        <w:tc>
          <w:tcPr>
            <w:tcW w:w="450" w:type="dxa"/>
            <w:noWrap/>
            <w:hideMark/>
          </w:tcPr>
          <w:p w14:paraId="1124C5A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45</w:t>
            </w:r>
          </w:p>
        </w:tc>
        <w:tc>
          <w:tcPr>
            <w:tcW w:w="1335" w:type="dxa"/>
            <w:noWrap/>
            <w:hideMark/>
          </w:tcPr>
          <w:p w14:paraId="4AC07FA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4418,08</w:t>
            </w:r>
          </w:p>
        </w:tc>
        <w:tc>
          <w:tcPr>
            <w:tcW w:w="1279" w:type="dxa"/>
            <w:noWrap/>
            <w:hideMark/>
          </w:tcPr>
          <w:p w14:paraId="55ECE7A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114,34</w:t>
            </w:r>
          </w:p>
        </w:tc>
      </w:tr>
      <w:tr w:rsidR="00CF6953" w:rsidRPr="00CF6953" w14:paraId="363A300D" w14:textId="77777777" w:rsidTr="00633512">
        <w:trPr>
          <w:trHeight w:val="300"/>
        </w:trPr>
        <w:tc>
          <w:tcPr>
            <w:tcW w:w="960" w:type="dxa"/>
            <w:noWrap/>
            <w:hideMark/>
          </w:tcPr>
          <w:p w14:paraId="74636E1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48</w:t>
            </w:r>
          </w:p>
        </w:tc>
        <w:tc>
          <w:tcPr>
            <w:tcW w:w="1000" w:type="dxa"/>
            <w:noWrap/>
            <w:hideMark/>
          </w:tcPr>
          <w:p w14:paraId="25841D2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4827,75</w:t>
            </w:r>
          </w:p>
        </w:tc>
        <w:tc>
          <w:tcPr>
            <w:tcW w:w="959" w:type="dxa"/>
            <w:noWrap/>
            <w:hideMark/>
          </w:tcPr>
          <w:p w14:paraId="585E900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4,01</w:t>
            </w:r>
          </w:p>
        </w:tc>
        <w:tc>
          <w:tcPr>
            <w:tcW w:w="360" w:type="dxa"/>
            <w:noWrap/>
            <w:hideMark/>
          </w:tcPr>
          <w:p w14:paraId="3EC7F485"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17FC70F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59</w:t>
            </w:r>
          </w:p>
        </w:tc>
        <w:tc>
          <w:tcPr>
            <w:tcW w:w="1441" w:type="dxa"/>
            <w:noWrap/>
            <w:hideMark/>
          </w:tcPr>
          <w:p w14:paraId="4A8603E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4475,88</w:t>
            </w:r>
          </w:p>
        </w:tc>
        <w:tc>
          <w:tcPr>
            <w:tcW w:w="450" w:type="dxa"/>
            <w:noWrap/>
            <w:hideMark/>
          </w:tcPr>
          <w:p w14:paraId="1251794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46</w:t>
            </w:r>
          </w:p>
        </w:tc>
        <w:tc>
          <w:tcPr>
            <w:tcW w:w="1335" w:type="dxa"/>
            <w:noWrap/>
            <w:hideMark/>
          </w:tcPr>
          <w:p w14:paraId="5AA6A55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4550,62</w:t>
            </w:r>
          </w:p>
        </w:tc>
        <w:tc>
          <w:tcPr>
            <w:tcW w:w="1279" w:type="dxa"/>
            <w:noWrap/>
            <w:hideMark/>
          </w:tcPr>
          <w:p w14:paraId="46228AF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74,74</w:t>
            </w:r>
          </w:p>
        </w:tc>
      </w:tr>
      <w:tr w:rsidR="00CF6953" w:rsidRPr="00CF6953" w14:paraId="528F66D9" w14:textId="77777777" w:rsidTr="00633512">
        <w:trPr>
          <w:trHeight w:val="300"/>
        </w:trPr>
        <w:tc>
          <w:tcPr>
            <w:tcW w:w="960" w:type="dxa"/>
            <w:noWrap/>
            <w:hideMark/>
          </w:tcPr>
          <w:p w14:paraId="7152220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49</w:t>
            </w:r>
          </w:p>
        </w:tc>
        <w:tc>
          <w:tcPr>
            <w:tcW w:w="1000" w:type="dxa"/>
            <w:noWrap/>
            <w:hideMark/>
          </w:tcPr>
          <w:p w14:paraId="76F09FC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4972,59</w:t>
            </w:r>
          </w:p>
        </w:tc>
        <w:tc>
          <w:tcPr>
            <w:tcW w:w="959" w:type="dxa"/>
            <w:noWrap/>
            <w:hideMark/>
          </w:tcPr>
          <w:p w14:paraId="082DFCA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4,13</w:t>
            </w:r>
          </w:p>
        </w:tc>
        <w:tc>
          <w:tcPr>
            <w:tcW w:w="360" w:type="dxa"/>
            <w:noWrap/>
            <w:hideMark/>
          </w:tcPr>
          <w:p w14:paraId="674202B5"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6A6EBF8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60</w:t>
            </w:r>
          </w:p>
        </w:tc>
        <w:tc>
          <w:tcPr>
            <w:tcW w:w="1441" w:type="dxa"/>
            <w:noWrap/>
            <w:hideMark/>
          </w:tcPr>
          <w:p w14:paraId="35B5AB5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4654,92</w:t>
            </w:r>
          </w:p>
        </w:tc>
        <w:tc>
          <w:tcPr>
            <w:tcW w:w="450" w:type="dxa"/>
            <w:noWrap/>
            <w:hideMark/>
          </w:tcPr>
          <w:p w14:paraId="157A8BD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47</w:t>
            </w:r>
          </w:p>
        </w:tc>
        <w:tc>
          <w:tcPr>
            <w:tcW w:w="1335" w:type="dxa"/>
            <w:noWrap/>
            <w:hideMark/>
          </w:tcPr>
          <w:p w14:paraId="19534DD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4687,14</w:t>
            </w:r>
          </w:p>
        </w:tc>
        <w:tc>
          <w:tcPr>
            <w:tcW w:w="1279" w:type="dxa"/>
            <w:noWrap/>
            <w:hideMark/>
          </w:tcPr>
          <w:p w14:paraId="2BDCD97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32,22</w:t>
            </w:r>
          </w:p>
        </w:tc>
      </w:tr>
      <w:tr w:rsidR="00CF6953" w:rsidRPr="00CF6953" w14:paraId="4971F082" w14:textId="77777777" w:rsidTr="00633512">
        <w:trPr>
          <w:trHeight w:val="300"/>
        </w:trPr>
        <w:tc>
          <w:tcPr>
            <w:tcW w:w="960" w:type="dxa"/>
            <w:noWrap/>
            <w:hideMark/>
          </w:tcPr>
          <w:p w14:paraId="62696AA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50</w:t>
            </w:r>
          </w:p>
        </w:tc>
        <w:tc>
          <w:tcPr>
            <w:tcW w:w="1000" w:type="dxa"/>
            <w:noWrap/>
            <w:hideMark/>
          </w:tcPr>
          <w:p w14:paraId="012D37A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5121,76</w:t>
            </w:r>
          </w:p>
        </w:tc>
        <w:tc>
          <w:tcPr>
            <w:tcW w:w="959" w:type="dxa"/>
            <w:noWrap/>
            <w:hideMark/>
          </w:tcPr>
          <w:p w14:paraId="3EBCB0E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4,26</w:t>
            </w:r>
          </w:p>
        </w:tc>
        <w:tc>
          <w:tcPr>
            <w:tcW w:w="360" w:type="dxa"/>
            <w:noWrap/>
            <w:hideMark/>
          </w:tcPr>
          <w:p w14:paraId="67DA457C"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3BA88F9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61</w:t>
            </w:r>
          </w:p>
        </w:tc>
        <w:tc>
          <w:tcPr>
            <w:tcW w:w="1441" w:type="dxa"/>
            <w:noWrap/>
            <w:hideMark/>
          </w:tcPr>
          <w:p w14:paraId="4C9A9DF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4841,11</w:t>
            </w:r>
          </w:p>
        </w:tc>
        <w:tc>
          <w:tcPr>
            <w:tcW w:w="450" w:type="dxa"/>
            <w:noWrap/>
            <w:hideMark/>
          </w:tcPr>
          <w:p w14:paraId="62AB6A2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49</w:t>
            </w:r>
          </w:p>
        </w:tc>
        <w:tc>
          <w:tcPr>
            <w:tcW w:w="1335" w:type="dxa"/>
            <w:noWrap/>
            <w:hideMark/>
          </w:tcPr>
          <w:p w14:paraId="6513DD9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4972,59</w:t>
            </w:r>
          </w:p>
        </w:tc>
        <w:tc>
          <w:tcPr>
            <w:tcW w:w="1279" w:type="dxa"/>
            <w:noWrap/>
            <w:hideMark/>
          </w:tcPr>
          <w:p w14:paraId="4629B78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131,48</w:t>
            </w:r>
          </w:p>
        </w:tc>
      </w:tr>
      <w:tr w:rsidR="00CF6953" w:rsidRPr="00CF6953" w14:paraId="03C35079" w14:textId="77777777" w:rsidTr="00633512">
        <w:trPr>
          <w:trHeight w:val="300"/>
        </w:trPr>
        <w:tc>
          <w:tcPr>
            <w:tcW w:w="960" w:type="dxa"/>
            <w:noWrap/>
            <w:hideMark/>
          </w:tcPr>
          <w:p w14:paraId="332495D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51</w:t>
            </w:r>
          </w:p>
        </w:tc>
        <w:tc>
          <w:tcPr>
            <w:tcW w:w="1000" w:type="dxa"/>
            <w:noWrap/>
            <w:hideMark/>
          </w:tcPr>
          <w:p w14:paraId="1D9591E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5275,42</w:t>
            </w:r>
          </w:p>
        </w:tc>
        <w:tc>
          <w:tcPr>
            <w:tcW w:w="959" w:type="dxa"/>
            <w:noWrap/>
            <w:hideMark/>
          </w:tcPr>
          <w:p w14:paraId="0E0A3BB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4,38</w:t>
            </w:r>
          </w:p>
        </w:tc>
        <w:tc>
          <w:tcPr>
            <w:tcW w:w="360" w:type="dxa"/>
            <w:noWrap/>
            <w:hideMark/>
          </w:tcPr>
          <w:p w14:paraId="39A24A5A"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220B3B3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62</w:t>
            </w:r>
          </w:p>
        </w:tc>
        <w:tc>
          <w:tcPr>
            <w:tcW w:w="1441" w:type="dxa"/>
            <w:noWrap/>
            <w:hideMark/>
          </w:tcPr>
          <w:p w14:paraId="23EC2CC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5034,77</w:t>
            </w:r>
          </w:p>
        </w:tc>
        <w:tc>
          <w:tcPr>
            <w:tcW w:w="450" w:type="dxa"/>
            <w:noWrap/>
            <w:hideMark/>
          </w:tcPr>
          <w:p w14:paraId="367EF98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50</w:t>
            </w:r>
          </w:p>
        </w:tc>
        <w:tc>
          <w:tcPr>
            <w:tcW w:w="1335" w:type="dxa"/>
            <w:noWrap/>
            <w:hideMark/>
          </w:tcPr>
          <w:p w14:paraId="4036A59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5121,76</w:t>
            </w:r>
          </w:p>
        </w:tc>
        <w:tc>
          <w:tcPr>
            <w:tcW w:w="1279" w:type="dxa"/>
            <w:noWrap/>
            <w:hideMark/>
          </w:tcPr>
          <w:p w14:paraId="0B7ADED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86,99</w:t>
            </w:r>
          </w:p>
        </w:tc>
      </w:tr>
      <w:tr w:rsidR="00CF6953" w:rsidRPr="00CF6953" w14:paraId="0652400C" w14:textId="77777777" w:rsidTr="00633512">
        <w:trPr>
          <w:trHeight w:val="300"/>
        </w:trPr>
        <w:tc>
          <w:tcPr>
            <w:tcW w:w="960" w:type="dxa"/>
            <w:noWrap/>
            <w:hideMark/>
          </w:tcPr>
          <w:p w14:paraId="76F2E32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52</w:t>
            </w:r>
          </w:p>
        </w:tc>
        <w:tc>
          <w:tcPr>
            <w:tcW w:w="1000" w:type="dxa"/>
            <w:noWrap/>
            <w:hideMark/>
          </w:tcPr>
          <w:p w14:paraId="5F0268E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5433,68</w:t>
            </w:r>
          </w:p>
        </w:tc>
        <w:tc>
          <w:tcPr>
            <w:tcW w:w="959" w:type="dxa"/>
            <w:noWrap/>
            <w:hideMark/>
          </w:tcPr>
          <w:p w14:paraId="7A7E3B4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4,52</w:t>
            </w:r>
          </w:p>
        </w:tc>
        <w:tc>
          <w:tcPr>
            <w:tcW w:w="360" w:type="dxa"/>
            <w:noWrap/>
            <w:hideMark/>
          </w:tcPr>
          <w:p w14:paraId="57B608AF"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7D780A6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63</w:t>
            </w:r>
          </w:p>
        </w:tc>
        <w:tc>
          <w:tcPr>
            <w:tcW w:w="1441" w:type="dxa"/>
            <w:noWrap/>
            <w:hideMark/>
          </w:tcPr>
          <w:p w14:paraId="0133C95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5236,15</w:t>
            </w:r>
          </w:p>
        </w:tc>
        <w:tc>
          <w:tcPr>
            <w:tcW w:w="450" w:type="dxa"/>
            <w:noWrap/>
            <w:hideMark/>
          </w:tcPr>
          <w:p w14:paraId="3ABEEF6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51</w:t>
            </w:r>
          </w:p>
        </w:tc>
        <w:tc>
          <w:tcPr>
            <w:tcW w:w="1335" w:type="dxa"/>
            <w:noWrap/>
            <w:hideMark/>
          </w:tcPr>
          <w:p w14:paraId="49F25CF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5275,42</w:t>
            </w:r>
          </w:p>
        </w:tc>
        <w:tc>
          <w:tcPr>
            <w:tcW w:w="1279" w:type="dxa"/>
            <w:noWrap/>
            <w:hideMark/>
          </w:tcPr>
          <w:p w14:paraId="71E5574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39,27</w:t>
            </w:r>
          </w:p>
        </w:tc>
      </w:tr>
      <w:tr w:rsidR="00CF6953" w:rsidRPr="00CF6953" w14:paraId="7F3DD8FC" w14:textId="77777777" w:rsidTr="00633512">
        <w:trPr>
          <w:trHeight w:val="300"/>
        </w:trPr>
        <w:tc>
          <w:tcPr>
            <w:tcW w:w="960" w:type="dxa"/>
            <w:noWrap/>
            <w:hideMark/>
          </w:tcPr>
          <w:p w14:paraId="1C6FCC9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53</w:t>
            </w:r>
          </w:p>
        </w:tc>
        <w:tc>
          <w:tcPr>
            <w:tcW w:w="1000" w:type="dxa"/>
            <w:noWrap/>
            <w:hideMark/>
          </w:tcPr>
          <w:p w14:paraId="0807F06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5596,69</w:t>
            </w:r>
          </w:p>
        </w:tc>
        <w:tc>
          <w:tcPr>
            <w:tcW w:w="959" w:type="dxa"/>
            <w:noWrap/>
            <w:hideMark/>
          </w:tcPr>
          <w:p w14:paraId="339F7B5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4,65</w:t>
            </w:r>
          </w:p>
        </w:tc>
        <w:tc>
          <w:tcPr>
            <w:tcW w:w="360" w:type="dxa"/>
            <w:noWrap/>
            <w:hideMark/>
          </w:tcPr>
          <w:p w14:paraId="084A6D41"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2A4E0B2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64</w:t>
            </w:r>
          </w:p>
        </w:tc>
        <w:tc>
          <w:tcPr>
            <w:tcW w:w="1441" w:type="dxa"/>
            <w:noWrap/>
            <w:hideMark/>
          </w:tcPr>
          <w:p w14:paraId="0F0E243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5445,6</w:t>
            </w:r>
          </w:p>
        </w:tc>
        <w:tc>
          <w:tcPr>
            <w:tcW w:w="450" w:type="dxa"/>
            <w:noWrap/>
            <w:hideMark/>
          </w:tcPr>
          <w:p w14:paraId="2C903E6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53</w:t>
            </w:r>
          </w:p>
        </w:tc>
        <w:tc>
          <w:tcPr>
            <w:tcW w:w="1335" w:type="dxa"/>
            <w:noWrap/>
            <w:hideMark/>
          </w:tcPr>
          <w:p w14:paraId="34B6C8E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5596,69</w:t>
            </w:r>
          </w:p>
        </w:tc>
        <w:tc>
          <w:tcPr>
            <w:tcW w:w="1279" w:type="dxa"/>
            <w:noWrap/>
            <w:hideMark/>
          </w:tcPr>
          <w:p w14:paraId="634593A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151,09</w:t>
            </w:r>
          </w:p>
        </w:tc>
      </w:tr>
      <w:tr w:rsidR="00CF6953" w:rsidRPr="00CF6953" w14:paraId="5686CC98" w14:textId="77777777" w:rsidTr="00633512">
        <w:trPr>
          <w:trHeight w:val="300"/>
        </w:trPr>
        <w:tc>
          <w:tcPr>
            <w:tcW w:w="960" w:type="dxa"/>
            <w:noWrap/>
            <w:hideMark/>
          </w:tcPr>
          <w:p w14:paraId="02BA36A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54</w:t>
            </w:r>
          </w:p>
        </w:tc>
        <w:tc>
          <w:tcPr>
            <w:tcW w:w="1000" w:type="dxa"/>
            <w:noWrap/>
            <w:hideMark/>
          </w:tcPr>
          <w:p w14:paraId="3CCF8F4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5764,59</w:t>
            </w:r>
          </w:p>
        </w:tc>
        <w:tc>
          <w:tcPr>
            <w:tcW w:w="959" w:type="dxa"/>
            <w:noWrap/>
            <w:hideMark/>
          </w:tcPr>
          <w:p w14:paraId="01B8F5F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4,79</w:t>
            </w:r>
          </w:p>
        </w:tc>
        <w:tc>
          <w:tcPr>
            <w:tcW w:w="360" w:type="dxa"/>
            <w:noWrap/>
            <w:hideMark/>
          </w:tcPr>
          <w:p w14:paraId="2FBF9975"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646EE9DB"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65</w:t>
            </w:r>
          </w:p>
        </w:tc>
        <w:tc>
          <w:tcPr>
            <w:tcW w:w="1441" w:type="dxa"/>
            <w:noWrap/>
            <w:hideMark/>
          </w:tcPr>
          <w:p w14:paraId="0E0E6AE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5663,42</w:t>
            </w:r>
          </w:p>
        </w:tc>
        <w:tc>
          <w:tcPr>
            <w:tcW w:w="450" w:type="dxa"/>
            <w:noWrap/>
            <w:hideMark/>
          </w:tcPr>
          <w:p w14:paraId="5A28BCF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54</w:t>
            </w:r>
          </w:p>
        </w:tc>
        <w:tc>
          <w:tcPr>
            <w:tcW w:w="1335" w:type="dxa"/>
            <w:noWrap/>
            <w:hideMark/>
          </w:tcPr>
          <w:p w14:paraId="67E5684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5764,59</w:t>
            </w:r>
          </w:p>
        </w:tc>
        <w:tc>
          <w:tcPr>
            <w:tcW w:w="1279" w:type="dxa"/>
            <w:noWrap/>
            <w:hideMark/>
          </w:tcPr>
          <w:p w14:paraId="66DD655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101,17</w:t>
            </w:r>
          </w:p>
        </w:tc>
      </w:tr>
      <w:tr w:rsidR="00CF6953" w:rsidRPr="00CF6953" w14:paraId="2AC953A4" w14:textId="77777777" w:rsidTr="00633512">
        <w:trPr>
          <w:trHeight w:val="315"/>
        </w:trPr>
        <w:tc>
          <w:tcPr>
            <w:tcW w:w="960" w:type="dxa"/>
            <w:noWrap/>
            <w:hideMark/>
          </w:tcPr>
          <w:p w14:paraId="0C63D05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55</w:t>
            </w:r>
          </w:p>
        </w:tc>
        <w:tc>
          <w:tcPr>
            <w:tcW w:w="1000" w:type="dxa"/>
            <w:noWrap/>
            <w:hideMark/>
          </w:tcPr>
          <w:p w14:paraId="6C3B78E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5937,53</w:t>
            </w:r>
          </w:p>
        </w:tc>
        <w:tc>
          <w:tcPr>
            <w:tcW w:w="959" w:type="dxa"/>
            <w:noWrap/>
            <w:hideMark/>
          </w:tcPr>
          <w:p w14:paraId="40995E8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4,93</w:t>
            </w:r>
          </w:p>
        </w:tc>
        <w:tc>
          <w:tcPr>
            <w:tcW w:w="360" w:type="dxa"/>
            <w:noWrap/>
            <w:hideMark/>
          </w:tcPr>
          <w:p w14:paraId="56CD2927"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17B0A68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66</w:t>
            </w:r>
          </w:p>
        </w:tc>
        <w:tc>
          <w:tcPr>
            <w:tcW w:w="1441" w:type="dxa"/>
            <w:noWrap/>
            <w:hideMark/>
          </w:tcPr>
          <w:p w14:paraId="6EF0FEA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5889,96</w:t>
            </w:r>
          </w:p>
        </w:tc>
        <w:tc>
          <w:tcPr>
            <w:tcW w:w="450" w:type="dxa"/>
            <w:noWrap/>
            <w:hideMark/>
          </w:tcPr>
          <w:p w14:paraId="2E6536D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55</w:t>
            </w:r>
          </w:p>
        </w:tc>
        <w:tc>
          <w:tcPr>
            <w:tcW w:w="1335" w:type="dxa"/>
            <w:noWrap/>
            <w:hideMark/>
          </w:tcPr>
          <w:p w14:paraId="7BF4989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5937,53</w:t>
            </w:r>
          </w:p>
        </w:tc>
        <w:tc>
          <w:tcPr>
            <w:tcW w:w="1279" w:type="dxa"/>
            <w:noWrap/>
            <w:hideMark/>
          </w:tcPr>
          <w:p w14:paraId="718F8AB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47,57</w:t>
            </w:r>
          </w:p>
        </w:tc>
      </w:tr>
      <w:tr w:rsidR="00CF6953" w:rsidRPr="00CF6953" w14:paraId="0674C141" w14:textId="77777777" w:rsidTr="00633512">
        <w:trPr>
          <w:trHeight w:val="300"/>
        </w:trPr>
        <w:tc>
          <w:tcPr>
            <w:tcW w:w="960" w:type="dxa"/>
            <w:noWrap/>
            <w:hideMark/>
          </w:tcPr>
          <w:p w14:paraId="089A873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56</w:t>
            </w:r>
          </w:p>
        </w:tc>
        <w:tc>
          <w:tcPr>
            <w:tcW w:w="1000" w:type="dxa"/>
            <w:noWrap/>
            <w:hideMark/>
          </w:tcPr>
          <w:p w14:paraId="2B42B54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6115,65</w:t>
            </w:r>
          </w:p>
        </w:tc>
        <w:tc>
          <w:tcPr>
            <w:tcW w:w="959" w:type="dxa"/>
            <w:noWrap/>
            <w:hideMark/>
          </w:tcPr>
          <w:p w14:paraId="3932472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5,08</w:t>
            </w:r>
          </w:p>
        </w:tc>
        <w:tc>
          <w:tcPr>
            <w:tcW w:w="360" w:type="dxa"/>
            <w:noWrap/>
            <w:hideMark/>
          </w:tcPr>
          <w:p w14:paraId="58DF9600"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148A761D"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441" w:type="dxa"/>
            <w:noWrap/>
            <w:hideMark/>
          </w:tcPr>
          <w:p w14:paraId="1EE1F088"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450" w:type="dxa"/>
            <w:noWrap/>
            <w:hideMark/>
          </w:tcPr>
          <w:p w14:paraId="5CD55B82"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335" w:type="dxa"/>
            <w:noWrap/>
            <w:hideMark/>
          </w:tcPr>
          <w:p w14:paraId="00247CB9"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279" w:type="dxa"/>
            <w:noWrap/>
            <w:hideMark/>
          </w:tcPr>
          <w:p w14:paraId="12D1674D" w14:textId="77777777" w:rsidR="00CF6953" w:rsidRPr="00CF6953" w:rsidRDefault="00CF6953" w:rsidP="00CF6953">
            <w:pPr>
              <w:spacing w:after="0" w:line="240" w:lineRule="auto"/>
              <w:rPr>
                <w:rFonts w:ascii="Times New Roman" w:eastAsia="Times New Roman" w:hAnsi="Times New Roman"/>
                <w:sz w:val="16"/>
                <w:szCs w:val="16"/>
                <w:lang w:eastAsia="sl-SI"/>
              </w:rPr>
            </w:pPr>
          </w:p>
        </w:tc>
      </w:tr>
      <w:tr w:rsidR="00CF6953" w:rsidRPr="00CF6953" w14:paraId="03FA5D53" w14:textId="77777777" w:rsidTr="00633512">
        <w:trPr>
          <w:trHeight w:val="300"/>
        </w:trPr>
        <w:tc>
          <w:tcPr>
            <w:tcW w:w="960" w:type="dxa"/>
            <w:noWrap/>
            <w:hideMark/>
          </w:tcPr>
          <w:p w14:paraId="4826990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57</w:t>
            </w:r>
          </w:p>
        </w:tc>
        <w:tc>
          <w:tcPr>
            <w:tcW w:w="1000" w:type="dxa"/>
            <w:noWrap/>
            <w:hideMark/>
          </w:tcPr>
          <w:p w14:paraId="0BC8CF2E"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6299,12</w:t>
            </w:r>
          </w:p>
        </w:tc>
        <w:tc>
          <w:tcPr>
            <w:tcW w:w="959" w:type="dxa"/>
            <w:noWrap/>
            <w:hideMark/>
          </w:tcPr>
          <w:p w14:paraId="31C0E18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5,23</w:t>
            </w:r>
          </w:p>
        </w:tc>
        <w:tc>
          <w:tcPr>
            <w:tcW w:w="360" w:type="dxa"/>
            <w:noWrap/>
            <w:hideMark/>
          </w:tcPr>
          <w:p w14:paraId="4F985B92"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22FDC8FB"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441" w:type="dxa"/>
            <w:noWrap/>
            <w:hideMark/>
          </w:tcPr>
          <w:p w14:paraId="7D140FF5"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450" w:type="dxa"/>
            <w:noWrap/>
            <w:hideMark/>
          </w:tcPr>
          <w:p w14:paraId="05B534DA"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335" w:type="dxa"/>
            <w:noWrap/>
            <w:hideMark/>
          </w:tcPr>
          <w:p w14:paraId="13B932A4"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279" w:type="dxa"/>
            <w:noWrap/>
            <w:hideMark/>
          </w:tcPr>
          <w:p w14:paraId="42D86DD5" w14:textId="77777777" w:rsidR="00CF6953" w:rsidRPr="00CF6953" w:rsidRDefault="00CF6953" w:rsidP="00CF6953">
            <w:pPr>
              <w:spacing w:after="0" w:line="240" w:lineRule="auto"/>
              <w:rPr>
                <w:rFonts w:ascii="Times New Roman" w:eastAsia="Times New Roman" w:hAnsi="Times New Roman"/>
                <w:sz w:val="16"/>
                <w:szCs w:val="16"/>
                <w:lang w:eastAsia="sl-SI"/>
              </w:rPr>
            </w:pPr>
          </w:p>
        </w:tc>
      </w:tr>
      <w:tr w:rsidR="00CF6953" w:rsidRPr="00CF6953" w14:paraId="55DF7A6A" w14:textId="77777777" w:rsidTr="00633512">
        <w:trPr>
          <w:trHeight w:val="300"/>
        </w:trPr>
        <w:tc>
          <w:tcPr>
            <w:tcW w:w="960" w:type="dxa"/>
            <w:noWrap/>
            <w:hideMark/>
          </w:tcPr>
          <w:p w14:paraId="36DADD9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58</w:t>
            </w:r>
          </w:p>
        </w:tc>
        <w:tc>
          <w:tcPr>
            <w:tcW w:w="1000" w:type="dxa"/>
            <w:noWrap/>
            <w:hideMark/>
          </w:tcPr>
          <w:p w14:paraId="0572E82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6488,10</w:t>
            </w:r>
          </w:p>
        </w:tc>
        <w:tc>
          <w:tcPr>
            <w:tcW w:w="959" w:type="dxa"/>
            <w:noWrap/>
            <w:hideMark/>
          </w:tcPr>
          <w:p w14:paraId="2441104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5,39</w:t>
            </w:r>
          </w:p>
        </w:tc>
        <w:tc>
          <w:tcPr>
            <w:tcW w:w="360" w:type="dxa"/>
            <w:noWrap/>
            <w:hideMark/>
          </w:tcPr>
          <w:p w14:paraId="6F19A9FC"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469B2BF9"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441" w:type="dxa"/>
            <w:noWrap/>
            <w:hideMark/>
          </w:tcPr>
          <w:p w14:paraId="49F2BA03"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450" w:type="dxa"/>
            <w:noWrap/>
            <w:hideMark/>
          </w:tcPr>
          <w:p w14:paraId="7FD6D4A9"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335" w:type="dxa"/>
            <w:noWrap/>
            <w:hideMark/>
          </w:tcPr>
          <w:p w14:paraId="6FA953D9"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279" w:type="dxa"/>
            <w:noWrap/>
            <w:hideMark/>
          </w:tcPr>
          <w:p w14:paraId="4E02A0CB" w14:textId="77777777" w:rsidR="00CF6953" w:rsidRPr="00CF6953" w:rsidRDefault="00CF6953" w:rsidP="00CF6953">
            <w:pPr>
              <w:spacing w:after="0" w:line="240" w:lineRule="auto"/>
              <w:rPr>
                <w:rFonts w:ascii="Times New Roman" w:eastAsia="Times New Roman" w:hAnsi="Times New Roman"/>
                <w:sz w:val="16"/>
                <w:szCs w:val="16"/>
                <w:lang w:eastAsia="sl-SI"/>
              </w:rPr>
            </w:pPr>
          </w:p>
        </w:tc>
      </w:tr>
      <w:tr w:rsidR="00CF6953" w:rsidRPr="00CF6953" w14:paraId="0A93ABFE" w14:textId="77777777" w:rsidTr="00633512">
        <w:trPr>
          <w:trHeight w:val="300"/>
        </w:trPr>
        <w:tc>
          <w:tcPr>
            <w:tcW w:w="960" w:type="dxa"/>
            <w:noWrap/>
            <w:hideMark/>
          </w:tcPr>
          <w:p w14:paraId="7968193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59</w:t>
            </w:r>
          </w:p>
        </w:tc>
        <w:tc>
          <w:tcPr>
            <w:tcW w:w="1000" w:type="dxa"/>
            <w:noWrap/>
            <w:hideMark/>
          </w:tcPr>
          <w:p w14:paraId="299C0B4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6682,74</w:t>
            </w:r>
          </w:p>
        </w:tc>
        <w:tc>
          <w:tcPr>
            <w:tcW w:w="959" w:type="dxa"/>
            <w:noWrap/>
            <w:hideMark/>
          </w:tcPr>
          <w:p w14:paraId="62687FF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5,55</w:t>
            </w:r>
          </w:p>
        </w:tc>
        <w:tc>
          <w:tcPr>
            <w:tcW w:w="360" w:type="dxa"/>
            <w:noWrap/>
            <w:hideMark/>
          </w:tcPr>
          <w:p w14:paraId="5E02589C"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1B0E3AC1"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441" w:type="dxa"/>
            <w:noWrap/>
            <w:hideMark/>
          </w:tcPr>
          <w:p w14:paraId="0BF0CF0A"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450" w:type="dxa"/>
            <w:noWrap/>
            <w:hideMark/>
          </w:tcPr>
          <w:p w14:paraId="30436CB4"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335" w:type="dxa"/>
            <w:noWrap/>
            <w:hideMark/>
          </w:tcPr>
          <w:p w14:paraId="25AE0677"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279" w:type="dxa"/>
            <w:noWrap/>
            <w:hideMark/>
          </w:tcPr>
          <w:p w14:paraId="203ACB3D" w14:textId="77777777" w:rsidR="00CF6953" w:rsidRPr="00CF6953" w:rsidRDefault="00CF6953" w:rsidP="00CF6953">
            <w:pPr>
              <w:spacing w:after="0" w:line="240" w:lineRule="auto"/>
              <w:rPr>
                <w:rFonts w:ascii="Times New Roman" w:eastAsia="Times New Roman" w:hAnsi="Times New Roman"/>
                <w:sz w:val="16"/>
                <w:szCs w:val="16"/>
                <w:lang w:eastAsia="sl-SI"/>
              </w:rPr>
            </w:pPr>
          </w:p>
        </w:tc>
      </w:tr>
      <w:tr w:rsidR="00CF6953" w:rsidRPr="00CF6953" w14:paraId="602FA398" w14:textId="77777777" w:rsidTr="00633512">
        <w:trPr>
          <w:trHeight w:val="300"/>
        </w:trPr>
        <w:tc>
          <w:tcPr>
            <w:tcW w:w="960" w:type="dxa"/>
            <w:noWrap/>
            <w:hideMark/>
          </w:tcPr>
          <w:p w14:paraId="5E39F80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60</w:t>
            </w:r>
          </w:p>
        </w:tc>
        <w:tc>
          <w:tcPr>
            <w:tcW w:w="1000" w:type="dxa"/>
            <w:noWrap/>
            <w:hideMark/>
          </w:tcPr>
          <w:p w14:paraId="70ED0CB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6883,22</w:t>
            </w:r>
          </w:p>
        </w:tc>
        <w:tc>
          <w:tcPr>
            <w:tcW w:w="959" w:type="dxa"/>
            <w:noWrap/>
            <w:hideMark/>
          </w:tcPr>
          <w:p w14:paraId="510CCE92"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5,72</w:t>
            </w:r>
          </w:p>
        </w:tc>
        <w:tc>
          <w:tcPr>
            <w:tcW w:w="360" w:type="dxa"/>
            <w:noWrap/>
            <w:hideMark/>
          </w:tcPr>
          <w:p w14:paraId="735DA302"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6A437A1C"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441" w:type="dxa"/>
            <w:noWrap/>
            <w:hideMark/>
          </w:tcPr>
          <w:p w14:paraId="39B08413"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450" w:type="dxa"/>
            <w:noWrap/>
            <w:hideMark/>
          </w:tcPr>
          <w:p w14:paraId="43C7A910"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335" w:type="dxa"/>
            <w:noWrap/>
            <w:hideMark/>
          </w:tcPr>
          <w:p w14:paraId="5DADB4AF"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279" w:type="dxa"/>
            <w:noWrap/>
            <w:hideMark/>
          </w:tcPr>
          <w:p w14:paraId="6BF990A9" w14:textId="77777777" w:rsidR="00CF6953" w:rsidRPr="00CF6953" w:rsidRDefault="00CF6953" w:rsidP="00CF6953">
            <w:pPr>
              <w:spacing w:after="0" w:line="240" w:lineRule="auto"/>
              <w:rPr>
                <w:rFonts w:ascii="Times New Roman" w:eastAsia="Times New Roman" w:hAnsi="Times New Roman"/>
                <w:sz w:val="16"/>
                <w:szCs w:val="16"/>
                <w:lang w:eastAsia="sl-SI"/>
              </w:rPr>
            </w:pPr>
          </w:p>
        </w:tc>
      </w:tr>
      <w:tr w:rsidR="00CF6953" w:rsidRPr="00CF6953" w14:paraId="265EFD88" w14:textId="77777777" w:rsidTr="00633512">
        <w:trPr>
          <w:trHeight w:val="300"/>
        </w:trPr>
        <w:tc>
          <w:tcPr>
            <w:tcW w:w="960" w:type="dxa"/>
            <w:noWrap/>
            <w:hideMark/>
          </w:tcPr>
          <w:p w14:paraId="1EA3F65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61</w:t>
            </w:r>
          </w:p>
        </w:tc>
        <w:tc>
          <w:tcPr>
            <w:tcW w:w="1000" w:type="dxa"/>
            <w:noWrap/>
            <w:hideMark/>
          </w:tcPr>
          <w:p w14:paraId="132DD4E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7089,72</w:t>
            </w:r>
          </w:p>
        </w:tc>
        <w:tc>
          <w:tcPr>
            <w:tcW w:w="959" w:type="dxa"/>
            <w:noWrap/>
            <w:hideMark/>
          </w:tcPr>
          <w:p w14:paraId="604C5F7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5,89</w:t>
            </w:r>
          </w:p>
        </w:tc>
        <w:tc>
          <w:tcPr>
            <w:tcW w:w="360" w:type="dxa"/>
            <w:noWrap/>
            <w:hideMark/>
          </w:tcPr>
          <w:p w14:paraId="6CF7BDCF"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77399D04"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441" w:type="dxa"/>
            <w:noWrap/>
            <w:hideMark/>
          </w:tcPr>
          <w:p w14:paraId="7849952A"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450" w:type="dxa"/>
            <w:noWrap/>
            <w:hideMark/>
          </w:tcPr>
          <w:p w14:paraId="39EC700F"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335" w:type="dxa"/>
            <w:noWrap/>
            <w:hideMark/>
          </w:tcPr>
          <w:p w14:paraId="3E93B668"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279" w:type="dxa"/>
            <w:noWrap/>
            <w:hideMark/>
          </w:tcPr>
          <w:p w14:paraId="43C98E25" w14:textId="77777777" w:rsidR="00CF6953" w:rsidRPr="00CF6953" w:rsidRDefault="00CF6953" w:rsidP="00CF6953">
            <w:pPr>
              <w:spacing w:after="0" w:line="240" w:lineRule="auto"/>
              <w:rPr>
                <w:rFonts w:ascii="Times New Roman" w:eastAsia="Times New Roman" w:hAnsi="Times New Roman"/>
                <w:sz w:val="16"/>
                <w:szCs w:val="16"/>
                <w:lang w:eastAsia="sl-SI"/>
              </w:rPr>
            </w:pPr>
          </w:p>
        </w:tc>
      </w:tr>
      <w:tr w:rsidR="00CF6953" w:rsidRPr="00CF6953" w14:paraId="616EF555" w14:textId="77777777" w:rsidTr="00633512">
        <w:trPr>
          <w:trHeight w:val="300"/>
        </w:trPr>
        <w:tc>
          <w:tcPr>
            <w:tcW w:w="960" w:type="dxa"/>
            <w:noWrap/>
            <w:hideMark/>
          </w:tcPr>
          <w:p w14:paraId="253106F3"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62</w:t>
            </w:r>
          </w:p>
        </w:tc>
        <w:tc>
          <w:tcPr>
            <w:tcW w:w="1000" w:type="dxa"/>
            <w:noWrap/>
            <w:hideMark/>
          </w:tcPr>
          <w:p w14:paraId="64E4691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7302,41</w:t>
            </w:r>
          </w:p>
        </w:tc>
        <w:tc>
          <w:tcPr>
            <w:tcW w:w="959" w:type="dxa"/>
            <w:noWrap/>
            <w:hideMark/>
          </w:tcPr>
          <w:p w14:paraId="29A1CA17"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6,07</w:t>
            </w:r>
          </w:p>
        </w:tc>
        <w:tc>
          <w:tcPr>
            <w:tcW w:w="360" w:type="dxa"/>
            <w:noWrap/>
            <w:hideMark/>
          </w:tcPr>
          <w:p w14:paraId="3ED2A98D"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32BF4DDB"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441" w:type="dxa"/>
            <w:noWrap/>
            <w:hideMark/>
          </w:tcPr>
          <w:p w14:paraId="701A96E8"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450" w:type="dxa"/>
            <w:noWrap/>
            <w:hideMark/>
          </w:tcPr>
          <w:p w14:paraId="471C4601"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335" w:type="dxa"/>
            <w:noWrap/>
            <w:hideMark/>
          </w:tcPr>
          <w:p w14:paraId="22B67ACB"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279" w:type="dxa"/>
            <w:noWrap/>
            <w:hideMark/>
          </w:tcPr>
          <w:p w14:paraId="4D917CD6" w14:textId="77777777" w:rsidR="00CF6953" w:rsidRPr="00CF6953" w:rsidRDefault="00CF6953" w:rsidP="00CF6953">
            <w:pPr>
              <w:spacing w:after="0" w:line="240" w:lineRule="auto"/>
              <w:rPr>
                <w:rFonts w:ascii="Times New Roman" w:eastAsia="Times New Roman" w:hAnsi="Times New Roman"/>
                <w:sz w:val="16"/>
                <w:szCs w:val="16"/>
                <w:lang w:eastAsia="sl-SI"/>
              </w:rPr>
            </w:pPr>
          </w:p>
        </w:tc>
      </w:tr>
      <w:tr w:rsidR="00CF6953" w:rsidRPr="00CF6953" w14:paraId="59C424B6" w14:textId="77777777" w:rsidTr="00633512">
        <w:trPr>
          <w:trHeight w:val="300"/>
        </w:trPr>
        <w:tc>
          <w:tcPr>
            <w:tcW w:w="960" w:type="dxa"/>
            <w:noWrap/>
            <w:hideMark/>
          </w:tcPr>
          <w:p w14:paraId="78C6A4AD"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63</w:t>
            </w:r>
          </w:p>
        </w:tc>
        <w:tc>
          <w:tcPr>
            <w:tcW w:w="1000" w:type="dxa"/>
            <w:noWrap/>
            <w:hideMark/>
          </w:tcPr>
          <w:p w14:paraId="77A8892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7521,48</w:t>
            </w:r>
          </w:p>
        </w:tc>
        <w:tc>
          <w:tcPr>
            <w:tcW w:w="959" w:type="dxa"/>
            <w:noWrap/>
            <w:hideMark/>
          </w:tcPr>
          <w:p w14:paraId="17A21381"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6,25</w:t>
            </w:r>
          </w:p>
        </w:tc>
        <w:tc>
          <w:tcPr>
            <w:tcW w:w="360" w:type="dxa"/>
            <w:noWrap/>
            <w:hideMark/>
          </w:tcPr>
          <w:p w14:paraId="3FD30538"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1D7C0884"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441" w:type="dxa"/>
            <w:noWrap/>
            <w:hideMark/>
          </w:tcPr>
          <w:p w14:paraId="3A5F7B42"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450" w:type="dxa"/>
            <w:noWrap/>
            <w:hideMark/>
          </w:tcPr>
          <w:p w14:paraId="7C085B81"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335" w:type="dxa"/>
            <w:noWrap/>
            <w:hideMark/>
          </w:tcPr>
          <w:p w14:paraId="67AB5D78"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279" w:type="dxa"/>
            <w:noWrap/>
            <w:hideMark/>
          </w:tcPr>
          <w:p w14:paraId="342DBD4E" w14:textId="77777777" w:rsidR="00CF6953" w:rsidRPr="00CF6953" w:rsidRDefault="00CF6953" w:rsidP="00CF6953">
            <w:pPr>
              <w:spacing w:after="0" w:line="240" w:lineRule="auto"/>
              <w:rPr>
                <w:rFonts w:ascii="Times New Roman" w:eastAsia="Times New Roman" w:hAnsi="Times New Roman"/>
                <w:sz w:val="16"/>
                <w:szCs w:val="16"/>
                <w:lang w:eastAsia="sl-SI"/>
              </w:rPr>
            </w:pPr>
          </w:p>
        </w:tc>
      </w:tr>
      <w:tr w:rsidR="00CF6953" w:rsidRPr="00CF6953" w14:paraId="6C6C9131" w14:textId="77777777" w:rsidTr="00633512">
        <w:trPr>
          <w:trHeight w:val="300"/>
        </w:trPr>
        <w:tc>
          <w:tcPr>
            <w:tcW w:w="960" w:type="dxa"/>
            <w:noWrap/>
            <w:hideMark/>
          </w:tcPr>
          <w:p w14:paraId="54C14FFA"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64</w:t>
            </w:r>
          </w:p>
        </w:tc>
        <w:tc>
          <w:tcPr>
            <w:tcW w:w="1000" w:type="dxa"/>
            <w:noWrap/>
            <w:hideMark/>
          </w:tcPr>
          <w:p w14:paraId="17261F50"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7747,13</w:t>
            </w:r>
          </w:p>
        </w:tc>
        <w:tc>
          <w:tcPr>
            <w:tcW w:w="959" w:type="dxa"/>
            <w:noWrap/>
            <w:hideMark/>
          </w:tcPr>
          <w:p w14:paraId="2C8BEC5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6,44</w:t>
            </w:r>
          </w:p>
        </w:tc>
        <w:tc>
          <w:tcPr>
            <w:tcW w:w="360" w:type="dxa"/>
            <w:noWrap/>
            <w:hideMark/>
          </w:tcPr>
          <w:p w14:paraId="0EF6D339"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2E11F0B9"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441" w:type="dxa"/>
            <w:noWrap/>
            <w:hideMark/>
          </w:tcPr>
          <w:p w14:paraId="014CB9D6"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450" w:type="dxa"/>
            <w:noWrap/>
            <w:hideMark/>
          </w:tcPr>
          <w:p w14:paraId="7781E4EF"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335" w:type="dxa"/>
            <w:noWrap/>
            <w:hideMark/>
          </w:tcPr>
          <w:p w14:paraId="4D38ACBF"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279" w:type="dxa"/>
            <w:noWrap/>
            <w:hideMark/>
          </w:tcPr>
          <w:p w14:paraId="1247ED70" w14:textId="77777777" w:rsidR="00CF6953" w:rsidRPr="00CF6953" w:rsidRDefault="00CF6953" w:rsidP="00CF6953">
            <w:pPr>
              <w:spacing w:after="0" w:line="240" w:lineRule="auto"/>
              <w:rPr>
                <w:rFonts w:ascii="Times New Roman" w:eastAsia="Times New Roman" w:hAnsi="Times New Roman"/>
                <w:sz w:val="16"/>
                <w:szCs w:val="16"/>
                <w:lang w:eastAsia="sl-SI"/>
              </w:rPr>
            </w:pPr>
          </w:p>
        </w:tc>
      </w:tr>
      <w:tr w:rsidR="00CF6953" w:rsidRPr="00CF6953" w14:paraId="786ECF88" w14:textId="77777777" w:rsidTr="00633512">
        <w:trPr>
          <w:trHeight w:val="300"/>
        </w:trPr>
        <w:tc>
          <w:tcPr>
            <w:tcW w:w="960" w:type="dxa"/>
            <w:noWrap/>
            <w:hideMark/>
          </w:tcPr>
          <w:p w14:paraId="1C0AE4C9"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65</w:t>
            </w:r>
          </w:p>
        </w:tc>
        <w:tc>
          <w:tcPr>
            <w:tcW w:w="1000" w:type="dxa"/>
            <w:noWrap/>
            <w:hideMark/>
          </w:tcPr>
          <w:p w14:paraId="68F7C0B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7979,54</w:t>
            </w:r>
          </w:p>
        </w:tc>
        <w:tc>
          <w:tcPr>
            <w:tcW w:w="959" w:type="dxa"/>
            <w:noWrap/>
            <w:hideMark/>
          </w:tcPr>
          <w:p w14:paraId="03A93A8C"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6,63</w:t>
            </w:r>
          </w:p>
        </w:tc>
        <w:tc>
          <w:tcPr>
            <w:tcW w:w="360" w:type="dxa"/>
            <w:noWrap/>
            <w:hideMark/>
          </w:tcPr>
          <w:p w14:paraId="0E37CF53"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0E195B0D"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441" w:type="dxa"/>
            <w:noWrap/>
            <w:hideMark/>
          </w:tcPr>
          <w:p w14:paraId="7DC6C887"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450" w:type="dxa"/>
            <w:noWrap/>
            <w:hideMark/>
          </w:tcPr>
          <w:p w14:paraId="4E07D5D5"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335" w:type="dxa"/>
            <w:noWrap/>
            <w:hideMark/>
          </w:tcPr>
          <w:p w14:paraId="1DA330B6"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279" w:type="dxa"/>
            <w:noWrap/>
            <w:hideMark/>
          </w:tcPr>
          <w:p w14:paraId="189071EA" w14:textId="77777777" w:rsidR="00CF6953" w:rsidRPr="00CF6953" w:rsidRDefault="00CF6953" w:rsidP="00CF6953">
            <w:pPr>
              <w:spacing w:after="0" w:line="240" w:lineRule="auto"/>
              <w:rPr>
                <w:rFonts w:ascii="Times New Roman" w:eastAsia="Times New Roman" w:hAnsi="Times New Roman"/>
                <w:sz w:val="16"/>
                <w:szCs w:val="16"/>
                <w:lang w:eastAsia="sl-SI"/>
              </w:rPr>
            </w:pPr>
          </w:p>
        </w:tc>
      </w:tr>
      <w:tr w:rsidR="00CF6953" w:rsidRPr="00CF6953" w14:paraId="7D58E088" w14:textId="77777777" w:rsidTr="00633512">
        <w:trPr>
          <w:trHeight w:val="300"/>
        </w:trPr>
        <w:tc>
          <w:tcPr>
            <w:tcW w:w="960" w:type="dxa"/>
            <w:noWrap/>
            <w:hideMark/>
          </w:tcPr>
          <w:p w14:paraId="4E1C971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66</w:t>
            </w:r>
          </w:p>
        </w:tc>
        <w:tc>
          <w:tcPr>
            <w:tcW w:w="1000" w:type="dxa"/>
            <w:noWrap/>
            <w:hideMark/>
          </w:tcPr>
          <w:p w14:paraId="39DCD214"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8218,93</w:t>
            </w:r>
          </w:p>
        </w:tc>
        <w:tc>
          <w:tcPr>
            <w:tcW w:w="959" w:type="dxa"/>
            <w:noWrap/>
            <w:hideMark/>
          </w:tcPr>
          <w:p w14:paraId="67740DBF"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6,83</w:t>
            </w:r>
          </w:p>
        </w:tc>
        <w:tc>
          <w:tcPr>
            <w:tcW w:w="360" w:type="dxa"/>
            <w:noWrap/>
            <w:hideMark/>
          </w:tcPr>
          <w:p w14:paraId="6A405956"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41B0293C"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441" w:type="dxa"/>
            <w:noWrap/>
            <w:hideMark/>
          </w:tcPr>
          <w:p w14:paraId="1E2AB957"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450" w:type="dxa"/>
            <w:noWrap/>
            <w:hideMark/>
          </w:tcPr>
          <w:p w14:paraId="68151093"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335" w:type="dxa"/>
            <w:noWrap/>
            <w:hideMark/>
          </w:tcPr>
          <w:p w14:paraId="0B29CCAB"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279" w:type="dxa"/>
            <w:noWrap/>
            <w:hideMark/>
          </w:tcPr>
          <w:p w14:paraId="5D9D79DC" w14:textId="77777777" w:rsidR="00CF6953" w:rsidRPr="00CF6953" w:rsidRDefault="00CF6953" w:rsidP="00CF6953">
            <w:pPr>
              <w:spacing w:after="0" w:line="240" w:lineRule="auto"/>
              <w:rPr>
                <w:rFonts w:ascii="Times New Roman" w:eastAsia="Times New Roman" w:hAnsi="Times New Roman"/>
                <w:sz w:val="16"/>
                <w:szCs w:val="16"/>
                <w:lang w:eastAsia="sl-SI"/>
              </w:rPr>
            </w:pPr>
          </w:p>
        </w:tc>
      </w:tr>
      <w:tr w:rsidR="00CF6953" w:rsidRPr="00CF6953" w14:paraId="51394F86" w14:textId="77777777" w:rsidTr="00633512">
        <w:trPr>
          <w:trHeight w:val="315"/>
        </w:trPr>
        <w:tc>
          <w:tcPr>
            <w:tcW w:w="960" w:type="dxa"/>
            <w:noWrap/>
            <w:hideMark/>
          </w:tcPr>
          <w:p w14:paraId="55AACC06"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67</w:t>
            </w:r>
          </w:p>
        </w:tc>
        <w:tc>
          <w:tcPr>
            <w:tcW w:w="1000" w:type="dxa"/>
            <w:noWrap/>
            <w:hideMark/>
          </w:tcPr>
          <w:p w14:paraId="1461DD85"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8465,50</w:t>
            </w:r>
          </w:p>
        </w:tc>
        <w:tc>
          <w:tcPr>
            <w:tcW w:w="959" w:type="dxa"/>
            <w:noWrap/>
            <w:hideMark/>
          </w:tcPr>
          <w:p w14:paraId="097BFAE8" w14:textId="77777777" w:rsidR="00CF6953" w:rsidRPr="00CF6953" w:rsidRDefault="00CF6953" w:rsidP="00CF6953">
            <w:pPr>
              <w:spacing w:after="0" w:line="240" w:lineRule="auto"/>
              <w:jc w:val="right"/>
              <w:rPr>
                <w:rFonts w:eastAsia="Times New Roman" w:cs="Calibri"/>
                <w:color w:val="000000"/>
                <w:sz w:val="16"/>
                <w:szCs w:val="16"/>
                <w:lang w:eastAsia="sl-SI"/>
              </w:rPr>
            </w:pPr>
            <w:r w:rsidRPr="00CF6953">
              <w:rPr>
                <w:rFonts w:eastAsia="Times New Roman" w:cs="Calibri"/>
                <w:color w:val="000000"/>
                <w:sz w:val="16"/>
                <w:szCs w:val="16"/>
                <w:lang w:eastAsia="sl-SI"/>
              </w:rPr>
              <w:t>7,03</w:t>
            </w:r>
          </w:p>
        </w:tc>
        <w:tc>
          <w:tcPr>
            <w:tcW w:w="360" w:type="dxa"/>
            <w:noWrap/>
            <w:hideMark/>
          </w:tcPr>
          <w:p w14:paraId="7455439C" w14:textId="77777777" w:rsidR="00CF6953" w:rsidRPr="00CF6953" w:rsidRDefault="00CF6953" w:rsidP="00CF6953">
            <w:pPr>
              <w:spacing w:after="0" w:line="240" w:lineRule="auto"/>
              <w:jc w:val="right"/>
              <w:rPr>
                <w:rFonts w:eastAsia="Times New Roman" w:cs="Calibri"/>
                <w:color w:val="000000"/>
                <w:sz w:val="16"/>
                <w:szCs w:val="16"/>
                <w:lang w:eastAsia="sl-SI"/>
              </w:rPr>
            </w:pPr>
          </w:p>
        </w:tc>
        <w:tc>
          <w:tcPr>
            <w:tcW w:w="1612" w:type="dxa"/>
            <w:noWrap/>
            <w:hideMark/>
          </w:tcPr>
          <w:p w14:paraId="060FB3C2"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441" w:type="dxa"/>
            <w:noWrap/>
            <w:hideMark/>
          </w:tcPr>
          <w:p w14:paraId="236FC529"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450" w:type="dxa"/>
            <w:noWrap/>
            <w:hideMark/>
          </w:tcPr>
          <w:p w14:paraId="11EB8BC4"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335" w:type="dxa"/>
            <w:noWrap/>
            <w:hideMark/>
          </w:tcPr>
          <w:p w14:paraId="145D97D3" w14:textId="77777777" w:rsidR="00CF6953" w:rsidRPr="00CF6953" w:rsidRDefault="00CF6953" w:rsidP="00CF6953">
            <w:pPr>
              <w:spacing w:after="0" w:line="240" w:lineRule="auto"/>
              <w:rPr>
                <w:rFonts w:ascii="Times New Roman" w:eastAsia="Times New Roman" w:hAnsi="Times New Roman"/>
                <w:sz w:val="16"/>
                <w:szCs w:val="16"/>
                <w:lang w:eastAsia="sl-SI"/>
              </w:rPr>
            </w:pPr>
          </w:p>
        </w:tc>
        <w:tc>
          <w:tcPr>
            <w:tcW w:w="1279" w:type="dxa"/>
            <w:noWrap/>
            <w:hideMark/>
          </w:tcPr>
          <w:p w14:paraId="65964747" w14:textId="77777777" w:rsidR="00CF6953" w:rsidRPr="00CF6953" w:rsidRDefault="00CF6953" w:rsidP="00CF6953">
            <w:pPr>
              <w:spacing w:after="0" w:line="240" w:lineRule="auto"/>
              <w:rPr>
                <w:rFonts w:ascii="Times New Roman" w:eastAsia="Times New Roman" w:hAnsi="Times New Roman"/>
                <w:sz w:val="16"/>
                <w:szCs w:val="16"/>
                <w:lang w:eastAsia="sl-SI"/>
              </w:rPr>
            </w:pPr>
          </w:p>
        </w:tc>
      </w:tr>
    </w:tbl>
    <w:p w14:paraId="29577B03" w14:textId="77777777" w:rsidR="00181A56" w:rsidRPr="00CF6953" w:rsidRDefault="00181A56" w:rsidP="0008517E">
      <w:pPr>
        <w:spacing w:after="160" w:line="256" w:lineRule="auto"/>
        <w:jc w:val="both"/>
        <w:rPr>
          <w:rFonts w:ascii="Arial" w:hAnsi="Arial" w:cs="Arial"/>
          <w:b/>
          <w:bCs/>
          <w:sz w:val="16"/>
          <w:szCs w:val="16"/>
        </w:rPr>
      </w:pPr>
    </w:p>
    <w:p w14:paraId="41D2D721" w14:textId="1F984B1D" w:rsidR="00F92208" w:rsidRPr="00CF6953" w:rsidRDefault="00F92208" w:rsidP="0008517E">
      <w:pPr>
        <w:spacing w:after="160" w:line="256" w:lineRule="auto"/>
        <w:jc w:val="both"/>
        <w:rPr>
          <w:rFonts w:ascii="Arial" w:hAnsi="Arial" w:cs="Arial"/>
          <w:b/>
          <w:bCs/>
          <w:sz w:val="16"/>
          <w:szCs w:val="16"/>
        </w:rPr>
      </w:pPr>
      <w:r w:rsidRPr="00CF6953">
        <w:rPr>
          <w:rFonts w:ascii="Arial" w:hAnsi="Arial" w:cs="Arial"/>
          <w:b/>
          <w:bCs/>
          <w:sz w:val="16"/>
          <w:szCs w:val="16"/>
        </w:rPr>
        <w:t>Priloga 2</w:t>
      </w:r>
      <w:r w:rsidR="00D67C66" w:rsidRPr="00CF6953">
        <w:rPr>
          <w:rFonts w:ascii="Arial" w:hAnsi="Arial" w:cs="Arial"/>
          <w:b/>
          <w:bCs/>
          <w:sz w:val="16"/>
          <w:szCs w:val="16"/>
        </w:rPr>
        <w:t>*</w:t>
      </w:r>
    </w:p>
    <w:tbl>
      <w:tblPr>
        <w:tblStyle w:val="Tabelasvetlamrea"/>
        <w:tblW w:w="8495" w:type="dxa"/>
        <w:tblLook w:val="04A0" w:firstRow="1" w:lastRow="0" w:firstColumn="1" w:lastColumn="0" w:noHBand="0" w:noVBand="1"/>
      </w:tblPr>
      <w:tblGrid>
        <w:gridCol w:w="1691"/>
        <w:gridCol w:w="3402"/>
        <w:gridCol w:w="3402"/>
      </w:tblGrid>
      <w:tr w:rsidR="00F92208" w:rsidRPr="00CF6953" w14:paraId="102AA297" w14:textId="77777777" w:rsidTr="00633512">
        <w:trPr>
          <w:trHeight w:val="60"/>
        </w:trPr>
        <w:tc>
          <w:tcPr>
            <w:tcW w:w="1691" w:type="dxa"/>
            <w:hideMark/>
          </w:tcPr>
          <w:p w14:paraId="4BB5D7B2" w14:textId="77777777" w:rsidR="00F92208" w:rsidRPr="00CF6953" w:rsidRDefault="00F92208" w:rsidP="002470F7">
            <w:pPr>
              <w:spacing w:line="240" w:lineRule="auto"/>
              <w:jc w:val="center"/>
              <w:rPr>
                <w:rFonts w:ascii="Arial" w:hAnsi="Arial" w:cs="Arial"/>
                <w:b/>
                <w:bCs/>
                <w:sz w:val="16"/>
                <w:szCs w:val="16"/>
                <w:lang w:eastAsia="sl-SI"/>
              </w:rPr>
            </w:pPr>
            <w:r w:rsidRPr="00CF6953">
              <w:rPr>
                <w:rFonts w:ascii="Arial" w:hAnsi="Arial" w:cs="Arial"/>
                <w:b/>
                <w:bCs/>
                <w:sz w:val="16"/>
                <w:szCs w:val="16"/>
                <w:lang w:eastAsia="sl-SI"/>
              </w:rPr>
              <w:t>Tarifni razred</w:t>
            </w:r>
          </w:p>
        </w:tc>
        <w:tc>
          <w:tcPr>
            <w:tcW w:w="3402" w:type="dxa"/>
          </w:tcPr>
          <w:p w14:paraId="1A20AEEB" w14:textId="77777777" w:rsidR="00F92208" w:rsidRPr="00CF6953" w:rsidRDefault="00F92208" w:rsidP="002470F7">
            <w:pPr>
              <w:spacing w:line="240" w:lineRule="auto"/>
              <w:jc w:val="center"/>
              <w:rPr>
                <w:rFonts w:ascii="Arial" w:hAnsi="Arial" w:cs="Arial"/>
                <w:b/>
                <w:bCs/>
                <w:sz w:val="16"/>
                <w:szCs w:val="16"/>
                <w:lang w:eastAsia="sl-SI"/>
              </w:rPr>
            </w:pPr>
            <w:r w:rsidRPr="00CF6953">
              <w:rPr>
                <w:rFonts w:ascii="Arial" w:hAnsi="Arial" w:cs="Arial"/>
                <w:b/>
                <w:bCs/>
                <w:sz w:val="16"/>
                <w:szCs w:val="16"/>
                <w:lang w:eastAsia="sl-SI"/>
              </w:rPr>
              <w:t>Najnižji izhodiščni plačni razred (brez napredovanj)</w:t>
            </w:r>
          </w:p>
        </w:tc>
        <w:tc>
          <w:tcPr>
            <w:tcW w:w="3402" w:type="dxa"/>
          </w:tcPr>
          <w:p w14:paraId="72E32C62" w14:textId="77777777" w:rsidR="00F92208" w:rsidRPr="00CF6953" w:rsidRDefault="00F92208" w:rsidP="002470F7">
            <w:pPr>
              <w:spacing w:line="240" w:lineRule="auto"/>
              <w:jc w:val="center"/>
              <w:rPr>
                <w:rFonts w:ascii="Arial" w:hAnsi="Arial" w:cs="Arial"/>
                <w:b/>
                <w:bCs/>
                <w:sz w:val="16"/>
                <w:szCs w:val="16"/>
                <w:lang w:eastAsia="sl-SI"/>
              </w:rPr>
            </w:pPr>
            <w:r w:rsidRPr="00CF6953">
              <w:rPr>
                <w:rFonts w:ascii="Arial" w:hAnsi="Arial" w:cs="Arial"/>
                <w:b/>
                <w:bCs/>
                <w:sz w:val="16"/>
                <w:szCs w:val="16"/>
                <w:lang w:eastAsia="sl-SI"/>
              </w:rPr>
              <w:t xml:space="preserve">Najvišji  izhodiščni plačni razred (brez napredovanj) </w:t>
            </w:r>
          </w:p>
        </w:tc>
      </w:tr>
      <w:tr w:rsidR="00F92208" w:rsidRPr="00CF6953" w14:paraId="7FC2F97D" w14:textId="77777777" w:rsidTr="00633512">
        <w:trPr>
          <w:trHeight w:val="60"/>
        </w:trPr>
        <w:tc>
          <w:tcPr>
            <w:tcW w:w="1691" w:type="dxa"/>
            <w:hideMark/>
          </w:tcPr>
          <w:p w14:paraId="4EAC3F6A" w14:textId="77777777"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I</w:t>
            </w:r>
          </w:p>
        </w:tc>
        <w:tc>
          <w:tcPr>
            <w:tcW w:w="3402" w:type="dxa"/>
          </w:tcPr>
          <w:p w14:paraId="4109A711" w14:textId="77777777"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1 (12)</w:t>
            </w:r>
          </w:p>
        </w:tc>
        <w:tc>
          <w:tcPr>
            <w:tcW w:w="3402" w:type="dxa"/>
          </w:tcPr>
          <w:p w14:paraId="2A5AFDAF" w14:textId="77777777"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1(12)</w:t>
            </w:r>
          </w:p>
        </w:tc>
      </w:tr>
      <w:tr w:rsidR="00F92208" w:rsidRPr="00CF6953" w14:paraId="001B819D" w14:textId="77777777" w:rsidTr="00633512">
        <w:trPr>
          <w:trHeight w:val="60"/>
        </w:trPr>
        <w:tc>
          <w:tcPr>
            <w:tcW w:w="1691" w:type="dxa"/>
            <w:hideMark/>
          </w:tcPr>
          <w:p w14:paraId="75EA2538" w14:textId="77777777"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II</w:t>
            </w:r>
          </w:p>
        </w:tc>
        <w:tc>
          <w:tcPr>
            <w:tcW w:w="3402" w:type="dxa"/>
          </w:tcPr>
          <w:p w14:paraId="32A2DC71" w14:textId="77777777"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1(12)</w:t>
            </w:r>
          </w:p>
        </w:tc>
        <w:tc>
          <w:tcPr>
            <w:tcW w:w="3402" w:type="dxa"/>
          </w:tcPr>
          <w:p w14:paraId="2CEFA1B6" w14:textId="3831D7D5" w:rsidR="00F92208" w:rsidRPr="00CF6953" w:rsidRDefault="004D3F19"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3</w:t>
            </w:r>
            <w:r w:rsidR="00F92208" w:rsidRPr="00CF6953">
              <w:rPr>
                <w:rFonts w:ascii="Arial" w:hAnsi="Arial" w:cs="Arial"/>
                <w:sz w:val="16"/>
                <w:szCs w:val="16"/>
                <w:lang w:eastAsia="sl-SI"/>
              </w:rPr>
              <w:t xml:space="preserve">(19) </w:t>
            </w:r>
          </w:p>
        </w:tc>
      </w:tr>
      <w:tr w:rsidR="00F92208" w:rsidRPr="00CF6953" w14:paraId="72FADB47" w14:textId="77777777" w:rsidTr="00633512">
        <w:trPr>
          <w:trHeight w:val="60"/>
        </w:trPr>
        <w:tc>
          <w:tcPr>
            <w:tcW w:w="1691" w:type="dxa"/>
            <w:hideMark/>
          </w:tcPr>
          <w:p w14:paraId="3A4803E1" w14:textId="77777777"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III</w:t>
            </w:r>
          </w:p>
        </w:tc>
        <w:tc>
          <w:tcPr>
            <w:tcW w:w="3402" w:type="dxa"/>
          </w:tcPr>
          <w:p w14:paraId="77C9B025" w14:textId="77777777"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1(12)</w:t>
            </w:r>
          </w:p>
        </w:tc>
        <w:tc>
          <w:tcPr>
            <w:tcW w:w="3402" w:type="dxa"/>
          </w:tcPr>
          <w:p w14:paraId="0F7768C4" w14:textId="74622B47" w:rsidR="00F92208" w:rsidRPr="00CF6953" w:rsidRDefault="004D3F19"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4</w:t>
            </w:r>
            <w:r w:rsidR="00F92208" w:rsidRPr="00CF6953">
              <w:rPr>
                <w:rFonts w:ascii="Arial" w:hAnsi="Arial" w:cs="Arial"/>
                <w:sz w:val="16"/>
                <w:szCs w:val="16"/>
                <w:lang w:eastAsia="sl-SI"/>
              </w:rPr>
              <w:t>(20)</w:t>
            </w:r>
          </w:p>
        </w:tc>
      </w:tr>
      <w:tr w:rsidR="00F92208" w:rsidRPr="00CF6953" w14:paraId="7B70677C" w14:textId="77777777" w:rsidTr="00633512">
        <w:trPr>
          <w:trHeight w:val="60"/>
        </w:trPr>
        <w:tc>
          <w:tcPr>
            <w:tcW w:w="1691" w:type="dxa"/>
            <w:hideMark/>
          </w:tcPr>
          <w:p w14:paraId="1CBB15DA" w14:textId="77777777"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IV</w:t>
            </w:r>
          </w:p>
        </w:tc>
        <w:tc>
          <w:tcPr>
            <w:tcW w:w="3402" w:type="dxa"/>
          </w:tcPr>
          <w:p w14:paraId="504204C4" w14:textId="77777777"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2(15)</w:t>
            </w:r>
          </w:p>
        </w:tc>
        <w:tc>
          <w:tcPr>
            <w:tcW w:w="3402" w:type="dxa"/>
          </w:tcPr>
          <w:p w14:paraId="0FBDB25E" w14:textId="2CB201E2" w:rsidR="00F92208" w:rsidRPr="00CF6953" w:rsidRDefault="004D3F19"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9</w:t>
            </w:r>
            <w:r w:rsidR="00F92208" w:rsidRPr="00CF6953">
              <w:rPr>
                <w:rFonts w:ascii="Arial" w:hAnsi="Arial" w:cs="Arial"/>
                <w:sz w:val="16"/>
                <w:szCs w:val="16"/>
                <w:lang w:eastAsia="sl-SI"/>
              </w:rPr>
              <w:t>(27)</w:t>
            </w:r>
          </w:p>
        </w:tc>
      </w:tr>
      <w:tr w:rsidR="00F92208" w:rsidRPr="00CF6953" w14:paraId="37DFCA8C" w14:textId="77777777" w:rsidTr="00633512">
        <w:trPr>
          <w:trHeight w:val="60"/>
        </w:trPr>
        <w:tc>
          <w:tcPr>
            <w:tcW w:w="1691" w:type="dxa"/>
            <w:hideMark/>
          </w:tcPr>
          <w:p w14:paraId="223EE7C0" w14:textId="77777777"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V</w:t>
            </w:r>
          </w:p>
        </w:tc>
        <w:tc>
          <w:tcPr>
            <w:tcW w:w="3402" w:type="dxa"/>
          </w:tcPr>
          <w:p w14:paraId="624D7336" w14:textId="1C4CE198" w:rsidR="00F92208" w:rsidRPr="00CF6953" w:rsidRDefault="00CF6953"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2</w:t>
            </w:r>
            <w:r w:rsidR="00F92208" w:rsidRPr="00CF6953">
              <w:rPr>
                <w:rFonts w:ascii="Arial" w:hAnsi="Arial" w:cs="Arial"/>
                <w:sz w:val="16"/>
                <w:szCs w:val="16"/>
                <w:lang w:eastAsia="sl-SI"/>
              </w:rPr>
              <w:t>(17)</w:t>
            </w:r>
          </w:p>
        </w:tc>
        <w:tc>
          <w:tcPr>
            <w:tcW w:w="3402" w:type="dxa"/>
          </w:tcPr>
          <w:p w14:paraId="5049BCE0" w14:textId="567E6B0E" w:rsidR="00F92208" w:rsidRPr="00CF6953" w:rsidRDefault="00CF6953"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14</w:t>
            </w:r>
            <w:r w:rsidR="00F92208" w:rsidRPr="00CF6953">
              <w:rPr>
                <w:rFonts w:ascii="Arial" w:hAnsi="Arial" w:cs="Arial"/>
                <w:sz w:val="16"/>
                <w:szCs w:val="16"/>
                <w:lang w:eastAsia="sl-SI"/>
              </w:rPr>
              <w:t>(32)</w:t>
            </w:r>
          </w:p>
        </w:tc>
      </w:tr>
      <w:tr w:rsidR="00F92208" w:rsidRPr="00CF6953" w14:paraId="192910CE" w14:textId="77777777" w:rsidTr="00633512">
        <w:trPr>
          <w:trHeight w:val="60"/>
        </w:trPr>
        <w:tc>
          <w:tcPr>
            <w:tcW w:w="1691" w:type="dxa"/>
            <w:hideMark/>
          </w:tcPr>
          <w:p w14:paraId="1F6A294A" w14:textId="77777777"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VI</w:t>
            </w:r>
          </w:p>
        </w:tc>
        <w:tc>
          <w:tcPr>
            <w:tcW w:w="3402" w:type="dxa"/>
          </w:tcPr>
          <w:p w14:paraId="46BEB9D9" w14:textId="39DF8D60" w:rsidR="00F92208" w:rsidRPr="00CF6953" w:rsidRDefault="00CF6953"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5</w:t>
            </w:r>
            <w:r w:rsidR="00F92208" w:rsidRPr="00CF6953">
              <w:rPr>
                <w:rFonts w:ascii="Arial" w:hAnsi="Arial" w:cs="Arial"/>
                <w:sz w:val="16"/>
                <w:szCs w:val="16"/>
                <w:lang w:eastAsia="sl-SI"/>
              </w:rPr>
              <w:t>(23)</w:t>
            </w:r>
          </w:p>
        </w:tc>
        <w:tc>
          <w:tcPr>
            <w:tcW w:w="3402" w:type="dxa"/>
          </w:tcPr>
          <w:p w14:paraId="1DEC9BFE" w14:textId="3E35EB16" w:rsidR="00F92208" w:rsidRPr="00CF6953" w:rsidRDefault="00CF6953"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18</w:t>
            </w:r>
            <w:r w:rsidR="00F92208" w:rsidRPr="00CF6953">
              <w:rPr>
                <w:rFonts w:ascii="Arial" w:hAnsi="Arial" w:cs="Arial"/>
                <w:sz w:val="16"/>
                <w:szCs w:val="16"/>
                <w:lang w:eastAsia="sl-SI"/>
              </w:rPr>
              <w:t>(36</w:t>
            </w:r>
            <w:r w:rsidR="001B0093" w:rsidRPr="00CF6953">
              <w:rPr>
                <w:rFonts w:ascii="Arial" w:hAnsi="Arial" w:cs="Arial"/>
                <w:sz w:val="16"/>
                <w:szCs w:val="16"/>
                <w:lang w:eastAsia="sl-SI"/>
              </w:rPr>
              <w:t>)</w:t>
            </w:r>
          </w:p>
        </w:tc>
      </w:tr>
      <w:tr w:rsidR="00F92208" w:rsidRPr="00CF6953" w14:paraId="3D11FE01" w14:textId="77777777" w:rsidTr="00633512">
        <w:trPr>
          <w:trHeight w:val="60"/>
        </w:trPr>
        <w:tc>
          <w:tcPr>
            <w:tcW w:w="1691" w:type="dxa"/>
            <w:hideMark/>
          </w:tcPr>
          <w:p w14:paraId="577664C9" w14:textId="77777777"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VII/1</w:t>
            </w:r>
          </w:p>
        </w:tc>
        <w:tc>
          <w:tcPr>
            <w:tcW w:w="3402" w:type="dxa"/>
          </w:tcPr>
          <w:p w14:paraId="74054477" w14:textId="309A0E6B" w:rsidR="00F92208" w:rsidRPr="00CF6953" w:rsidRDefault="00CF6953"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10</w:t>
            </w:r>
            <w:r w:rsidR="00F92208" w:rsidRPr="00CF6953">
              <w:rPr>
                <w:rFonts w:ascii="Arial" w:hAnsi="Arial" w:cs="Arial"/>
                <w:sz w:val="16"/>
                <w:szCs w:val="16"/>
                <w:lang w:eastAsia="sl-SI"/>
              </w:rPr>
              <w:t>(28)</w:t>
            </w:r>
          </w:p>
        </w:tc>
        <w:tc>
          <w:tcPr>
            <w:tcW w:w="3402" w:type="dxa"/>
          </w:tcPr>
          <w:p w14:paraId="09207415" w14:textId="6042F2CD" w:rsidR="00F92208" w:rsidRPr="00CF6953" w:rsidRDefault="00CF6953"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29</w:t>
            </w:r>
            <w:r w:rsidR="00F92208" w:rsidRPr="00CF6953">
              <w:rPr>
                <w:rFonts w:ascii="Arial" w:hAnsi="Arial" w:cs="Arial"/>
                <w:sz w:val="16"/>
                <w:szCs w:val="16"/>
                <w:lang w:eastAsia="sl-SI"/>
              </w:rPr>
              <w:t>(46)</w:t>
            </w:r>
          </w:p>
        </w:tc>
      </w:tr>
      <w:tr w:rsidR="00F92208" w:rsidRPr="00CF6953" w14:paraId="4146C70A" w14:textId="77777777" w:rsidTr="00633512">
        <w:trPr>
          <w:trHeight w:val="60"/>
        </w:trPr>
        <w:tc>
          <w:tcPr>
            <w:tcW w:w="1691" w:type="dxa"/>
            <w:hideMark/>
          </w:tcPr>
          <w:p w14:paraId="764A44ED" w14:textId="77777777"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VII/2</w:t>
            </w:r>
          </w:p>
        </w:tc>
        <w:tc>
          <w:tcPr>
            <w:tcW w:w="3402" w:type="dxa"/>
          </w:tcPr>
          <w:p w14:paraId="1A432CC3" w14:textId="6F7EBE52" w:rsidR="00F92208" w:rsidRPr="00CF6953" w:rsidRDefault="00CF6953"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14</w:t>
            </w:r>
            <w:r w:rsidR="00F92208" w:rsidRPr="00CF6953">
              <w:rPr>
                <w:rFonts w:ascii="Arial" w:hAnsi="Arial" w:cs="Arial"/>
                <w:sz w:val="16"/>
                <w:szCs w:val="16"/>
                <w:lang w:eastAsia="sl-SI"/>
              </w:rPr>
              <w:t>(32)</w:t>
            </w:r>
          </w:p>
        </w:tc>
        <w:tc>
          <w:tcPr>
            <w:tcW w:w="3402" w:type="dxa"/>
          </w:tcPr>
          <w:p w14:paraId="1E1907A3" w14:textId="3AF50D6F" w:rsidR="00F92208" w:rsidRPr="00CF6953" w:rsidRDefault="00CF6953"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38</w:t>
            </w:r>
            <w:r w:rsidR="00F92208" w:rsidRPr="00CF6953">
              <w:rPr>
                <w:rFonts w:ascii="Arial" w:hAnsi="Arial" w:cs="Arial"/>
                <w:sz w:val="16"/>
                <w:szCs w:val="16"/>
                <w:lang w:eastAsia="sl-SI"/>
              </w:rPr>
              <w:t xml:space="preserve">(53) </w:t>
            </w:r>
          </w:p>
        </w:tc>
      </w:tr>
      <w:tr w:rsidR="00F92208" w:rsidRPr="00CF6953" w14:paraId="340DC2E3" w14:textId="77777777" w:rsidTr="00633512">
        <w:trPr>
          <w:trHeight w:val="60"/>
        </w:trPr>
        <w:tc>
          <w:tcPr>
            <w:tcW w:w="1691" w:type="dxa"/>
            <w:hideMark/>
          </w:tcPr>
          <w:p w14:paraId="534EA7C5" w14:textId="77777777"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VIII</w:t>
            </w:r>
          </w:p>
        </w:tc>
        <w:tc>
          <w:tcPr>
            <w:tcW w:w="3402" w:type="dxa"/>
          </w:tcPr>
          <w:p w14:paraId="0B8701F1" w14:textId="2F64C7A2" w:rsidR="00F92208" w:rsidRPr="00CF6953" w:rsidRDefault="00CF6953"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18</w:t>
            </w:r>
            <w:r w:rsidR="00F92208" w:rsidRPr="00CF6953">
              <w:rPr>
                <w:rFonts w:ascii="Arial" w:hAnsi="Arial" w:cs="Arial"/>
                <w:sz w:val="16"/>
                <w:szCs w:val="16"/>
                <w:lang w:eastAsia="sl-SI"/>
              </w:rPr>
              <w:t>(36)</w:t>
            </w:r>
          </w:p>
        </w:tc>
        <w:tc>
          <w:tcPr>
            <w:tcW w:w="3402" w:type="dxa"/>
          </w:tcPr>
          <w:p w14:paraId="55623811" w14:textId="0FB73F41"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4</w:t>
            </w:r>
            <w:r w:rsidR="00CF6953" w:rsidRPr="00CF6953">
              <w:rPr>
                <w:rFonts w:ascii="Arial" w:hAnsi="Arial" w:cs="Arial"/>
                <w:sz w:val="16"/>
                <w:szCs w:val="16"/>
                <w:lang w:eastAsia="sl-SI"/>
              </w:rPr>
              <w:t>3</w:t>
            </w:r>
            <w:r w:rsidRPr="00CF6953">
              <w:rPr>
                <w:rFonts w:ascii="Arial" w:hAnsi="Arial" w:cs="Arial"/>
                <w:sz w:val="16"/>
                <w:szCs w:val="16"/>
                <w:lang w:eastAsia="sl-SI"/>
              </w:rPr>
              <w:t>(57)</w:t>
            </w:r>
          </w:p>
        </w:tc>
      </w:tr>
      <w:tr w:rsidR="00F92208" w:rsidRPr="00CF6953" w14:paraId="7856BAF2" w14:textId="77777777" w:rsidTr="00633512">
        <w:trPr>
          <w:trHeight w:val="60"/>
        </w:trPr>
        <w:tc>
          <w:tcPr>
            <w:tcW w:w="1691" w:type="dxa"/>
            <w:hideMark/>
          </w:tcPr>
          <w:p w14:paraId="0EFA48B9" w14:textId="77777777"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IX</w:t>
            </w:r>
          </w:p>
        </w:tc>
        <w:tc>
          <w:tcPr>
            <w:tcW w:w="3402" w:type="dxa"/>
          </w:tcPr>
          <w:p w14:paraId="32C494E9" w14:textId="67979114"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2</w:t>
            </w:r>
            <w:r w:rsidR="00CF6953" w:rsidRPr="00CF6953">
              <w:rPr>
                <w:rFonts w:ascii="Arial" w:hAnsi="Arial" w:cs="Arial"/>
                <w:sz w:val="16"/>
                <w:szCs w:val="16"/>
                <w:lang w:eastAsia="sl-SI"/>
              </w:rPr>
              <w:t>2</w:t>
            </w:r>
            <w:r w:rsidRPr="00CF6953">
              <w:rPr>
                <w:rFonts w:ascii="Arial" w:hAnsi="Arial" w:cs="Arial"/>
                <w:sz w:val="16"/>
                <w:szCs w:val="16"/>
                <w:lang w:eastAsia="sl-SI"/>
              </w:rPr>
              <w:t>(40)</w:t>
            </w:r>
          </w:p>
        </w:tc>
        <w:tc>
          <w:tcPr>
            <w:tcW w:w="3402" w:type="dxa"/>
          </w:tcPr>
          <w:p w14:paraId="3A916EDC" w14:textId="3801E9DB" w:rsidR="00F92208" w:rsidRPr="00CF6953" w:rsidRDefault="00F92208" w:rsidP="002470F7">
            <w:pPr>
              <w:spacing w:line="240" w:lineRule="auto"/>
              <w:jc w:val="center"/>
              <w:rPr>
                <w:rFonts w:ascii="Arial" w:hAnsi="Arial" w:cs="Arial"/>
                <w:sz w:val="16"/>
                <w:szCs w:val="16"/>
                <w:lang w:eastAsia="sl-SI"/>
              </w:rPr>
            </w:pPr>
            <w:r w:rsidRPr="00CF6953">
              <w:rPr>
                <w:rFonts w:ascii="Arial" w:hAnsi="Arial" w:cs="Arial"/>
                <w:sz w:val="16"/>
                <w:szCs w:val="16"/>
                <w:lang w:eastAsia="sl-SI"/>
              </w:rPr>
              <w:t>4</w:t>
            </w:r>
            <w:r w:rsidR="00CF6953" w:rsidRPr="00CF6953">
              <w:rPr>
                <w:rFonts w:ascii="Arial" w:hAnsi="Arial" w:cs="Arial"/>
                <w:sz w:val="16"/>
                <w:szCs w:val="16"/>
                <w:lang w:eastAsia="sl-SI"/>
              </w:rPr>
              <w:t>2</w:t>
            </w:r>
            <w:r w:rsidRPr="00CF6953">
              <w:rPr>
                <w:rFonts w:ascii="Arial" w:hAnsi="Arial" w:cs="Arial"/>
                <w:sz w:val="16"/>
                <w:szCs w:val="16"/>
                <w:lang w:eastAsia="sl-SI"/>
              </w:rPr>
              <w:t>(5</w:t>
            </w:r>
            <w:r w:rsidR="00D67C66" w:rsidRPr="00CF6953">
              <w:rPr>
                <w:rFonts w:ascii="Arial" w:hAnsi="Arial" w:cs="Arial"/>
                <w:sz w:val="16"/>
                <w:szCs w:val="16"/>
                <w:lang w:eastAsia="sl-SI"/>
              </w:rPr>
              <w:t>6</w:t>
            </w:r>
            <w:r w:rsidRPr="00CF6953">
              <w:rPr>
                <w:rFonts w:ascii="Arial" w:hAnsi="Arial" w:cs="Arial"/>
                <w:sz w:val="16"/>
                <w:szCs w:val="16"/>
                <w:lang w:eastAsia="sl-SI"/>
              </w:rPr>
              <w:t>)</w:t>
            </w:r>
          </w:p>
        </w:tc>
      </w:tr>
    </w:tbl>
    <w:p w14:paraId="228B0E71" w14:textId="0DB4A41A" w:rsidR="00F92208" w:rsidRPr="00CF6953" w:rsidRDefault="00D67C66" w:rsidP="0008517E">
      <w:pPr>
        <w:spacing w:after="160" w:line="256" w:lineRule="auto"/>
        <w:jc w:val="both"/>
        <w:rPr>
          <w:rFonts w:ascii="Arial" w:hAnsi="Arial" w:cs="Arial"/>
          <w:b/>
          <w:bCs/>
          <w:sz w:val="16"/>
          <w:szCs w:val="16"/>
        </w:rPr>
      </w:pPr>
      <w:r w:rsidRPr="00CF6953">
        <w:rPr>
          <w:rFonts w:ascii="Arial" w:hAnsi="Arial" w:cs="Arial"/>
          <w:b/>
          <w:bCs/>
          <w:sz w:val="16"/>
          <w:szCs w:val="16"/>
        </w:rPr>
        <w:t>*</w:t>
      </w:r>
      <w:r w:rsidR="00CF6953" w:rsidRPr="00CF6953">
        <w:rPr>
          <w:rFonts w:ascii="Arial" w:hAnsi="Arial" w:cs="Arial"/>
          <w:b/>
          <w:bCs/>
          <w:sz w:val="16"/>
          <w:szCs w:val="16"/>
        </w:rPr>
        <w:t xml:space="preserve">Priloga 2 je prikaza kot primer in še ne predstavlja uradnega predloga za razpone tarifnih razredov. </w:t>
      </w:r>
      <w:r w:rsidRPr="00CF6953">
        <w:rPr>
          <w:rFonts w:ascii="Arial" w:hAnsi="Arial" w:cs="Arial"/>
          <w:sz w:val="16"/>
          <w:szCs w:val="16"/>
        </w:rPr>
        <w:t>Najnižji in najvišji izhodišči plačni razred izhajata iz trenutno veljavnih aktov o uvrščanju delovnih mest</w:t>
      </w:r>
      <w:r w:rsidR="00C97185" w:rsidRPr="00CF6953">
        <w:rPr>
          <w:rFonts w:ascii="Arial" w:hAnsi="Arial" w:cs="Arial"/>
          <w:sz w:val="16"/>
          <w:szCs w:val="16"/>
        </w:rPr>
        <w:t xml:space="preserve"> in</w:t>
      </w:r>
      <w:r w:rsidRPr="00CF6953">
        <w:rPr>
          <w:rFonts w:ascii="Arial" w:hAnsi="Arial" w:cs="Arial"/>
          <w:sz w:val="16"/>
          <w:szCs w:val="16"/>
        </w:rPr>
        <w:t xml:space="preserve"> nazivov v plačne razrede in njihove prevedbe v plačne razrede nove plačne lestvice</w:t>
      </w:r>
      <w:r w:rsidR="00CF6953" w:rsidRPr="00CF6953">
        <w:rPr>
          <w:rFonts w:ascii="Arial" w:hAnsi="Arial" w:cs="Arial"/>
          <w:sz w:val="16"/>
          <w:szCs w:val="16"/>
        </w:rPr>
        <w:t>.</w:t>
      </w:r>
      <w:r w:rsidR="00064FF9" w:rsidRPr="00CF6953">
        <w:rPr>
          <w:rFonts w:ascii="Arial" w:hAnsi="Arial" w:cs="Arial"/>
          <w:sz w:val="16"/>
          <w:szCs w:val="16"/>
        </w:rPr>
        <w:t xml:space="preserve"> </w:t>
      </w:r>
    </w:p>
    <w:p w14:paraId="5198A00D" w14:textId="674106A2" w:rsidR="00A004BA" w:rsidRPr="00CF6953" w:rsidRDefault="00A004BA" w:rsidP="0008517E">
      <w:pPr>
        <w:spacing w:after="160" w:line="256" w:lineRule="auto"/>
        <w:jc w:val="both"/>
        <w:rPr>
          <w:rFonts w:ascii="Arial" w:hAnsi="Arial" w:cs="Arial"/>
          <w:b/>
          <w:bCs/>
          <w:sz w:val="16"/>
          <w:szCs w:val="16"/>
        </w:rPr>
      </w:pPr>
    </w:p>
    <w:sectPr w:rsidR="00A004BA" w:rsidRPr="00CF6953" w:rsidSect="003F2C29">
      <w:footerReference w:type="default" r:id="rId31"/>
      <w:pgSz w:w="11906" w:h="16838"/>
      <w:pgMar w:top="719"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AA6A5" w14:textId="77777777" w:rsidR="00264E95" w:rsidRDefault="00264E95">
      <w:pPr>
        <w:spacing w:after="0" w:line="240" w:lineRule="auto"/>
      </w:pPr>
      <w:r>
        <w:separator/>
      </w:r>
    </w:p>
  </w:endnote>
  <w:endnote w:type="continuationSeparator" w:id="0">
    <w:p w14:paraId="7CEF0D7D" w14:textId="77777777" w:rsidR="00264E95" w:rsidRDefault="0026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154713"/>
      <w:docPartObj>
        <w:docPartGallery w:val="Page Numbers (Bottom of Page)"/>
        <w:docPartUnique/>
      </w:docPartObj>
    </w:sdtPr>
    <w:sdtEndPr/>
    <w:sdtContent>
      <w:p w14:paraId="16EA3F2F" w14:textId="4FB6C6F8" w:rsidR="00B20E61" w:rsidRDefault="00B20E61">
        <w:pPr>
          <w:pStyle w:val="Noga"/>
          <w:jc w:val="right"/>
        </w:pPr>
        <w:r>
          <w:fldChar w:fldCharType="begin"/>
        </w:r>
        <w:r>
          <w:instrText>PAGE   \* MERGEFORMAT</w:instrText>
        </w:r>
        <w:r>
          <w:fldChar w:fldCharType="separate"/>
        </w:r>
        <w:r>
          <w:t>2</w:t>
        </w:r>
        <w:r>
          <w:fldChar w:fldCharType="end"/>
        </w:r>
      </w:p>
    </w:sdtContent>
  </w:sdt>
  <w:p w14:paraId="7B102A78" w14:textId="77777777" w:rsidR="00B20E61" w:rsidRDefault="00B20E6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3479" w14:textId="77777777" w:rsidR="00264E95" w:rsidRDefault="00264E95">
      <w:pPr>
        <w:spacing w:after="0" w:line="240" w:lineRule="auto"/>
      </w:pPr>
      <w:r>
        <w:separator/>
      </w:r>
    </w:p>
  </w:footnote>
  <w:footnote w:type="continuationSeparator" w:id="0">
    <w:p w14:paraId="0056976A" w14:textId="77777777" w:rsidR="00264E95" w:rsidRDefault="00264E95">
      <w:pPr>
        <w:spacing w:after="0" w:line="240" w:lineRule="auto"/>
      </w:pPr>
      <w:r>
        <w:continuationSeparator/>
      </w:r>
    </w:p>
  </w:footnote>
  <w:footnote w:id="1">
    <w:p w14:paraId="142CA806" w14:textId="77777777" w:rsidR="000242EF" w:rsidRPr="000242EF" w:rsidRDefault="000242EF" w:rsidP="000242EF">
      <w:pPr>
        <w:jc w:val="both"/>
        <w:rPr>
          <w:rFonts w:ascii="Arial" w:hAnsi="Arial" w:cs="Arial"/>
          <w:sz w:val="16"/>
          <w:szCs w:val="16"/>
        </w:rPr>
      </w:pPr>
      <w:r>
        <w:rPr>
          <w:rStyle w:val="Sprotnaopomba-sklic"/>
        </w:rPr>
        <w:footnoteRef/>
      </w:r>
      <w:r>
        <w:t xml:space="preserve"> </w:t>
      </w:r>
      <w:r w:rsidRPr="000242EF">
        <w:rPr>
          <w:rFonts w:ascii="Arial" w:hAnsi="Arial" w:cs="Arial"/>
          <w:sz w:val="16"/>
          <w:szCs w:val="16"/>
        </w:rPr>
        <w:t>Plače v javnem sektorju: komentar Zakona o sistemu plač v javnem sektorju; Lidija Apohal Vučković…et al.; Ljubljana : Tax-Fin-Lex; v Mariboru : Pravna fakulteta, 2022).</w:t>
      </w:r>
    </w:p>
    <w:p w14:paraId="76CD5087" w14:textId="10369CB7" w:rsidR="000242EF" w:rsidRDefault="000242EF">
      <w:pPr>
        <w:pStyle w:val="Sprotnaopomba-besedilo"/>
      </w:pPr>
    </w:p>
  </w:footnote>
  <w:footnote w:id="2">
    <w:p w14:paraId="49C28B8C" w14:textId="33D5D09F" w:rsidR="00F07ADA" w:rsidRDefault="00F07ADA" w:rsidP="008062E3">
      <w:pPr>
        <w:pStyle w:val="Sprotnaopomba-besedilo"/>
        <w:jc w:val="both"/>
      </w:pPr>
      <w:r>
        <w:rPr>
          <w:rStyle w:val="Sprotnaopomba-sklic"/>
        </w:rPr>
        <w:footnoteRef/>
      </w:r>
      <w:r>
        <w:t xml:space="preserve"> Dodatek za stalnost ni materija plačnega sistema javnega sektorja, ZSPJS je v prehodnih določbah zgolj določil, da se izplačuje v isti višini, kot dodatek za delovno dobo (0,33 </w:t>
      </w:r>
      <w:r w:rsidR="00B560C2">
        <w:t>odstotka</w:t>
      </w:r>
      <w:r>
        <w:t xml:space="preserve"> osnovne plače). Pravna podlaga za izplačevanje tega dodatka je zagotovljena v področni zakonodaji, ki ureja področje obrambe, notranje varnosti, zaščite in reševanja, kazenskih sankcij, preiskovanja finančnih deliktov ipd. (npr. Zakon o organiziranosti in delu v Policiji, Zakon o službi v Slovenski vojski, Zakon o finančni upravi, Zakon o gasilstvu, Zakon o izvrševanju kazenskih sankcij, Zakon o varovanju pred naravnimi in drugimi nesrečami). Iz prikaza v tabeli je razvidno, da naj bi dodatek za stalnost prejemali tudi javni uslužbenci plačne skupine B (direktorji, ravnatelji in tajniki), kar pa velja zgolj za tiste iz te plačne skupine, za katere področna zakonodaja tako določa (npr. generalni direktor policije, načelnik generalštaba Slovenske vojske, direktorji v dejavnosti gasilstva). Podobno velja za plačno podskupino E3-medicinske sestre in babice, plačno podskupino J1-strokovni delavci in plačno podskupino J2-administrativni delavci. Večina javnih uslužbencev iz teh plačnih podskupin upoštevaje področno zakonodajo do dodatka za stalnost ni upravičena, kar je razvidno tudi iz primerjave mase izplačil na letni ravni (ta je za te plačne podskupine v primerjavi z drugimi praktično zanemarljiva).   </w:t>
      </w:r>
    </w:p>
  </w:footnote>
  <w:footnote w:id="3">
    <w:p w14:paraId="4CADC349" w14:textId="7D16AEDB" w:rsidR="008E2221" w:rsidRDefault="008E2221" w:rsidP="008E2221">
      <w:pPr>
        <w:pStyle w:val="Sprotnaopomba-besedilo"/>
      </w:pPr>
      <w:r>
        <w:rPr>
          <w:rStyle w:val="Sprotnaopomba-sklic"/>
        </w:rPr>
        <w:footnoteRef/>
      </w:r>
      <w:r>
        <w:t xml:space="preserve"> </w:t>
      </w:r>
      <w:r w:rsidRPr="00074A6F">
        <w:t>Letna poročila o ocenjevanju delovne uspešnosti in napredovanju javnih uslužbencev</w:t>
      </w:r>
      <w:r w:rsidR="00F02037">
        <w:t>.</w:t>
      </w:r>
    </w:p>
  </w:footnote>
  <w:footnote w:id="4">
    <w:p w14:paraId="4129AF25" w14:textId="7303A1E0" w:rsidR="008E2221" w:rsidRDefault="008E2221" w:rsidP="008E2221">
      <w:pPr>
        <w:pStyle w:val="Sprotnaopomba-besedilo"/>
      </w:pPr>
      <w:r>
        <w:rPr>
          <w:rStyle w:val="Sprotnaopomba-sklic"/>
        </w:rPr>
        <w:footnoteRef/>
      </w:r>
      <w:r>
        <w:t xml:space="preserve"> Analiza kariernega napredovanja javnih uslužbencev (2019)</w:t>
      </w:r>
      <w:r w:rsidR="00F02037">
        <w:t>.</w:t>
      </w:r>
    </w:p>
  </w:footnote>
  <w:footnote w:id="5">
    <w:p w14:paraId="7731004B" w14:textId="23C6840A" w:rsidR="008E2221" w:rsidRPr="00074A6F" w:rsidRDefault="008E2221" w:rsidP="008E2221">
      <w:pPr>
        <w:spacing w:line="240" w:lineRule="auto"/>
        <w:jc w:val="both"/>
        <w:rPr>
          <w:rFonts w:ascii="Arial" w:hAnsi="Arial" w:cs="Arial"/>
          <w:sz w:val="20"/>
          <w:szCs w:val="20"/>
        </w:rPr>
      </w:pPr>
      <w:r>
        <w:rPr>
          <w:rStyle w:val="Sprotnaopomba-sklic"/>
        </w:rPr>
        <w:footnoteRef/>
      </w:r>
      <w:r>
        <w:t xml:space="preserve"> </w:t>
      </w:r>
      <w:r w:rsidRPr="00074A6F">
        <w:rPr>
          <w:sz w:val="20"/>
          <w:szCs w:val="20"/>
        </w:rPr>
        <w:t>Analiza plač v javnem sektorju – letna poročila</w:t>
      </w:r>
      <w:r w:rsidR="00F02037">
        <w:rPr>
          <w:sz w:val="20"/>
          <w:szCs w:val="20"/>
        </w:rPr>
        <w:t>.</w:t>
      </w:r>
    </w:p>
    <w:p w14:paraId="2DE545FE" w14:textId="77777777" w:rsidR="008E2221" w:rsidRDefault="008E2221" w:rsidP="008E2221">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5E4"/>
    <w:multiLevelType w:val="hybridMultilevel"/>
    <w:tmpl w:val="46D00E0E"/>
    <w:lvl w:ilvl="0" w:tplc="7C8A20C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9B49C7"/>
    <w:multiLevelType w:val="multilevel"/>
    <w:tmpl w:val="B5449D58"/>
    <w:lvl w:ilvl="0">
      <w:start w:val="1"/>
      <w:numFmt w:val="decimal"/>
      <w:lvlText w:val="%1."/>
      <w:lvlJc w:val="left"/>
      <w:pPr>
        <w:ind w:left="360" w:hanging="360"/>
      </w:pPr>
      <w:rPr>
        <w:rFonts w:cstheme="minorBidi" w:hint="default"/>
        <w:b/>
        <w:bCs w:val="0"/>
        <w:color w:val="auto"/>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0DD26AC"/>
    <w:multiLevelType w:val="hybridMultilevel"/>
    <w:tmpl w:val="4EEAB536"/>
    <w:lvl w:ilvl="0" w:tplc="9014BFD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A80B07"/>
    <w:multiLevelType w:val="hybridMultilevel"/>
    <w:tmpl w:val="1B32A526"/>
    <w:lvl w:ilvl="0" w:tplc="FD541254">
      <w:start w:val="1"/>
      <w:numFmt w:val="decimal"/>
      <w:lvlText w:val="%1."/>
      <w:lvlJc w:val="left"/>
      <w:pPr>
        <w:ind w:left="360" w:hanging="360"/>
      </w:pPr>
      <w:rPr>
        <w:rFonts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5EC2E3D"/>
    <w:multiLevelType w:val="hybridMultilevel"/>
    <w:tmpl w:val="3334CE1C"/>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multilevel"/>
    <w:tmpl w:val="CA2699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C60DB6"/>
    <w:multiLevelType w:val="hybridMultilevel"/>
    <w:tmpl w:val="83E2EB70"/>
    <w:lvl w:ilvl="0" w:tplc="5DF4C698">
      <w:start w:val="2"/>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EF179A"/>
    <w:multiLevelType w:val="hybridMultilevel"/>
    <w:tmpl w:val="41A248F6"/>
    <w:lvl w:ilvl="0" w:tplc="5D1A03BE">
      <w:start w:val="3"/>
      <w:numFmt w:val="bullet"/>
      <w:lvlText w:val="-"/>
      <w:lvlJc w:val="left"/>
      <w:pPr>
        <w:tabs>
          <w:tab w:val="num" w:pos="720"/>
        </w:tabs>
        <w:ind w:left="720" w:hanging="360"/>
      </w:pPr>
      <w:rPr>
        <w:rFonts w:ascii="Calibri" w:eastAsia="Calibri" w:hAnsi="Calibri" w:cs="Calibri" w:hint="default"/>
        <w:b/>
        <w:sz w:val="22"/>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15:restartNumberingAfterBreak="0">
    <w:nsid w:val="20FF1320"/>
    <w:multiLevelType w:val="hybridMultilevel"/>
    <w:tmpl w:val="BE927754"/>
    <w:lvl w:ilvl="0" w:tplc="44C493E4">
      <w:start w:val="1"/>
      <w:numFmt w:val="bullet"/>
      <w:lvlText w:val="-"/>
      <w:lvlJc w:val="left"/>
      <w:pPr>
        <w:tabs>
          <w:tab w:val="num" w:pos="720"/>
        </w:tabs>
        <w:ind w:left="720" w:hanging="360"/>
      </w:pPr>
      <w:rPr>
        <w:rFonts w:ascii="Times New Roman" w:hAnsi="Times New Roman" w:hint="default"/>
      </w:rPr>
    </w:lvl>
    <w:lvl w:ilvl="1" w:tplc="2D2A0AF0">
      <w:start w:val="1"/>
      <w:numFmt w:val="bullet"/>
      <w:lvlText w:val="-"/>
      <w:lvlJc w:val="left"/>
      <w:pPr>
        <w:tabs>
          <w:tab w:val="num" w:pos="1440"/>
        </w:tabs>
        <w:ind w:left="1440" w:hanging="360"/>
      </w:pPr>
      <w:rPr>
        <w:rFonts w:ascii="Times New Roman" w:hAnsi="Times New Roman" w:hint="default"/>
      </w:rPr>
    </w:lvl>
    <w:lvl w:ilvl="2" w:tplc="FB383D56">
      <w:start w:val="1"/>
      <w:numFmt w:val="bullet"/>
      <w:lvlText w:val="-"/>
      <w:lvlJc w:val="left"/>
      <w:pPr>
        <w:tabs>
          <w:tab w:val="num" w:pos="2160"/>
        </w:tabs>
        <w:ind w:left="2160" w:hanging="360"/>
      </w:pPr>
      <w:rPr>
        <w:rFonts w:ascii="Times New Roman" w:hAnsi="Times New Roman" w:hint="default"/>
      </w:rPr>
    </w:lvl>
    <w:lvl w:ilvl="3" w:tplc="8DD6EA54" w:tentative="1">
      <w:start w:val="1"/>
      <w:numFmt w:val="bullet"/>
      <w:lvlText w:val="-"/>
      <w:lvlJc w:val="left"/>
      <w:pPr>
        <w:tabs>
          <w:tab w:val="num" w:pos="2880"/>
        </w:tabs>
        <w:ind w:left="2880" w:hanging="360"/>
      </w:pPr>
      <w:rPr>
        <w:rFonts w:ascii="Times New Roman" w:hAnsi="Times New Roman" w:hint="default"/>
      </w:rPr>
    </w:lvl>
    <w:lvl w:ilvl="4" w:tplc="17486BB6" w:tentative="1">
      <w:start w:val="1"/>
      <w:numFmt w:val="bullet"/>
      <w:lvlText w:val="-"/>
      <w:lvlJc w:val="left"/>
      <w:pPr>
        <w:tabs>
          <w:tab w:val="num" w:pos="3600"/>
        </w:tabs>
        <w:ind w:left="3600" w:hanging="360"/>
      </w:pPr>
      <w:rPr>
        <w:rFonts w:ascii="Times New Roman" w:hAnsi="Times New Roman" w:hint="default"/>
      </w:rPr>
    </w:lvl>
    <w:lvl w:ilvl="5" w:tplc="82626F26" w:tentative="1">
      <w:start w:val="1"/>
      <w:numFmt w:val="bullet"/>
      <w:lvlText w:val="-"/>
      <w:lvlJc w:val="left"/>
      <w:pPr>
        <w:tabs>
          <w:tab w:val="num" w:pos="4320"/>
        </w:tabs>
        <w:ind w:left="4320" w:hanging="360"/>
      </w:pPr>
      <w:rPr>
        <w:rFonts w:ascii="Times New Roman" w:hAnsi="Times New Roman" w:hint="default"/>
      </w:rPr>
    </w:lvl>
    <w:lvl w:ilvl="6" w:tplc="9D925972" w:tentative="1">
      <w:start w:val="1"/>
      <w:numFmt w:val="bullet"/>
      <w:lvlText w:val="-"/>
      <w:lvlJc w:val="left"/>
      <w:pPr>
        <w:tabs>
          <w:tab w:val="num" w:pos="5040"/>
        </w:tabs>
        <w:ind w:left="5040" w:hanging="360"/>
      </w:pPr>
      <w:rPr>
        <w:rFonts w:ascii="Times New Roman" w:hAnsi="Times New Roman" w:hint="default"/>
      </w:rPr>
    </w:lvl>
    <w:lvl w:ilvl="7" w:tplc="BBA8CB14" w:tentative="1">
      <w:start w:val="1"/>
      <w:numFmt w:val="bullet"/>
      <w:lvlText w:val="-"/>
      <w:lvlJc w:val="left"/>
      <w:pPr>
        <w:tabs>
          <w:tab w:val="num" w:pos="5760"/>
        </w:tabs>
        <w:ind w:left="5760" w:hanging="360"/>
      </w:pPr>
      <w:rPr>
        <w:rFonts w:ascii="Times New Roman" w:hAnsi="Times New Roman" w:hint="default"/>
      </w:rPr>
    </w:lvl>
    <w:lvl w:ilvl="8" w:tplc="4D4E2A8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57E7973"/>
    <w:multiLevelType w:val="hybridMultilevel"/>
    <w:tmpl w:val="269CB800"/>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C404164"/>
    <w:multiLevelType w:val="hybridMultilevel"/>
    <w:tmpl w:val="9FB8DD70"/>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E10157"/>
    <w:multiLevelType w:val="hybridMultilevel"/>
    <w:tmpl w:val="06D8E61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2A4036C"/>
    <w:multiLevelType w:val="hybridMultilevel"/>
    <w:tmpl w:val="D042F8CC"/>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389554C"/>
    <w:multiLevelType w:val="hybridMultilevel"/>
    <w:tmpl w:val="DB9A2D4E"/>
    <w:lvl w:ilvl="0" w:tplc="B35A1FE8">
      <w:start w:val="1"/>
      <w:numFmt w:val="bullet"/>
      <w:lvlText w:val="-"/>
      <w:lvlJc w:val="left"/>
      <w:pPr>
        <w:ind w:left="1800" w:hanging="360"/>
      </w:pPr>
      <w:rPr>
        <w:rFonts w:ascii="Calibri" w:eastAsia="Times New Roman" w:hAnsi="Calibri" w:cs="Calibri" w:hint="default"/>
      </w:rPr>
    </w:lvl>
    <w:lvl w:ilvl="1" w:tplc="04240003">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5" w15:restartNumberingAfterBreak="0">
    <w:nsid w:val="365B0757"/>
    <w:multiLevelType w:val="hybridMultilevel"/>
    <w:tmpl w:val="5DCCBF18"/>
    <w:lvl w:ilvl="0" w:tplc="4B52DC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8E01717"/>
    <w:multiLevelType w:val="multilevel"/>
    <w:tmpl w:val="96CC7F2E"/>
    <w:lvl w:ilvl="0">
      <w:start w:val="5"/>
      <w:numFmt w:val="upperRoman"/>
      <w:lvlText w:val="%1."/>
      <w:lvlJc w:val="left"/>
      <w:pPr>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954BA7"/>
    <w:multiLevelType w:val="hybridMultilevel"/>
    <w:tmpl w:val="15E66DBC"/>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B37762F"/>
    <w:multiLevelType w:val="hybridMultilevel"/>
    <w:tmpl w:val="6C08F0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00F3A7A"/>
    <w:multiLevelType w:val="hybridMultilevel"/>
    <w:tmpl w:val="458EE0F2"/>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22004EF"/>
    <w:multiLevelType w:val="hybridMultilevel"/>
    <w:tmpl w:val="02D4F1BE"/>
    <w:lvl w:ilvl="0" w:tplc="76AC1A70">
      <w:start w:val="49"/>
      <w:numFmt w:val="bullet"/>
      <w:pStyle w:val="Alineazatoko"/>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23E7F13"/>
    <w:multiLevelType w:val="hybridMultilevel"/>
    <w:tmpl w:val="7BE6CA84"/>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2C12541"/>
    <w:multiLevelType w:val="hybridMultilevel"/>
    <w:tmpl w:val="D4A41FDE"/>
    <w:lvl w:ilvl="0" w:tplc="5692ACCE">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352758A"/>
    <w:multiLevelType w:val="hybridMultilevel"/>
    <w:tmpl w:val="97AC491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44430268"/>
    <w:multiLevelType w:val="hybridMultilevel"/>
    <w:tmpl w:val="02828A42"/>
    <w:lvl w:ilvl="0" w:tplc="8ED880E6">
      <w:start w:val="1"/>
      <w:numFmt w:val="bullet"/>
      <w:lvlText w:val="-"/>
      <w:lvlJc w:val="left"/>
      <w:pPr>
        <w:tabs>
          <w:tab w:val="num" w:pos="720"/>
        </w:tabs>
        <w:ind w:left="720" w:hanging="360"/>
      </w:pPr>
      <w:rPr>
        <w:rFonts w:ascii="Times New Roman" w:hAnsi="Times New Roman" w:hint="default"/>
      </w:rPr>
    </w:lvl>
    <w:lvl w:ilvl="1" w:tplc="7A8493FE">
      <w:start w:val="1"/>
      <w:numFmt w:val="bullet"/>
      <w:lvlText w:val="-"/>
      <w:lvlJc w:val="left"/>
      <w:pPr>
        <w:tabs>
          <w:tab w:val="num" w:pos="1440"/>
        </w:tabs>
        <w:ind w:left="1440" w:hanging="360"/>
      </w:pPr>
      <w:rPr>
        <w:rFonts w:ascii="Times New Roman" w:hAnsi="Times New Roman" w:hint="default"/>
      </w:rPr>
    </w:lvl>
    <w:lvl w:ilvl="2" w:tplc="DCC04AF4">
      <w:start w:val="1"/>
      <w:numFmt w:val="bullet"/>
      <w:lvlText w:val="-"/>
      <w:lvlJc w:val="left"/>
      <w:pPr>
        <w:tabs>
          <w:tab w:val="num" w:pos="2160"/>
        </w:tabs>
        <w:ind w:left="2160" w:hanging="360"/>
      </w:pPr>
      <w:rPr>
        <w:rFonts w:ascii="Times New Roman" w:hAnsi="Times New Roman" w:hint="default"/>
      </w:rPr>
    </w:lvl>
    <w:lvl w:ilvl="3" w:tplc="D4B0F042" w:tentative="1">
      <w:start w:val="1"/>
      <w:numFmt w:val="bullet"/>
      <w:lvlText w:val="-"/>
      <w:lvlJc w:val="left"/>
      <w:pPr>
        <w:tabs>
          <w:tab w:val="num" w:pos="2880"/>
        </w:tabs>
        <w:ind w:left="2880" w:hanging="360"/>
      </w:pPr>
      <w:rPr>
        <w:rFonts w:ascii="Times New Roman" w:hAnsi="Times New Roman" w:hint="default"/>
      </w:rPr>
    </w:lvl>
    <w:lvl w:ilvl="4" w:tplc="A61ACFD6" w:tentative="1">
      <w:start w:val="1"/>
      <w:numFmt w:val="bullet"/>
      <w:lvlText w:val="-"/>
      <w:lvlJc w:val="left"/>
      <w:pPr>
        <w:tabs>
          <w:tab w:val="num" w:pos="3600"/>
        </w:tabs>
        <w:ind w:left="3600" w:hanging="360"/>
      </w:pPr>
      <w:rPr>
        <w:rFonts w:ascii="Times New Roman" w:hAnsi="Times New Roman" w:hint="default"/>
      </w:rPr>
    </w:lvl>
    <w:lvl w:ilvl="5" w:tplc="B93A7C48" w:tentative="1">
      <w:start w:val="1"/>
      <w:numFmt w:val="bullet"/>
      <w:lvlText w:val="-"/>
      <w:lvlJc w:val="left"/>
      <w:pPr>
        <w:tabs>
          <w:tab w:val="num" w:pos="4320"/>
        </w:tabs>
        <w:ind w:left="4320" w:hanging="360"/>
      </w:pPr>
      <w:rPr>
        <w:rFonts w:ascii="Times New Roman" w:hAnsi="Times New Roman" w:hint="default"/>
      </w:rPr>
    </w:lvl>
    <w:lvl w:ilvl="6" w:tplc="32DC9566" w:tentative="1">
      <w:start w:val="1"/>
      <w:numFmt w:val="bullet"/>
      <w:lvlText w:val="-"/>
      <w:lvlJc w:val="left"/>
      <w:pPr>
        <w:tabs>
          <w:tab w:val="num" w:pos="5040"/>
        </w:tabs>
        <w:ind w:left="5040" w:hanging="360"/>
      </w:pPr>
      <w:rPr>
        <w:rFonts w:ascii="Times New Roman" w:hAnsi="Times New Roman" w:hint="default"/>
      </w:rPr>
    </w:lvl>
    <w:lvl w:ilvl="7" w:tplc="EA207912" w:tentative="1">
      <w:start w:val="1"/>
      <w:numFmt w:val="bullet"/>
      <w:lvlText w:val="-"/>
      <w:lvlJc w:val="left"/>
      <w:pPr>
        <w:tabs>
          <w:tab w:val="num" w:pos="5760"/>
        </w:tabs>
        <w:ind w:left="5760" w:hanging="360"/>
      </w:pPr>
      <w:rPr>
        <w:rFonts w:ascii="Times New Roman" w:hAnsi="Times New Roman" w:hint="default"/>
      </w:rPr>
    </w:lvl>
    <w:lvl w:ilvl="8" w:tplc="20BAD4B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4DB4AB1"/>
    <w:multiLevelType w:val="hybridMultilevel"/>
    <w:tmpl w:val="48461DE8"/>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74D2648"/>
    <w:multiLevelType w:val="multilevel"/>
    <w:tmpl w:val="7F94D5FA"/>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2216BD"/>
    <w:multiLevelType w:val="multilevel"/>
    <w:tmpl w:val="FD567B96"/>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C94A40"/>
    <w:multiLevelType w:val="hybridMultilevel"/>
    <w:tmpl w:val="522CF882"/>
    <w:lvl w:ilvl="0" w:tplc="D572052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4BE43492"/>
    <w:multiLevelType w:val="hybridMultilevel"/>
    <w:tmpl w:val="E6306ED2"/>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D2A79F6"/>
    <w:multiLevelType w:val="hybridMultilevel"/>
    <w:tmpl w:val="C994C6CC"/>
    <w:lvl w:ilvl="0" w:tplc="06763E26">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2" w15:restartNumberingAfterBreak="0">
    <w:nsid w:val="51CB314F"/>
    <w:multiLevelType w:val="hybridMultilevel"/>
    <w:tmpl w:val="DB9695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82C6469"/>
    <w:multiLevelType w:val="hybridMultilevel"/>
    <w:tmpl w:val="4F8E8DEA"/>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050C0A"/>
    <w:multiLevelType w:val="hybridMultilevel"/>
    <w:tmpl w:val="26D072E0"/>
    <w:lvl w:ilvl="0" w:tplc="76AC1A70">
      <w:start w:val="49"/>
      <w:numFmt w:val="bullet"/>
      <w:pStyle w:val="Alineazatevilno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17C2545"/>
    <w:multiLevelType w:val="hybridMultilevel"/>
    <w:tmpl w:val="EC08A76A"/>
    <w:lvl w:ilvl="0" w:tplc="D4265CC4">
      <w:start w:val="9"/>
      <w:numFmt w:val="bullet"/>
      <w:lvlText w:val="−"/>
      <w:lvlJc w:val="left"/>
      <w:pPr>
        <w:ind w:left="1440" w:hanging="360"/>
      </w:pPr>
      <w:rPr>
        <w:rFonts w:ascii="Calibri" w:eastAsia="Calibr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15:restartNumberingAfterBreak="0">
    <w:nsid w:val="66D67F75"/>
    <w:multiLevelType w:val="hybridMultilevel"/>
    <w:tmpl w:val="F38AB2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7B71AEA"/>
    <w:multiLevelType w:val="hybridMultilevel"/>
    <w:tmpl w:val="8758D72C"/>
    <w:lvl w:ilvl="0" w:tplc="B35A1FE8">
      <w:start w:val="1"/>
      <w:numFmt w:val="bullet"/>
      <w:lvlText w:val="-"/>
      <w:lvlJc w:val="left"/>
      <w:pPr>
        <w:ind w:left="1800" w:hanging="360"/>
      </w:pPr>
      <w:rPr>
        <w:rFonts w:ascii="Calibri" w:eastAsia="Times New Roman" w:hAnsi="Calibri" w:cs="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FC7FD3"/>
    <w:multiLevelType w:val="hybridMultilevel"/>
    <w:tmpl w:val="496E8250"/>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82760EA"/>
    <w:multiLevelType w:val="hybridMultilevel"/>
    <w:tmpl w:val="D94837A6"/>
    <w:lvl w:ilvl="0" w:tplc="5D1A03BE">
      <w:start w:val="3"/>
      <w:numFmt w:val="bullet"/>
      <w:lvlText w:val="-"/>
      <w:lvlJc w:val="left"/>
      <w:pPr>
        <w:ind w:left="720" w:hanging="360"/>
      </w:pPr>
      <w:rPr>
        <w:rFonts w:ascii="Calibri" w:eastAsia="Calibri" w:hAnsi="Calibri" w:cs="Calibri" w:hint="default"/>
        <w:b/>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8D17405"/>
    <w:multiLevelType w:val="hybridMultilevel"/>
    <w:tmpl w:val="882A4BF6"/>
    <w:lvl w:ilvl="0" w:tplc="B122E40E">
      <w:start w:val="1"/>
      <w:numFmt w:val="bullet"/>
      <w:lvlText w:val="-"/>
      <w:lvlJc w:val="left"/>
      <w:pPr>
        <w:tabs>
          <w:tab w:val="num" w:pos="720"/>
        </w:tabs>
        <w:ind w:left="720" w:hanging="360"/>
      </w:pPr>
      <w:rPr>
        <w:rFonts w:ascii="Times New Roman" w:hAnsi="Times New Roman" w:hint="default"/>
      </w:rPr>
    </w:lvl>
    <w:lvl w:ilvl="1" w:tplc="6D8C2B0C">
      <w:start w:val="1"/>
      <w:numFmt w:val="bullet"/>
      <w:lvlText w:val="-"/>
      <w:lvlJc w:val="left"/>
      <w:pPr>
        <w:tabs>
          <w:tab w:val="num" w:pos="1440"/>
        </w:tabs>
        <w:ind w:left="1440" w:hanging="360"/>
      </w:pPr>
      <w:rPr>
        <w:rFonts w:ascii="Times New Roman" w:hAnsi="Times New Roman" w:hint="default"/>
      </w:rPr>
    </w:lvl>
    <w:lvl w:ilvl="2" w:tplc="F08CCB96">
      <w:start w:val="1"/>
      <w:numFmt w:val="bullet"/>
      <w:lvlText w:val="-"/>
      <w:lvlJc w:val="left"/>
      <w:pPr>
        <w:tabs>
          <w:tab w:val="num" w:pos="2160"/>
        </w:tabs>
        <w:ind w:left="2160" w:hanging="360"/>
      </w:pPr>
      <w:rPr>
        <w:rFonts w:ascii="Times New Roman" w:hAnsi="Times New Roman" w:hint="default"/>
      </w:rPr>
    </w:lvl>
    <w:lvl w:ilvl="3" w:tplc="C31A6D54" w:tentative="1">
      <w:start w:val="1"/>
      <w:numFmt w:val="bullet"/>
      <w:lvlText w:val="-"/>
      <w:lvlJc w:val="left"/>
      <w:pPr>
        <w:tabs>
          <w:tab w:val="num" w:pos="2880"/>
        </w:tabs>
        <w:ind w:left="2880" w:hanging="360"/>
      </w:pPr>
      <w:rPr>
        <w:rFonts w:ascii="Times New Roman" w:hAnsi="Times New Roman" w:hint="default"/>
      </w:rPr>
    </w:lvl>
    <w:lvl w:ilvl="4" w:tplc="87207F28" w:tentative="1">
      <w:start w:val="1"/>
      <w:numFmt w:val="bullet"/>
      <w:lvlText w:val="-"/>
      <w:lvlJc w:val="left"/>
      <w:pPr>
        <w:tabs>
          <w:tab w:val="num" w:pos="3600"/>
        </w:tabs>
        <w:ind w:left="3600" w:hanging="360"/>
      </w:pPr>
      <w:rPr>
        <w:rFonts w:ascii="Times New Roman" w:hAnsi="Times New Roman" w:hint="default"/>
      </w:rPr>
    </w:lvl>
    <w:lvl w:ilvl="5" w:tplc="90C4229E" w:tentative="1">
      <w:start w:val="1"/>
      <w:numFmt w:val="bullet"/>
      <w:lvlText w:val="-"/>
      <w:lvlJc w:val="left"/>
      <w:pPr>
        <w:tabs>
          <w:tab w:val="num" w:pos="4320"/>
        </w:tabs>
        <w:ind w:left="4320" w:hanging="360"/>
      </w:pPr>
      <w:rPr>
        <w:rFonts w:ascii="Times New Roman" w:hAnsi="Times New Roman" w:hint="default"/>
      </w:rPr>
    </w:lvl>
    <w:lvl w:ilvl="6" w:tplc="52F84864" w:tentative="1">
      <w:start w:val="1"/>
      <w:numFmt w:val="bullet"/>
      <w:lvlText w:val="-"/>
      <w:lvlJc w:val="left"/>
      <w:pPr>
        <w:tabs>
          <w:tab w:val="num" w:pos="5040"/>
        </w:tabs>
        <w:ind w:left="5040" w:hanging="360"/>
      </w:pPr>
      <w:rPr>
        <w:rFonts w:ascii="Times New Roman" w:hAnsi="Times New Roman" w:hint="default"/>
      </w:rPr>
    </w:lvl>
    <w:lvl w:ilvl="7" w:tplc="9F5AACAE" w:tentative="1">
      <w:start w:val="1"/>
      <w:numFmt w:val="bullet"/>
      <w:lvlText w:val="-"/>
      <w:lvlJc w:val="left"/>
      <w:pPr>
        <w:tabs>
          <w:tab w:val="num" w:pos="5760"/>
        </w:tabs>
        <w:ind w:left="5760" w:hanging="360"/>
      </w:pPr>
      <w:rPr>
        <w:rFonts w:ascii="Times New Roman" w:hAnsi="Times New Roman" w:hint="default"/>
      </w:rPr>
    </w:lvl>
    <w:lvl w:ilvl="8" w:tplc="3086DDFC"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95F2962"/>
    <w:multiLevelType w:val="hybridMultilevel"/>
    <w:tmpl w:val="94DC623E"/>
    <w:lvl w:ilvl="0" w:tplc="4BC2E28A">
      <w:start w:val="1"/>
      <w:numFmt w:val="bullet"/>
      <w:lvlText w:val="•"/>
      <w:lvlJc w:val="left"/>
      <w:pPr>
        <w:tabs>
          <w:tab w:val="num" w:pos="720"/>
        </w:tabs>
        <w:ind w:left="720" w:hanging="360"/>
      </w:pPr>
      <w:rPr>
        <w:rFonts w:ascii="Arial" w:hAnsi="Arial" w:hint="default"/>
      </w:rPr>
    </w:lvl>
    <w:lvl w:ilvl="1" w:tplc="86F046A0">
      <w:start w:val="1"/>
      <w:numFmt w:val="bullet"/>
      <w:lvlText w:val="•"/>
      <w:lvlJc w:val="left"/>
      <w:pPr>
        <w:tabs>
          <w:tab w:val="num" w:pos="1440"/>
        </w:tabs>
        <w:ind w:left="1440" w:hanging="360"/>
      </w:pPr>
      <w:rPr>
        <w:rFonts w:ascii="Arial" w:hAnsi="Arial" w:hint="default"/>
      </w:rPr>
    </w:lvl>
    <w:lvl w:ilvl="2" w:tplc="C33C8428" w:tentative="1">
      <w:start w:val="1"/>
      <w:numFmt w:val="bullet"/>
      <w:lvlText w:val="•"/>
      <w:lvlJc w:val="left"/>
      <w:pPr>
        <w:tabs>
          <w:tab w:val="num" w:pos="2160"/>
        </w:tabs>
        <w:ind w:left="2160" w:hanging="360"/>
      </w:pPr>
      <w:rPr>
        <w:rFonts w:ascii="Arial" w:hAnsi="Arial" w:hint="default"/>
      </w:rPr>
    </w:lvl>
    <w:lvl w:ilvl="3" w:tplc="5FE2F2FE" w:tentative="1">
      <w:start w:val="1"/>
      <w:numFmt w:val="bullet"/>
      <w:lvlText w:val="•"/>
      <w:lvlJc w:val="left"/>
      <w:pPr>
        <w:tabs>
          <w:tab w:val="num" w:pos="2880"/>
        </w:tabs>
        <w:ind w:left="2880" w:hanging="360"/>
      </w:pPr>
      <w:rPr>
        <w:rFonts w:ascii="Arial" w:hAnsi="Arial" w:hint="default"/>
      </w:rPr>
    </w:lvl>
    <w:lvl w:ilvl="4" w:tplc="C4BE4756" w:tentative="1">
      <w:start w:val="1"/>
      <w:numFmt w:val="bullet"/>
      <w:lvlText w:val="•"/>
      <w:lvlJc w:val="left"/>
      <w:pPr>
        <w:tabs>
          <w:tab w:val="num" w:pos="3600"/>
        </w:tabs>
        <w:ind w:left="3600" w:hanging="360"/>
      </w:pPr>
      <w:rPr>
        <w:rFonts w:ascii="Arial" w:hAnsi="Arial" w:hint="default"/>
      </w:rPr>
    </w:lvl>
    <w:lvl w:ilvl="5" w:tplc="FFB091B4" w:tentative="1">
      <w:start w:val="1"/>
      <w:numFmt w:val="bullet"/>
      <w:lvlText w:val="•"/>
      <w:lvlJc w:val="left"/>
      <w:pPr>
        <w:tabs>
          <w:tab w:val="num" w:pos="4320"/>
        </w:tabs>
        <w:ind w:left="4320" w:hanging="360"/>
      </w:pPr>
      <w:rPr>
        <w:rFonts w:ascii="Arial" w:hAnsi="Arial" w:hint="default"/>
      </w:rPr>
    </w:lvl>
    <w:lvl w:ilvl="6" w:tplc="16C6F1C4" w:tentative="1">
      <w:start w:val="1"/>
      <w:numFmt w:val="bullet"/>
      <w:lvlText w:val="•"/>
      <w:lvlJc w:val="left"/>
      <w:pPr>
        <w:tabs>
          <w:tab w:val="num" w:pos="5040"/>
        </w:tabs>
        <w:ind w:left="5040" w:hanging="360"/>
      </w:pPr>
      <w:rPr>
        <w:rFonts w:ascii="Arial" w:hAnsi="Arial" w:hint="default"/>
      </w:rPr>
    </w:lvl>
    <w:lvl w:ilvl="7" w:tplc="71FEAE58" w:tentative="1">
      <w:start w:val="1"/>
      <w:numFmt w:val="bullet"/>
      <w:lvlText w:val="•"/>
      <w:lvlJc w:val="left"/>
      <w:pPr>
        <w:tabs>
          <w:tab w:val="num" w:pos="5760"/>
        </w:tabs>
        <w:ind w:left="5760" w:hanging="360"/>
      </w:pPr>
      <w:rPr>
        <w:rFonts w:ascii="Arial" w:hAnsi="Arial" w:hint="default"/>
      </w:rPr>
    </w:lvl>
    <w:lvl w:ilvl="8" w:tplc="E2382AF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E784714"/>
    <w:multiLevelType w:val="hybridMultilevel"/>
    <w:tmpl w:val="119E3524"/>
    <w:lvl w:ilvl="0" w:tplc="20DA9664">
      <w:start w:val="1"/>
      <w:numFmt w:val="decimal"/>
      <w:lvlText w:val="%1."/>
      <w:lvlJc w:val="left"/>
      <w:pPr>
        <w:tabs>
          <w:tab w:val="num" w:pos="720"/>
        </w:tabs>
        <w:ind w:left="720" w:hanging="360"/>
      </w:pPr>
    </w:lvl>
    <w:lvl w:ilvl="1" w:tplc="F4A88E94" w:tentative="1">
      <w:start w:val="1"/>
      <w:numFmt w:val="decimal"/>
      <w:lvlText w:val="%2."/>
      <w:lvlJc w:val="left"/>
      <w:pPr>
        <w:tabs>
          <w:tab w:val="num" w:pos="1440"/>
        </w:tabs>
        <w:ind w:left="1440" w:hanging="360"/>
      </w:pPr>
    </w:lvl>
    <w:lvl w:ilvl="2" w:tplc="690200A0" w:tentative="1">
      <w:start w:val="1"/>
      <w:numFmt w:val="decimal"/>
      <w:lvlText w:val="%3."/>
      <w:lvlJc w:val="left"/>
      <w:pPr>
        <w:tabs>
          <w:tab w:val="num" w:pos="2160"/>
        </w:tabs>
        <w:ind w:left="2160" w:hanging="360"/>
      </w:pPr>
    </w:lvl>
    <w:lvl w:ilvl="3" w:tplc="385A4F3E" w:tentative="1">
      <w:start w:val="1"/>
      <w:numFmt w:val="decimal"/>
      <w:lvlText w:val="%4."/>
      <w:lvlJc w:val="left"/>
      <w:pPr>
        <w:tabs>
          <w:tab w:val="num" w:pos="2880"/>
        </w:tabs>
        <w:ind w:left="2880" w:hanging="360"/>
      </w:pPr>
    </w:lvl>
    <w:lvl w:ilvl="4" w:tplc="966E734A" w:tentative="1">
      <w:start w:val="1"/>
      <w:numFmt w:val="decimal"/>
      <w:lvlText w:val="%5."/>
      <w:lvlJc w:val="left"/>
      <w:pPr>
        <w:tabs>
          <w:tab w:val="num" w:pos="3600"/>
        </w:tabs>
        <w:ind w:left="3600" w:hanging="360"/>
      </w:pPr>
    </w:lvl>
    <w:lvl w:ilvl="5" w:tplc="824865C0" w:tentative="1">
      <w:start w:val="1"/>
      <w:numFmt w:val="decimal"/>
      <w:lvlText w:val="%6."/>
      <w:lvlJc w:val="left"/>
      <w:pPr>
        <w:tabs>
          <w:tab w:val="num" w:pos="4320"/>
        </w:tabs>
        <w:ind w:left="4320" w:hanging="360"/>
      </w:pPr>
    </w:lvl>
    <w:lvl w:ilvl="6" w:tplc="E8E2AA90" w:tentative="1">
      <w:start w:val="1"/>
      <w:numFmt w:val="decimal"/>
      <w:lvlText w:val="%7."/>
      <w:lvlJc w:val="left"/>
      <w:pPr>
        <w:tabs>
          <w:tab w:val="num" w:pos="5040"/>
        </w:tabs>
        <w:ind w:left="5040" w:hanging="360"/>
      </w:pPr>
    </w:lvl>
    <w:lvl w:ilvl="7" w:tplc="C9F0AEAA" w:tentative="1">
      <w:start w:val="1"/>
      <w:numFmt w:val="decimal"/>
      <w:lvlText w:val="%8."/>
      <w:lvlJc w:val="left"/>
      <w:pPr>
        <w:tabs>
          <w:tab w:val="num" w:pos="5760"/>
        </w:tabs>
        <w:ind w:left="5760" w:hanging="360"/>
      </w:pPr>
    </w:lvl>
    <w:lvl w:ilvl="8" w:tplc="60BEBF4E" w:tentative="1">
      <w:start w:val="1"/>
      <w:numFmt w:val="decimal"/>
      <w:lvlText w:val="%9."/>
      <w:lvlJc w:val="left"/>
      <w:pPr>
        <w:tabs>
          <w:tab w:val="num" w:pos="6480"/>
        </w:tabs>
        <w:ind w:left="6480" w:hanging="360"/>
      </w:pPr>
    </w:lvl>
  </w:abstractNum>
  <w:abstractNum w:abstractNumId="44" w15:restartNumberingAfterBreak="0">
    <w:nsid w:val="75213159"/>
    <w:multiLevelType w:val="hybridMultilevel"/>
    <w:tmpl w:val="CCE27018"/>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5C609CF"/>
    <w:multiLevelType w:val="hybridMultilevel"/>
    <w:tmpl w:val="AFC807D2"/>
    <w:lvl w:ilvl="0" w:tplc="C3CACDEE">
      <w:start w:val="2"/>
      <w:numFmt w:val="bullet"/>
      <w:lvlText w:val="-"/>
      <w:lvlJc w:val="left"/>
      <w:pPr>
        <w:ind w:left="720" w:hanging="360"/>
      </w:pPr>
      <w:rPr>
        <w:rFonts w:ascii="Calibri" w:eastAsiaTheme="minorHAnsi" w:hAnsi="Calibri" w:cs="Calibri" w:hint="default"/>
      </w:rPr>
    </w:lvl>
    <w:lvl w:ilvl="1" w:tplc="C3CACDEE">
      <w:start w:val="2"/>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6920AEC"/>
    <w:multiLevelType w:val="hybridMultilevel"/>
    <w:tmpl w:val="F9327FCE"/>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AFA11A8"/>
    <w:multiLevelType w:val="hybridMultilevel"/>
    <w:tmpl w:val="E796E5F6"/>
    <w:lvl w:ilvl="0" w:tplc="ADB68BC0">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BD61DC9"/>
    <w:multiLevelType w:val="hybridMultilevel"/>
    <w:tmpl w:val="B77A65D4"/>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E4863AA"/>
    <w:multiLevelType w:val="hybridMultilevel"/>
    <w:tmpl w:val="622A5E8C"/>
    <w:lvl w:ilvl="0" w:tplc="C3CACDEE">
      <w:start w:val="2"/>
      <w:numFmt w:val="bullet"/>
      <w:lvlText w:val="-"/>
      <w:lvlJc w:val="left"/>
      <w:pPr>
        <w:ind w:left="765" w:hanging="360"/>
      </w:pPr>
      <w:rPr>
        <w:rFonts w:ascii="Calibri" w:eastAsiaTheme="minorHAnsi" w:hAnsi="Calibri" w:cs="Calibri"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5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5"/>
  </w:num>
  <w:num w:numId="4">
    <w:abstractNumId w:val="38"/>
  </w:num>
  <w:num w:numId="5">
    <w:abstractNumId w:val="10"/>
  </w:num>
  <w:num w:numId="6">
    <w:abstractNumId w:val="50"/>
  </w:num>
  <w:num w:numId="7">
    <w:abstractNumId w:val="25"/>
  </w:num>
  <w:num w:numId="8">
    <w:abstractNumId w:val="13"/>
  </w:num>
  <w:num w:numId="9">
    <w:abstractNumId w:val="22"/>
  </w:num>
  <w:num w:numId="10">
    <w:abstractNumId w:val="23"/>
  </w:num>
  <w:num w:numId="11">
    <w:abstractNumId w:val="33"/>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6"/>
  </w:num>
  <w:num w:numId="15">
    <w:abstractNumId w:val="9"/>
  </w:num>
  <w:num w:numId="16">
    <w:abstractNumId w:val="49"/>
  </w:num>
  <w:num w:numId="17">
    <w:abstractNumId w:val="48"/>
  </w:num>
  <w:num w:numId="18">
    <w:abstractNumId w:val="4"/>
  </w:num>
  <w:num w:numId="19">
    <w:abstractNumId w:val="30"/>
  </w:num>
  <w:num w:numId="20">
    <w:abstractNumId w:val="39"/>
  </w:num>
  <w:num w:numId="21">
    <w:abstractNumId w:val="11"/>
  </w:num>
  <w:num w:numId="22">
    <w:abstractNumId w:val="45"/>
  </w:num>
  <w:num w:numId="23">
    <w:abstractNumId w:val="17"/>
  </w:num>
  <w:num w:numId="24">
    <w:abstractNumId w:val="14"/>
  </w:num>
  <w:num w:numId="25">
    <w:abstractNumId w:val="37"/>
  </w:num>
  <w:num w:numId="26">
    <w:abstractNumId w:val="2"/>
  </w:num>
  <w:num w:numId="27">
    <w:abstractNumId w:val="35"/>
  </w:num>
  <w:num w:numId="28">
    <w:abstractNumId w:val="15"/>
  </w:num>
  <w:num w:numId="29">
    <w:abstractNumId w:val="0"/>
  </w:num>
  <w:num w:numId="30">
    <w:abstractNumId w:val="44"/>
  </w:num>
  <w:num w:numId="31">
    <w:abstractNumId w:val="36"/>
  </w:num>
  <w:num w:numId="32">
    <w:abstractNumId w:val="24"/>
  </w:num>
  <w:num w:numId="33">
    <w:abstractNumId w:val="41"/>
  </w:num>
  <w:num w:numId="34">
    <w:abstractNumId w:val="8"/>
  </w:num>
  <w:num w:numId="35">
    <w:abstractNumId w:val="40"/>
  </w:num>
  <w:num w:numId="36">
    <w:abstractNumId w:val="43"/>
  </w:num>
  <w:num w:numId="37">
    <w:abstractNumId w:val="7"/>
  </w:num>
  <w:num w:numId="38">
    <w:abstractNumId w:val="3"/>
  </w:num>
  <w:num w:numId="39">
    <w:abstractNumId w:val="42"/>
  </w:num>
  <w:num w:numId="40">
    <w:abstractNumId w:val="18"/>
  </w:num>
  <w:num w:numId="41">
    <w:abstractNumId w:val="31"/>
  </w:num>
  <w:num w:numId="42">
    <w:abstractNumId w:val="27"/>
  </w:num>
  <w:num w:numId="43">
    <w:abstractNumId w:val="28"/>
  </w:num>
  <w:num w:numId="44">
    <w:abstractNumId w:val="16"/>
  </w:num>
  <w:num w:numId="45">
    <w:abstractNumId w:val="19"/>
  </w:num>
  <w:num w:numId="46">
    <w:abstractNumId w:val="21"/>
  </w:num>
  <w:num w:numId="47">
    <w:abstractNumId w:val="26"/>
  </w:num>
  <w:num w:numId="48">
    <w:abstractNumId w:val="6"/>
  </w:num>
  <w:num w:numId="49">
    <w:abstractNumId w:val="29"/>
  </w:num>
  <w:num w:numId="50">
    <w:abstractNumId w:val="47"/>
  </w:num>
  <w:num w:numId="51">
    <w:abstractNumId w:val="32"/>
  </w:num>
  <w:num w:numId="52">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9B"/>
    <w:rsid w:val="00002767"/>
    <w:rsid w:val="00003841"/>
    <w:rsid w:val="00006A12"/>
    <w:rsid w:val="00023680"/>
    <w:rsid w:val="000242EF"/>
    <w:rsid w:val="00027FED"/>
    <w:rsid w:val="00032E71"/>
    <w:rsid w:val="00033AC1"/>
    <w:rsid w:val="00036524"/>
    <w:rsid w:val="00040DF8"/>
    <w:rsid w:val="00061B41"/>
    <w:rsid w:val="00064FF9"/>
    <w:rsid w:val="000657F4"/>
    <w:rsid w:val="00077236"/>
    <w:rsid w:val="00083700"/>
    <w:rsid w:val="0008517E"/>
    <w:rsid w:val="000938E7"/>
    <w:rsid w:val="000A377E"/>
    <w:rsid w:val="000C40E9"/>
    <w:rsid w:val="000C5B94"/>
    <w:rsid w:val="000D0478"/>
    <w:rsid w:val="000D5AEC"/>
    <w:rsid w:val="000D61EF"/>
    <w:rsid w:val="000E5AE6"/>
    <w:rsid w:val="00102EB7"/>
    <w:rsid w:val="00103B64"/>
    <w:rsid w:val="00104655"/>
    <w:rsid w:val="00110460"/>
    <w:rsid w:val="001140FC"/>
    <w:rsid w:val="00117107"/>
    <w:rsid w:val="00140BA8"/>
    <w:rsid w:val="001422A2"/>
    <w:rsid w:val="001501B0"/>
    <w:rsid w:val="00153B81"/>
    <w:rsid w:val="001719C8"/>
    <w:rsid w:val="00171D97"/>
    <w:rsid w:val="00181A56"/>
    <w:rsid w:val="00185B1B"/>
    <w:rsid w:val="00186B3C"/>
    <w:rsid w:val="001937D5"/>
    <w:rsid w:val="00196ECB"/>
    <w:rsid w:val="001A5C8F"/>
    <w:rsid w:val="001B0093"/>
    <w:rsid w:val="001B24D8"/>
    <w:rsid w:val="001B2AF8"/>
    <w:rsid w:val="001B41DD"/>
    <w:rsid w:val="001B6FC9"/>
    <w:rsid w:val="001B765C"/>
    <w:rsid w:val="001C2639"/>
    <w:rsid w:val="001C7F8F"/>
    <w:rsid w:val="001E374D"/>
    <w:rsid w:val="001E57FF"/>
    <w:rsid w:val="001F3543"/>
    <w:rsid w:val="001F502E"/>
    <w:rsid w:val="00204D84"/>
    <w:rsid w:val="00213FD5"/>
    <w:rsid w:val="00226066"/>
    <w:rsid w:val="00235E2B"/>
    <w:rsid w:val="00242447"/>
    <w:rsid w:val="00262685"/>
    <w:rsid w:val="00263429"/>
    <w:rsid w:val="00264E95"/>
    <w:rsid w:val="00265649"/>
    <w:rsid w:val="00274CB9"/>
    <w:rsid w:val="00282820"/>
    <w:rsid w:val="002858A7"/>
    <w:rsid w:val="002A30A2"/>
    <w:rsid w:val="002A3272"/>
    <w:rsid w:val="002C598E"/>
    <w:rsid w:val="002E0BF6"/>
    <w:rsid w:val="002E6C5A"/>
    <w:rsid w:val="002F449E"/>
    <w:rsid w:val="003074E0"/>
    <w:rsid w:val="0030769D"/>
    <w:rsid w:val="00310E1A"/>
    <w:rsid w:val="00315C25"/>
    <w:rsid w:val="00317C76"/>
    <w:rsid w:val="003213C8"/>
    <w:rsid w:val="003254FD"/>
    <w:rsid w:val="0032763D"/>
    <w:rsid w:val="00331301"/>
    <w:rsid w:val="0033432B"/>
    <w:rsid w:val="00337638"/>
    <w:rsid w:val="00340A12"/>
    <w:rsid w:val="00341540"/>
    <w:rsid w:val="00343949"/>
    <w:rsid w:val="00343A84"/>
    <w:rsid w:val="00357946"/>
    <w:rsid w:val="00357C48"/>
    <w:rsid w:val="00364010"/>
    <w:rsid w:val="003901B6"/>
    <w:rsid w:val="00395074"/>
    <w:rsid w:val="003B34D7"/>
    <w:rsid w:val="003D2380"/>
    <w:rsid w:val="003E79B7"/>
    <w:rsid w:val="003F1D18"/>
    <w:rsid w:val="003F2C29"/>
    <w:rsid w:val="003F75CC"/>
    <w:rsid w:val="004010C5"/>
    <w:rsid w:val="00410F5C"/>
    <w:rsid w:val="004226FF"/>
    <w:rsid w:val="004305A7"/>
    <w:rsid w:val="00430614"/>
    <w:rsid w:val="00447238"/>
    <w:rsid w:val="004722A9"/>
    <w:rsid w:val="004759CB"/>
    <w:rsid w:val="004919FB"/>
    <w:rsid w:val="004A20DB"/>
    <w:rsid w:val="004A2C3B"/>
    <w:rsid w:val="004B081F"/>
    <w:rsid w:val="004B24EA"/>
    <w:rsid w:val="004B3F1D"/>
    <w:rsid w:val="004C0850"/>
    <w:rsid w:val="004C44D6"/>
    <w:rsid w:val="004C4770"/>
    <w:rsid w:val="004C6B28"/>
    <w:rsid w:val="004D22FE"/>
    <w:rsid w:val="004D3475"/>
    <w:rsid w:val="004D3F19"/>
    <w:rsid w:val="004D4F45"/>
    <w:rsid w:val="004E3495"/>
    <w:rsid w:val="004F4629"/>
    <w:rsid w:val="00500B07"/>
    <w:rsid w:val="00502658"/>
    <w:rsid w:val="00504B85"/>
    <w:rsid w:val="00507975"/>
    <w:rsid w:val="00507A0B"/>
    <w:rsid w:val="005228D9"/>
    <w:rsid w:val="00523354"/>
    <w:rsid w:val="0052340A"/>
    <w:rsid w:val="00526913"/>
    <w:rsid w:val="00530F55"/>
    <w:rsid w:val="00535703"/>
    <w:rsid w:val="00535DB4"/>
    <w:rsid w:val="0053793A"/>
    <w:rsid w:val="005517B0"/>
    <w:rsid w:val="00551EC0"/>
    <w:rsid w:val="00560714"/>
    <w:rsid w:val="00576432"/>
    <w:rsid w:val="005843B3"/>
    <w:rsid w:val="005966DD"/>
    <w:rsid w:val="00597F65"/>
    <w:rsid w:val="005A4A59"/>
    <w:rsid w:val="005B2BC5"/>
    <w:rsid w:val="005B487C"/>
    <w:rsid w:val="005C1435"/>
    <w:rsid w:val="005C7CDC"/>
    <w:rsid w:val="005D0454"/>
    <w:rsid w:val="005D0E47"/>
    <w:rsid w:val="005D5906"/>
    <w:rsid w:val="005E0869"/>
    <w:rsid w:val="005F1D2B"/>
    <w:rsid w:val="005F4104"/>
    <w:rsid w:val="006016D8"/>
    <w:rsid w:val="0060517C"/>
    <w:rsid w:val="0060627A"/>
    <w:rsid w:val="00613B85"/>
    <w:rsid w:val="00633512"/>
    <w:rsid w:val="006505C8"/>
    <w:rsid w:val="006576B2"/>
    <w:rsid w:val="006664DC"/>
    <w:rsid w:val="0067089B"/>
    <w:rsid w:val="006764D0"/>
    <w:rsid w:val="006839F9"/>
    <w:rsid w:val="006936E5"/>
    <w:rsid w:val="00693963"/>
    <w:rsid w:val="006B00DE"/>
    <w:rsid w:val="006B1FC3"/>
    <w:rsid w:val="006C27D8"/>
    <w:rsid w:val="006D7A2F"/>
    <w:rsid w:val="006E11F7"/>
    <w:rsid w:val="006F1C9F"/>
    <w:rsid w:val="006F64E1"/>
    <w:rsid w:val="006F7D71"/>
    <w:rsid w:val="00701B06"/>
    <w:rsid w:val="00716B88"/>
    <w:rsid w:val="007217E2"/>
    <w:rsid w:val="007230FD"/>
    <w:rsid w:val="0073445E"/>
    <w:rsid w:val="00734D60"/>
    <w:rsid w:val="00746767"/>
    <w:rsid w:val="007667FA"/>
    <w:rsid w:val="007733D0"/>
    <w:rsid w:val="00774F45"/>
    <w:rsid w:val="007802D8"/>
    <w:rsid w:val="00780CD3"/>
    <w:rsid w:val="007870DF"/>
    <w:rsid w:val="00793F8C"/>
    <w:rsid w:val="007A15A8"/>
    <w:rsid w:val="007A712B"/>
    <w:rsid w:val="007B34F4"/>
    <w:rsid w:val="007E1A0D"/>
    <w:rsid w:val="007F23D9"/>
    <w:rsid w:val="007F42A6"/>
    <w:rsid w:val="008062E3"/>
    <w:rsid w:val="008069FB"/>
    <w:rsid w:val="00821BF1"/>
    <w:rsid w:val="00822096"/>
    <w:rsid w:val="008233DB"/>
    <w:rsid w:val="00824A78"/>
    <w:rsid w:val="00830061"/>
    <w:rsid w:val="00831D60"/>
    <w:rsid w:val="00850605"/>
    <w:rsid w:val="008645C7"/>
    <w:rsid w:val="008651BD"/>
    <w:rsid w:val="00882368"/>
    <w:rsid w:val="00887F5D"/>
    <w:rsid w:val="008A5682"/>
    <w:rsid w:val="008C0DE1"/>
    <w:rsid w:val="008C5B23"/>
    <w:rsid w:val="008D3DD6"/>
    <w:rsid w:val="008D4A5B"/>
    <w:rsid w:val="008E04C4"/>
    <w:rsid w:val="008E2221"/>
    <w:rsid w:val="008E2407"/>
    <w:rsid w:val="008F07E0"/>
    <w:rsid w:val="008F64A3"/>
    <w:rsid w:val="008F7517"/>
    <w:rsid w:val="00902003"/>
    <w:rsid w:val="00904AAA"/>
    <w:rsid w:val="009134EC"/>
    <w:rsid w:val="0091572F"/>
    <w:rsid w:val="009224F5"/>
    <w:rsid w:val="00924955"/>
    <w:rsid w:val="00926CD4"/>
    <w:rsid w:val="00931E21"/>
    <w:rsid w:val="0093623E"/>
    <w:rsid w:val="00947185"/>
    <w:rsid w:val="009555F5"/>
    <w:rsid w:val="00962C1F"/>
    <w:rsid w:val="009723D2"/>
    <w:rsid w:val="00975449"/>
    <w:rsid w:val="00986A30"/>
    <w:rsid w:val="00996B34"/>
    <w:rsid w:val="009A04D6"/>
    <w:rsid w:val="009A3575"/>
    <w:rsid w:val="009A7BA8"/>
    <w:rsid w:val="009D0576"/>
    <w:rsid w:val="009D1B05"/>
    <w:rsid w:val="009D47B7"/>
    <w:rsid w:val="009E28D8"/>
    <w:rsid w:val="009E5B3D"/>
    <w:rsid w:val="009E655B"/>
    <w:rsid w:val="009F05AF"/>
    <w:rsid w:val="00A004BA"/>
    <w:rsid w:val="00A01CC6"/>
    <w:rsid w:val="00A060D4"/>
    <w:rsid w:val="00A12448"/>
    <w:rsid w:val="00A206CD"/>
    <w:rsid w:val="00A27FE3"/>
    <w:rsid w:val="00A3072D"/>
    <w:rsid w:val="00A32CB7"/>
    <w:rsid w:val="00A37525"/>
    <w:rsid w:val="00A4083D"/>
    <w:rsid w:val="00A44874"/>
    <w:rsid w:val="00A46986"/>
    <w:rsid w:val="00A53292"/>
    <w:rsid w:val="00A857B9"/>
    <w:rsid w:val="00A93432"/>
    <w:rsid w:val="00A96C1E"/>
    <w:rsid w:val="00AB7051"/>
    <w:rsid w:val="00AC410F"/>
    <w:rsid w:val="00AD5185"/>
    <w:rsid w:val="00AD77A7"/>
    <w:rsid w:val="00AE3F99"/>
    <w:rsid w:val="00AE711E"/>
    <w:rsid w:val="00AF3D4C"/>
    <w:rsid w:val="00AF5122"/>
    <w:rsid w:val="00AF637C"/>
    <w:rsid w:val="00B01EDE"/>
    <w:rsid w:val="00B05373"/>
    <w:rsid w:val="00B06430"/>
    <w:rsid w:val="00B174C2"/>
    <w:rsid w:val="00B17843"/>
    <w:rsid w:val="00B20E61"/>
    <w:rsid w:val="00B24D31"/>
    <w:rsid w:val="00B44EF9"/>
    <w:rsid w:val="00B457BD"/>
    <w:rsid w:val="00B46A1D"/>
    <w:rsid w:val="00B5152D"/>
    <w:rsid w:val="00B51DBD"/>
    <w:rsid w:val="00B5268D"/>
    <w:rsid w:val="00B55793"/>
    <w:rsid w:val="00B560C2"/>
    <w:rsid w:val="00B5693F"/>
    <w:rsid w:val="00B741A0"/>
    <w:rsid w:val="00B85071"/>
    <w:rsid w:val="00B860EA"/>
    <w:rsid w:val="00B87499"/>
    <w:rsid w:val="00B877FD"/>
    <w:rsid w:val="00B91C85"/>
    <w:rsid w:val="00B97E64"/>
    <w:rsid w:val="00BA1957"/>
    <w:rsid w:val="00BA3917"/>
    <w:rsid w:val="00BA4895"/>
    <w:rsid w:val="00BA6863"/>
    <w:rsid w:val="00BA722B"/>
    <w:rsid w:val="00BA7E88"/>
    <w:rsid w:val="00BC50E8"/>
    <w:rsid w:val="00BD5BB6"/>
    <w:rsid w:val="00C206DA"/>
    <w:rsid w:val="00C270B0"/>
    <w:rsid w:val="00C30A46"/>
    <w:rsid w:val="00C30AE6"/>
    <w:rsid w:val="00C30BE4"/>
    <w:rsid w:val="00C332C6"/>
    <w:rsid w:val="00C35E7F"/>
    <w:rsid w:val="00C37263"/>
    <w:rsid w:val="00C431FF"/>
    <w:rsid w:val="00C447E8"/>
    <w:rsid w:val="00C472A8"/>
    <w:rsid w:val="00C57A7F"/>
    <w:rsid w:val="00C60982"/>
    <w:rsid w:val="00C70068"/>
    <w:rsid w:val="00C95FBF"/>
    <w:rsid w:val="00C97145"/>
    <w:rsid w:val="00C97185"/>
    <w:rsid w:val="00CA2D24"/>
    <w:rsid w:val="00CB41C7"/>
    <w:rsid w:val="00CB66C7"/>
    <w:rsid w:val="00CC3322"/>
    <w:rsid w:val="00CC6152"/>
    <w:rsid w:val="00CD2C1E"/>
    <w:rsid w:val="00CD421D"/>
    <w:rsid w:val="00CD5BB3"/>
    <w:rsid w:val="00CE1D1A"/>
    <w:rsid w:val="00CE3451"/>
    <w:rsid w:val="00CF6953"/>
    <w:rsid w:val="00D01F24"/>
    <w:rsid w:val="00D04D9B"/>
    <w:rsid w:val="00D11368"/>
    <w:rsid w:val="00D12436"/>
    <w:rsid w:val="00D316C5"/>
    <w:rsid w:val="00D332D6"/>
    <w:rsid w:val="00D33FBD"/>
    <w:rsid w:val="00D36286"/>
    <w:rsid w:val="00D44BFC"/>
    <w:rsid w:val="00D64BF4"/>
    <w:rsid w:val="00D66E8C"/>
    <w:rsid w:val="00D67C66"/>
    <w:rsid w:val="00D928EA"/>
    <w:rsid w:val="00D960A9"/>
    <w:rsid w:val="00DA3969"/>
    <w:rsid w:val="00DA4ACB"/>
    <w:rsid w:val="00DA554A"/>
    <w:rsid w:val="00DB158D"/>
    <w:rsid w:val="00DB3CF7"/>
    <w:rsid w:val="00DD4ABF"/>
    <w:rsid w:val="00DF42BC"/>
    <w:rsid w:val="00E2366A"/>
    <w:rsid w:val="00E42D9E"/>
    <w:rsid w:val="00E4361D"/>
    <w:rsid w:val="00E447DD"/>
    <w:rsid w:val="00E457EB"/>
    <w:rsid w:val="00E4674C"/>
    <w:rsid w:val="00E46C9D"/>
    <w:rsid w:val="00E508F1"/>
    <w:rsid w:val="00E62A5A"/>
    <w:rsid w:val="00E745E2"/>
    <w:rsid w:val="00E7496C"/>
    <w:rsid w:val="00E775EF"/>
    <w:rsid w:val="00E81D72"/>
    <w:rsid w:val="00E828C3"/>
    <w:rsid w:val="00E84420"/>
    <w:rsid w:val="00E91780"/>
    <w:rsid w:val="00EA70C6"/>
    <w:rsid w:val="00ED0883"/>
    <w:rsid w:val="00ED4E8E"/>
    <w:rsid w:val="00EE1850"/>
    <w:rsid w:val="00EE4C2B"/>
    <w:rsid w:val="00EF030B"/>
    <w:rsid w:val="00EF2917"/>
    <w:rsid w:val="00EF47D5"/>
    <w:rsid w:val="00F02037"/>
    <w:rsid w:val="00F07ADA"/>
    <w:rsid w:val="00F26475"/>
    <w:rsid w:val="00F26A48"/>
    <w:rsid w:val="00F54B28"/>
    <w:rsid w:val="00F624EA"/>
    <w:rsid w:val="00F753CB"/>
    <w:rsid w:val="00F90AC4"/>
    <w:rsid w:val="00F92208"/>
    <w:rsid w:val="00F928D5"/>
    <w:rsid w:val="00F92E83"/>
    <w:rsid w:val="00F947B4"/>
    <w:rsid w:val="00F96AEC"/>
    <w:rsid w:val="00FA0033"/>
    <w:rsid w:val="00FA0507"/>
    <w:rsid w:val="00FA552D"/>
    <w:rsid w:val="00FA63C0"/>
    <w:rsid w:val="00FB4D7A"/>
    <w:rsid w:val="00FC1CF6"/>
    <w:rsid w:val="00FC65CD"/>
    <w:rsid w:val="00FC6872"/>
    <w:rsid w:val="00FD4916"/>
    <w:rsid w:val="00FF22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0633"/>
  <w15:chartTrackingRefBased/>
  <w15:docId w15:val="{84643805-3372-4208-A2F9-495BD897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7107"/>
    <w:pPr>
      <w:spacing w:after="200" w:line="276" w:lineRule="auto"/>
    </w:pPr>
    <w:rPr>
      <w:rFonts w:ascii="Calibri" w:eastAsia="Calibri" w:hAnsi="Calibri" w:cs="Times New Roman"/>
    </w:rPr>
  </w:style>
  <w:style w:type="paragraph" w:styleId="Naslov1">
    <w:name w:val="heading 1"/>
    <w:basedOn w:val="Navaden"/>
    <w:next w:val="Navaden"/>
    <w:link w:val="Naslov1Znak"/>
    <w:uiPriority w:val="9"/>
    <w:qFormat/>
    <w:rsid w:val="00422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qFormat/>
    <w:rsid w:val="00D04D9B"/>
    <w:pPr>
      <w:keepNext/>
      <w:spacing w:after="0" w:line="240" w:lineRule="auto"/>
      <w:outlineLvl w:val="1"/>
    </w:pPr>
    <w:rPr>
      <w:rFonts w:ascii="Cambria" w:eastAsia="Cambria" w:hAnsi="Cambria"/>
      <w:i/>
      <w:i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D04D9B"/>
    <w:rPr>
      <w:rFonts w:ascii="Cambria" w:eastAsia="Cambria" w:hAnsi="Cambria" w:cs="Times New Roman"/>
      <w:i/>
      <w:iCs/>
      <w:sz w:val="24"/>
      <w:szCs w:val="24"/>
      <w:lang w:eastAsia="sl-SI"/>
    </w:rPr>
  </w:style>
  <w:style w:type="paragraph" w:styleId="Glava">
    <w:name w:val="header"/>
    <w:basedOn w:val="Navaden"/>
    <w:link w:val="GlavaZnak"/>
    <w:rsid w:val="00D04D9B"/>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rsid w:val="00D04D9B"/>
    <w:rPr>
      <w:rFonts w:ascii="Arial" w:eastAsia="Times New Roman" w:hAnsi="Arial" w:cs="Times New Roman"/>
      <w:sz w:val="20"/>
      <w:szCs w:val="24"/>
    </w:rPr>
  </w:style>
  <w:style w:type="paragraph" w:customStyle="1" w:styleId="Neotevilenodstavek">
    <w:name w:val="Neoštevilčen odstavek"/>
    <w:basedOn w:val="Navaden"/>
    <w:link w:val="NeotevilenodstavekZnak"/>
    <w:qFormat/>
    <w:rsid w:val="00D04D9B"/>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D04D9B"/>
    <w:rPr>
      <w:rFonts w:ascii="Arial" w:eastAsia="Times New Roman" w:hAnsi="Arial" w:cs="Times New Roman"/>
    </w:rPr>
  </w:style>
  <w:style w:type="paragraph" w:customStyle="1" w:styleId="Alineazatoko">
    <w:name w:val="Alinea za točko"/>
    <w:basedOn w:val="Navaden"/>
    <w:qFormat/>
    <w:rsid w:val="00D04D9B"/>
    <w:pPr>
      <w:numPr>
        <w:numId w:val="2"/>
      </w:numPr>
      <w:overflowPunct w:val="0"/>
      <w:autoSpaceDE w:val="0"/>
      <w:autoSpaceDN w:val="0"/>
      <w:adjustRightInd w:val="0"/>
      <w:spacing w:after="0" w:line="200" w:lineRule="exact"/>
      <w:jc w:val="both"/>
      <w:textAlignment w:val="baseline"/>
    </w:pPr>
    <w:rPr>
      <w:rFonts w:ascii="Arial" w:eastAsia="Times New Roman" w:hAnsi="Arial"/>
    </w:rPr>
  </w:style>
  <w:style w:type="paragraph" w:customStyle="1" w:styleId="Alineazatevilnotoko">
    <w:name w:val="Alinea za številčno točko"/>
    <w:basedOn w:val="Navaden"/>
    <w:qFormat/>
    <w:rsid w:val="00D04D9B"/>
    <w:pPr>
      <w:numPr>
        <w:numId w:val="1"/>
      </w:numPr>
      <w:tabs>
        <w:tab w:val="left" w:pos="567"/>
      </w:tabs>
      <w:spacing w:after="0" w:line="240" w:lineRule="auto"/>
      <w:ind w:left="567" w:hanging="142"/>
      <w:jc w:val="both"/>
    </w:pPr>
    <w:rPr>
      <w:rFonts w:ascii="Arial" w:eastAsia="Times New Roman" w:hAnsi="Arial" w:cs="Arial"/>
      <w:lang w:eastAsia="sl-SI"/>
    </w:rPr>
  </w:style>
  <w:style w:type="paragraph" w:styleId="Odstavekseznama">
    <w:name w:val="List Paragraph"/>
    <w:aliases w:val="numbered list"/>
    <w:basedOn w:val="Navaden"/>
    <w:link w:val="OdstavekseznamaZnak"/>
    <w:qFormat/>
    <w:rsid w:val="00D04D9B"/>
    <w:pPr>
      <w:ind w:left="720"/>
      <w:contextualSpacing/>
    </w:pPr>
  </w:style>
  <w:style w:type="character" w:styleId="Hiperpovezava">
    <w:name w:val="Hyperlink"/>
    <w:uiPriority w:val="99"/>
    <w:rsid w:val="001A5C8F"/>
    <w:rPr>
      <w:color w:val="0000FF"/>
      <w:u w:val="single"/>
    </w:rPr>
  </w:style>
  <w:style w:type="paragraph" w:styleId="Telobesedila2">
    <w:name w:val="Body Text 2"/>
    <w:basedOn w:val="Navaden"/>
    <w:link w:val="Telobesedila2Znak"/>
    <w:rsid w:val="009E5B3D"/>
    <w:pPr>
      <w:spacing w:after="120" w:line="480" w:lineRule="auto"/>
    </w:pPr>
    <w:rPr>
      <w:lang w:val="en-US"/>
    </w:rPr>
  </w:style>
  <w:style w:type="character" w:customStyle="1" w:styleId="Telobesedila2Znak">
    <w:name w:val="Telo besedila 2 Znak"/>
    <w:basedOn w:val="Privzetapisavaodstavka"/>
    <w:link w:val="Telobesedila2"/>
    <w:rsid w:val="009E5B3D"/>
    <w:rPr>
      <w:rFonts w:ascii="Calibri" w:eastAsia="Calibri" w:hAnsi="Calibri" w:cs="Times New Roman"/>
      <w:lang w:val="en-US"/>
    </w:rPr>
  </w:style>
  <w:style w:type="paragraph" w:styleId="Navadensplet">
    <w:name w:val="Normal (Web)"/>
    <w:basedOn w:val="Navaden"/>
    <w:uiPriority w:val="99"/>
    <w:unhideWhenUsed/>
    <w:rsid w:val="00D316C5"/>
    <w:pPr>
      <w:spacing w:before="100" w:beforeAutospacing="1" w:after="100" w:afterAutospacing="1" w:line="240" w:lineRule="auto"/>
    </w:pPr>
    <w:rPr>
      <w:rFonts w:eastAsiaTheme="minorHAnsi" w:cs="Calibri"/>
      <w:lang w:eastAsia="sl-SI"/>
    </w:rPr>
  </w:style>
  <w:style w:type="paragraph" w:customStyle="1" w:styleId="odstavek">
    <w:name w:val="odstavek"/>
    <w:basedOn w:val="Navaden"/>
    <w:rsid w:val="00D316C5"/>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447238"/>
    <w:pPr>
      <w:spacing w:after="0" w:line="240" w:lineRule="auto"/>
    </w:pPr>
    <w:rPr>
      <w:rFonts w:ascii="Calibri" w:eastAsia="Calibri" w:hAnsi="Calibri" w:cs="Times New Roman"/>
    </w:rPr>
  </w:style>
  <w:style w:type="paragraph" w:customStyle="1" w:styleId="alineazaodstavkom">
    <w:name w:val="alineazaodstavkom"/>
    <w:basedOn w:val="Navaden"/>
    <w:rsid w:val="00A206C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4B24E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tevilnotoko0">
    <w:name w:val="alineazatevilnotoko"/>
    <w:basedOn w:val="Navaden"/>
    <w:rsid w:val="004B24EA"/>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1Znak">
    <w:name w:val="Naslov 1 Znak"/>
    <w:basedOn w:val="Privzetapisavaodstavka"/>
    <w:link w:val="Naslov1"/>
    <w:uiPriority w:val="9"/>
    <w:rsid w:val="004226FF"/>
    <w:rPr>
      <w:rFonts w:asciiTheme="majorHAnsi" w:eastAsiaTheme="majorEastAsia" w:hAnsiTheme="majorHAnsi" w:cstheme="majorBidi"/>
      <w:color w:val="2F5496" w:themeColor="accent1" w:themeShade="BF"/>
      <w:sz w:val="32"/>
      <w:szCs w:val="32"/>
    </w:rPr>
  </w:style>
  <w:style w:type="paragraph" w:styleId="Sprotnaopomba-besedilo">
    <w:name w:val="footnote text"/>
    <w:basedOn w:val="Navaden"/>
    <w:link w:val="Sprotnaopomba-besediloZnak"/>
    <w:uiPriority w:val="99"/>
    <w:semiHidden/>
    <w:unhideWhenUsed/>
    <w:rsid w:val="008E222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E2221"/>
    <w:rPr>
      <w:rFonts w:ascii="Calibri" w:eastAsia="Calibri" w:hAnsi="Calibri" w:cs="Times New Roman"/>
      <w:sz w:val="20"/>
      <w:szCs w:val="20"/>
    </w:rPr>
  </w:style>
  <w:style w:type="character" w:styleId="Sprotnaopomba-sklic">
    <w:name w:val="footnote reference"/>
    <w:basedOn w:val="Privzetapisavaodstavka"/>
    <w:uiPriority w:val="99"/>
    <w:semiHidden/>
    <w:unhideWhenUsed/>
    <w:rsid w:val="008E2221"/>
    <w:rPr>
      <w:vertAlign w:val="superscript"/>
    </w:rPr>
  </w:style>
  <w:style w:type="character" w:customStyle="1" w:styleId="OdstavekseznamaZnak">
    <w:name w:val="Odstavek seznama Znak"/>
    <w:aliases w:val="numbered list Znak"/>
    <w:link w:val="Odstavekseznama"/>
    <w:locked/>
    <w:rsid w:val="00FA0033"/>
    <w:rPr>
      <w:rFonts w:ascii="Calibri" w:eastAsia="Calibri" w:hAnsi="Calibri" w:cs="Times New Roman"/>
    </w:rPr>
  </w:style>
  <w:style w:type="table" w:styleId="Tabelamrea">
    <w:name w:val="Table Grid"/>
    <w:basedOn w:val="Navadnatabela"/>
    <w:uiPriority w:val="39"/>
    <w:rsid w:val="00FA0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D12436"/>
    <w:pPr>
      <w:spacing w:line="240" w:lineRule="auto"/>
    </w:pPr>
    <w:rPr>
      <w:i/>
      <w:iCs/>
      <w:color w:val="44546A" w:themeColor="text2"/>
      <w:sz w:val="18"/>
      <w:szCs w:val="18"/>
    </w:rPr>
  </w:style>
  <w:style w:type="character" w:styleId="tevilkavrstice">
    <w:name w:val="line number"/>
    <w:basedOn w:val="Privzetapisavaodstavka"/>
    <w:uiPriority w:val="99"/>
    <w:semiHidden/>
    <w:unhideWhenUsed/>
    <w:rsid w:val="005E0869"/>
  </w:style>
  <w:style w:type="paragraph" w:styleId="Noga">
    <w:name w:val="footer"/>
    <w:basedOn w:val="Navaden"/>
    <w:link w:val="NogaZnak"/>
    <w:uiPriority w:val="99"/>
    <w:unhideWhenUsed/>
    <w:rsid w:val="005E0869"/>
    <w:pPr>
      <w:tabs>
        <w:tab w:val="center" w:pos="4536"/>
        <w:tab w:val="right" w:pos="9072"/>
      </w:tabs>
      <w:spacing w:after="0" w:line="240" w:lineRule="auto"/>
    </w:pPr>
  </w:style>
  <w:style w:type="character" w:customStyle="1" w:styleId="NogaZnak">
    <w:name w:val="Noga Znak"/>
    <w:basedOn w:val="Privzetapisavaodstavka"/>
    <w:link w:val="Noga"/>
    <w:uiPriority w:val="99"/>
    <w:rsid w:val="005E0869"/>
    <w:rPr>
      <w:rFonts w:ascii="Calibri" w:eastAsia="Calibri" w:hAnsi="Calibri" w:cs="Times New Roman"/>
    </w:rPr>
  </w:style>
  <w:style w:type="character" w:styleId="Pripombasklic">
    <w:name w:val="annotation reference"/>
    <w:basedOn w:val="Privzetapisavaodstavka"/>
    <w:uiPriority w:val="99"/>
    <w:semiHidden/>
    <w:unhideWhenUsed/>
    <w:rsid w:val="00B457BD"/>
    <w:rPr>
      <w:sz w:val="16"/>
      <w:szCs w:val="16"/>
    </w:rPr>
  </w:style>
  <w:style w:type="paragraph" w:styleId="Pripombabesedilo">
    <w:name w:val="annotation text"/>
    <w:basedOn w:val="Navaden"/>
    <w:link w:val="PripombabesediloZnak"/>
    <w:uiPriority w:val="99"/>
    <w:semiHidden/>
    <w:unhideWhenUsed/>
    <w:rsid w:val="00B457B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457BD"/>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B457BD"/>
    <w:rPr>
      <w:b/>
      <w:bCs/>
    </w:rPr>
  </w:style>
  <w:style w:type="character" w:customStyle="1" w:styleId="ZadevapripombeZnak">
    <w:name w:val="Zadeva pripombe Znak"/>
    <w:basedOn w:val="PripombabesediloZnak"/>
    <w:link w:val="Zadevapripombe"/>
    <w:uiPriority w:val="99"/>
    <w:semiHidden/>
    <w:rsid w:val="00B457BD"/>
    <w:rPr>
      <w:rFonts w:ascii="Calibri" w:eastAsia="Calibri" w:hAnsi="Calibri" w:cs="Times New Roman"/>
      <w:b/>
      <w:bCs/>
      <w:sz w:val="20"/>
      <w:szCs w:val="20"/>
    </w:rPr>
  </w:style>
  <w:style w:type="table" w:styleId="Tabelasvetlamrea">
    <w:name w:val="Grid Table Light"/>
    <w:basedOn w:val="Navadnatabela"/>
    <w:uiPriority w:val="40"/>
    <w:rsid w:val="006335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886">
      <w:bodyDiv w:val="1"/>
      <w:marLeft w:val="0"/>
      <w:marRight w:val="0"/>
      <w:marTop w:val="0"/>
      <w:marBottom w:val="0"/>
      <w:divBdr>
        <w:top w:val="none" w:sz="0" w:space="0" w:color="auto"/>
        <w:left w:val="none" w:sz="0" w:space="0" w:color="auto"/>
        <w:bottom w:val="none" w:sz="0" w:space="0" w:color="auto"/>
        <w:right w:val="none" w:sz="0" w:space="0" w:color="auto"/>
      </w:divBdr>
    </w:div>
    <w:div w:id="162286918">
      <w:bodyDiv w:val="1"/>
      <w:marLeft w:val="0"/>
      <w:marRight w:val="0"/>
      <w:marTop w:val="0"/>
      <w:marBottom w:val="0"/>
      <w:divBdr>
        <w:top w:val="none" w:sz="0" w:space="0" w:color="auto"/>
        <w:left w:val="none" w:sz="0" w:space="0" w:color="auto"/>
        <w:bottom w:val="none" w:sz="0" w:space="0" w:color="auto"/>
        <w:right w:val="none" w:sz="0" w:space="0" w:color="auto"/>
      </w:divBdr>
      <w:divsChild>
        <w:div w:id="352919398">
          <w:marLeft w:val="0"/>
          <w:marRight w:val="0"/>
          <w:marTop w:val="0"/>
          <w:marBottom w:val="0"/>
          <w:divBdr>
            <w:top w:val="none" w:sz="0" w:space="0" w:color="auto"/>
            <w:left w:val="none" w:sz="0" w:space="0" w:color="auto"/>
            <w:bottom w:val="none" w:sz="0" w:space="0" w:color="auto"/>
            <w:right w:val="none" w:sz="0" w:space="0" w:color="auto"/>
          </w:divBdr>
        </w:div>
        <w:div w:id="668026988">
          <w:marLeft w:val="0"/>
          <w:marRight w:val="0"/>
          <w:marTop w:val="0"/>
          <w:marBottom w:val="0"/>
          <w:divBdr>
            <w:top w:val="none" w:sz="0" w:space="0" w:color="auto"/>
            <w:left w:val="none" w:sz="0" w:space="0" w:color="auto"/>
            <w:bottom w:val="none" w:sz="0" w:space="0" w:color="auto"/>
            <w:right w:val="none" w:sz="0" w:space="0" w:color="auto"/>
          </w:divBdr>
        </w:div>
        <w:div w:id="1709598007">
          <w:marLeft w:val="0"/>
          <w:marRight w:val="0"/>
          <w:marTop w:val="0"/>
          <w:marBottom w:val="0"/>
          <w:divBdr>
            <w:top w:val="none" w:sz="0" w:space="0" w:color="auto"/>
            <w:left w:val="none" w:sz="0" w:space="0" w:color="auto"/>
            <w:bottom w:val="none" w:sz="0" w:space="0" w:color="auto"/>
            <w:right w:val="none" w:sz="0" w:space="0" w:color="auto"/>
          </w:divBdr>
        </w:div>
        <w:div w:id="397944561">
          <w:marLeft w:val="0"/>
          <w:marRight w:val="0"/>
          <w:marTop w:val="0"/>
          <w:marBottom w:val="0"/>
          <w:divBdr>
            <w:top w:val="none" w:sz="0" w:space="0" w:color="auto"/>
            <w:left w:val="none" w:sz="0" w:space="0" w:color="auto"/>
            <w:bottom w:val="none" w:sz="0" w:space="0" w:color="auto"/>
            <w:right w:val="none" w:sz="0" w:space="0" w:color="auto"/>
          </w:divBdr>
        </w:div>
        <w:div w:id="270630095">
          <w:marLeft w:val="0"/>
          <w:marRight w:val="0"/>
          <w:marTop w:val="0"/>
          <w:marBottom w:val="0"/>
          <w:divBdr>
            <w:top w:val="none" w:sz="0" w:space="0" w:color="auto"/>
            <w:left w:val="none" w:sz="0" w:space="0" w:color="auto"/>
            <w:bottom w:val="none" w:sz="0" w:space="0" w:color="auto"/>
            <w:right w:val="none" w:sz="0" w:space="0" w:color="auto"/>
          </w:divBdr>
        </w:div>
        <w:div w:id="810557808">
          <w:marLeft w:val="0"/>
          <w:marRight w:val="0"/>
          <w:marTop w:val="0"/>
          <w:marBottom w:val="0"/>
          <w:divBdr>
            <w:top w:val="none" w:sz="0" w:space="0" w:color="auto"/>
            <w:left w:val="none" w:sz="0" w:space="0" w:color="auto"/>
            <w:bottom w:val="none" w:sz="0" w:space="0" w:color="auto"/>
            <w:right w:val="none" w:sz="0" w:space="0" w:color="auto"/>
          </w:divBdr>
        </w:div>
      </w:divsChild>
    </w:div>
    <w:div w:id="170798507">
      <w:bodyDiv w:val="1"/>
      <w:marLeft w:val="0"/>
      <w:marRight w:val="0"/>
      <w:marTop w:val="0"/>
      <w:marBottom w:val="0"/>
      <w:divBdr>
        <w:top w:val="none" w:sz="0" w:space="0" w:color="auto"/>
        <w:left w:val="none" w:sz="0" w:space="0" w:color="auto"/>
        <w:bottom w:val="none" w:sz="0" w:space="0" w:color="auto"/>
        <w:right w:val="none" w:sz="0" w:space="0" w:color="auto"/>
      </w:divBdr>
    </w:div>
    <w:div w:id="172497545">
      <w:bodyDiv w:val="1"/>
      <w:marLeft w:val="0"/>
      <w:marRight w:val="0"/>
      <w:marTop w:val="0"/>
      <w:marBottom w:val="0"/>
      <w:divBdr>
        <w:top w:val="none" w:sz="0" w:space="0" w:color="auto"/>
        <w:left w:val="none" w:sz="0" w:space="0" w:color="auto"/>
        <w:bottom w:val="none" w:sz="0" w:space="0" w:color="auto"/>
        <w:right w:val="none" w:sz="0" w:space="0" w:color="auto"/>
      </w:divBdr>
    </w:div>
    <w:div w:id="194122714">
      <w:bodyDiv w:val="1"/>
      <w:marLeft w:val="0"/>
      <w:marRight w:val="0"/>
      <w:marTop w:val="0"/>
      <w:marBottom w:val="0"/>
      <w:divBdr>
        <w:top w:val="none" w:sz="0" w:space="0" w:color="auto"/>
        <w:left w:val="none" w:sz="0" w:space="0" w:color="auto"/>
        <w:bottom w:val="none" w:sz="0" w:space="0" w:color="auto"/>
        <w:right w:val="none" w:sz="0" w:space="0" w:color="auto"/>
      </w:divBdr>
    </w:div>
    <w:div w:id="225073305">
      <w:bodyDiv w:val="1"/>
      <w:marLeft w:val="0"/>
      <w:marRight w:val="0"/>
      <w:marTop w:val="0"/>
      <w:marBottom w:val="0"/>
      <w:divBdr>
        <w:top w:val="none" w:sz="0" w:space="0" w:color="auto"/>
        <w:left w:val="none" w:sz="0" w:space="0" w:color="auto"/>
        <w:bottom w:val="none" w:sz="0" w:space="0" w:color="auto"/>
        <w:right w:val="none" w:sz="0" w:space="0" w:color="auto"/>
      </w:divBdr>
    </w:div>
    <w:div w:id="282880090">
      <w:bodyDiv w:val="1"/>
      <w:marLeft w:val="0"/>
      <w:marRight w:val="0"/>
      <w:marTop w:val="0"/>
      <w:marBottom w:val="0"/>
      <w:divBdr>
        <w:top w:val="none" w:sz="0" w:space="0" w:color="auto"/>
        <w:left w:val="none" w:sz="0" w:space="0" w:color="auto"/>
        <w:bottom w:val="none" w:sz="0" w:space="0" w:color="auto"/>
        <w:right w:val="none" w:sz="0" w:space="0" w:color="auto"/>
      </w:divBdr>
    </w:div>
    <w:div w:id="351497141">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428816893">
      <w:bodyDiv w:val="1"/>
      <w:marLeft w:val="0"/>
      <w:marRight w:val="0"/>
      <w:marTop w:val="0"/>
      <w:marBottom w:val="0"/>
      <w:divBdr>
        <w:top w:val="none" w:sz="0" w:space="0" w:color="auto"/>
        <w:left w:val="none" w:sz="0" w:space="0" w:color="auto"/>
        <w:bottom w:val="none" w:sz="0" w:space="0" w:color="auto"/>
        <w:right w:val="none" w:sz="0" w:space="0" w:color="auto"/>
      </w:divBdr>
    </w:div>
    <w:div w:id="451477851">
      <w:bodyDiv w:val="1"/>
      <w:marLeft w:val="0"/>
      <w:marRight w:val="0"/>
      <w:marTop w:val="0"/>
      <w:marBottom w:val="0"/>
      <w:divBdr>
        <w:top w:val="none" w:sz="0" w:space="0" w:color="auto"/>
        <w:left w:val="none" w:sz="0" w:space="0" w:color="auto"/>
        <w:bottom w:val="none" w:sz="0" w:space="0" w:color="auto"/>
        <w:right w:val="none" w:sz="0" w:space="0" w:color="auto"/>
      </w:divBdr>
    </w:div>
    <w:div w:id="480462638">
      <w:bodyDiv w:val="1"/>
      <w:marLeft w:val="0"/>
      <w:marRight w:val="0"/>
      <w:marTop w:val="0"/>
      <w:marBottom w:val="0"/>
      <w:divBdr>
        <w:top w:val="none" w:sz="0" w:space="0" w:color="auto"/>
        <w:left w:val="none" w:sz="0" w:space="0" w:color="auto"/>
        <w:bottom w:val="none" w:sz="0" w:space="0" w:color="auto"/>
        <w:right w:val="none" w:sz="0" w:space="0" w:color="auto"/>
      </w:divBdr>
    </w:div>
    <w:div w:id="536355191">
      <w:bodyDiv w:val="1"/>
      <w:marLeft w:val="0"/>
      <w:marRight w:val="0"/>
      <w:marTop w:val="0"/>
      <w:marBottom w:val="0"/>
      <w:divBdr>
        <w:top w:val="none" w:sz="0" w:space="0" w:color="auto"/>
        <w:left w:val="none" w:sz="0" w:space="0" w:color="auto"/>
        <w:bottom w:val="none" w:sz="0" w:space="0" w:color="auto"/>
        <w:right w:val="none" w:sz="0" w:space="0" w:color="auto"/>
      </w:divBdr>
    </w:div>
    <w:div w:id="642082895">
      <w:bodyDiv w:val="1"/>
      <w:marLeft w:val="0"/>
      <w:marRight w:val="0"/>
      <w:marTop w:val="0"/>
      <w:marBottom w:val="0"/>
      <w:divBdr>
        <w:top w:val="none" w:sz="0" w:space="0" w:color="auto"/>
        <w:left w:val="none" w:sz="0" w:space="0" w:color="auto"/>
        <w:bottom w:val="none" w:sz="0" w:space="0" w:color="auto"/>
        <w:right w:val="none" w:sz="0" w:space="0" w:color="auto"/>
      </w:divBdr>
    </w:div>
    <w:div w:id="675886983">
      <w:bodyDiv w:val="1"/>
      <w:marLeft w:val="0"/>
      <w:marRight w:val="0"/>
      <w:marTop w:val="0"/>
      <w:marBottom w:val="0"/>
      <w:divBdr>
        <w:top w:val="none" w:sz="0" w:space="0" w:color="auto"/>
        <w:left w:val="none" w:sz="0" w:space="0" w:color="auto"/>
        <w:bottom w:val="none" w:sz="0" w:space="0" w:color="auto"/>
        <w:right w:val="none" w:sz="0" w:space="0" w:color="auto"/>
      </w:divBdr>
    </w:div>
    <w:div w:id="677804724">
      <w:bodyDiv w:val="1"/>
      <w:marLeft w:val="0"/>
      <w:marRight w:val="0"/>
      <w:marTop w:val="0"/>
      <w:marBottom w:val="0"/>
      <w:divBdr>
        <w:top w:val="none" w:sz="0" w:space="0" w:color="auto"/>
        <w:left w:val="none" w:sz="0" w:space="0" w:color="auto"/>
        <w:bottom w:val="none" w:sz="0" w:space="0" w:color="auto"/>
        <w:right w:val="none" w:sz="0" w:space="0" w:color="auto"/>
      </w:divBdr>
    </w:div>
    <w:div w:id="707145718">
      <w:bodyDiv w:val="1"/>
      <w:marLeft w:val="0"/>
      <w:marRight w:val="0"/>
      <w:marTop w:val="0"/>
      <w:marBottom w:val="0"/>
      <w:divBdr>
        <w:top w:val="none" w:sz="0" w:space="0" w:color="auto"/>
        <w:left w:val="none" w:sz="0" w:space="0" w:color="auto"/>
        <w:bottom w:val="none" w:sz="0" w:space="0" w:color="auto"/>
        <w:right w:val="none" w:sz="0" w:space="0" w:color="auto"/>
      </w:divBdr>
    </w:div>
    <w:div w:id="731008305">
      <w:bodyDiv w:val="1"/>
      <w:marLeft w:val="0"/>
      <w:marRight w:val="0"/>
      <w:marTop w:val="0"/>
      <w:marBottom w:val="0"/>
      <w:divBdr>
        <w:top w:val="none" w:sz="0" w:space="0" w:color="auto"/>
        <w:left w:val="none" w:sz="0" w:space="0" w:color="auto"/>
        <w:bottom w:val="none" w:sz="0" w:space="0" w:color="auto"/>
        <w:right w:val="none" w:sz="0" w:space="0" w:color="auto"/>
      </w:divBdr>
    </w:div>
    <w:div w:id="733549320">
      <w:bodyDiv w:val="1"/>
      <w:marLeft w:val="0"/>
      <w:marRight w:val="0"/>
      <w:marTop w:val="0"/>
      <w:marBottom w:val="0"/>
      <w:divBdr>
        <w:top w:val="none" w:sz="0" w:space="0" w:color="auto"/>
        <w:left w:val="none" w:sz="0" w:space="0" w:color="auto"/>
        <w:bottom w:val="none" w:sz="0" w:space="0" w:color="auto"/>
        <w:right w:val="none" w:sz="0" w:space="0" w:color="auto"/>
      </w:divBdr>
    </w:div>
    <w:div w:id="751858797">
      <w:bodyDiv w:val="1"/>
      <w:marLeft w:val="0"/>
      <w:marRight w:val="0"/>
      <w:marTop w:val="0"/>
      <w:marBottom w:val="0"/>
      <w:divBdr>
        <w:top w:val="none" w:sz="0" w:space="0" w:color="auto"/>
        <w:left w:val="none" w:sz="0" w:space="0" w:color="auto"/>
        <w:bottom w:val="none" w:sz="0" w:space="0" w:color="auto"/>
        <w:right w:val="none" w:sz="0" w:space="0" w:color="auto"/>
      </w:divBdr>
      <w:divsChild>
        <w:div w:id="1383214060">
          <w:marLeft w:val="965"/>
          <w:marRight w:val="0"/>
          <w:marTop w:val="134"/>
          <w:marBottom w:val="0"/>
          <w:divBdr>
            <w:top w:val="none" w:sz="0" w:space="0" w:color="auto"/>
            <w:left w:val="none" w:sz="0" w:space="0" w:color="auto"/>
            <w:bottom w:val="none" w:sz="0" w:space="0" w:color="auto"/>
            <w:right w:val="none" w:sz="0" w:space="0" w:color="auto"/>
          </w:divBdr>
        </w:div>
        <w:div w:id="1686978609">
          <w:marLeft w:val="1584"/>
          <w:marRight w:val="0"/>
          <w:marTop w:val="115"/>
          <w:marBottom w:val="0"/>
          <w:divBdr>
            <w:top w:val="none" w:sz="0" w:space="0" w:color="auto"/>
            <w:left w:val="none" w:sz="0" w:space="0" w:color="auto"/>
            <w:bottom w:val="none" w:sz="0" w:space="0" w:color="auto"/>
            <w:right w:val="none" w:sz="0" w:space="0" w:color="auto"/>
          </w:divBdr>
        </w:div>
        <w:div w:id="1460874833">
          <w:marLeft w:val="965"/>
          <w:marRight w:val="0"/>
          <w:marTop w:val="134"/>
          <w:marBottom w:val="0"/>
          <w:divBdr>
            <w:top w:val="none" w:sz="0" w:space="0" w:color="auto"/>
            <w:left w:val="none" w:sz="0" w:space="0" w:color="auto"/>
            <w:bottom w:val="none" w:sz="0" w:space="0" w:color="auto"/>
            <w:right w:val="none" w:sz="0" w:space="0" w:color="auto"/>
          </w:divBdr>
        </w:div>
        <w:div w:id="1744717666">
          <w:marLeft w:val="1584"/>
          <w:marRight w:val="0"/>
          <w:marTop w:val="115"/>
          <w:marBottom w:val="0"/>
          <w:divBdr>
            <w:top w:val="none" w:sz="0" w:space="0" w:color="auto"/>
            <w:left w:val="none" w:sz="0" w:space="0" w:color="auto"/>
            <w:bottom w:val="none" w:sz="0" w:space="0" w:color="auto"/>
            <w:right w:val="none" w:sz="0" w:space="0" w:color="auto"/>
          </w:divBdr>
        </w:div>
        <w:div w:id="453138343">
          <w:marLeft w:val="965"/>
          <w:marRight w:val="0"/>
          <w:marTop w:val="134"/>
          <w:marBottom w:val="0"/>
          <w:divBdr>
            <w:top w:val="none" w:sz="0" w:space="0" w:color="auto"/>
            <w:left w:val="none" w:sz="0" w:space="0" w:color="auto"/>
            <w:bottom w:val="none" w:sz="0" w:space="0" w:color="auto"/>
            <w:right w:val="none" w:sz="0" w:space="0" w:color="auto"/>
          </w:divBdr>
        </w:div>
        <w:div w:id="768889793">
          <w:marLeft w:val="1584"/>
          <w:marRight w:val="0"/>
          <w:marTop w:val="115"/>
          <w:marBottom w:val="0"/>
          <w:divBdr>
            <w:top w:val="none" w:sz="0" w:space="0" w:color="auto"/>
            <w:left w:val="none" w:sz="0" w:space="0" w:color="auto"/>
            <w:bottom w:val="none" w:sz="0" w:space="0" w:color="auto"/>
            <w:right w:val="none" w:sz="0" w:space="0" w:color="auto"/>
          </w:divBdr>
        </w:div>
      </w:divsChild>
    </w:div>
    <w:div w:id="796263747">
      <w:bodyDiv w:val="1"/>
      <w:marLeft w:val="0"/>
      <w:marRight w:val="0"/>
      <w:marTop w:val="0"/>
      <w:marBottom w:val="0"/>
      <w:divBdr>
        <w:top w:val="none" w:sz="0" w:space="0" w:color="auto"/>
        <w:left w:val="none" w:sz="0" w:space="0" w:color="auto"/>
        <w:bottom w:val="none" w:sz="0" w:space="0" w:color="auto"/>
        <w:right w:val="none" w:sz="0" w:space="0" w:color="auto"/>
      </w:divBdr>
    </w:div>
    <w:div w:id="810366884">
      <w:bodyDiv w:val="1"/>
      <w:marLeft w:val="0"/>
      <w:marRight w:val="0"/>
      <w:marTop w:val="0"/>
      <w:marBottom w:val="0"/>
      <w:divBdr>
        <w:top w:val="none" w:sz="0" w:space="0" w:color="auto"/>
        <w:left w:val="none" w:sz="0" w:space="0" w:color="auto"/>
        <w:bottom w:val="none" w:sz="0" w:space="0" w:color="auto"/>
        <w:right w:val="none" w:sz="0" w:space="0" w:color="auto"/>
      </w:divBdr>
    </w:div>
    <w:div w:id="844129509">
      <w:bodyDiv w:val="1"/>
      <w:marLeft w:val="0"/>
      <w:marRight w:val="0"/>
      <w:marTop w:val="0"/>
      <w:marBottom w:val="0"/>
      <w:divBdr>
        <w:top w:val="none" w:sz="0" w:space="0" w:color="auto"/>
        <w:left w:val="none" w:sz="0" w:space="0" w:color="auto"/>
        <w:bottom w:val="none" w:sz="0" w:space="0" w:color="auto"/>
        <w:right w:val="none" w:sz="0" w:space="0" w:color="auto"/>
      </w:divBdr>
    </w:div>
    <w:div w:id="845481199">
      <w:bodyDiv w:val="1"/>
      <w:marLeft w:val="0"/>
      <w:marRight w:val="0"/>
      <w:marTop w:val="0"/>
      <w:marBottom w:val="0"/>
      <w:divBdr>
        <w:top w:val="none" w:sz="0" w:space="0" w:color="auto"/>
        <w:left w:val="none" w:sz="0" w:space="0" w:color="auto"/>
        <w:bottom w:val="none" w:sz="0" w:space="0" w:color="auto"/>
        <w:right w:val="none" w:sz="0" w:space="0" w:color="auto"/>
      </w:divBdr>
    </w:div>
    <w:div w:id="865755471">
      <w:bodyDiv w:val="1"/>
      <w:marLeft w:val="0"/>
      <w:marRight w:val="0"/>
      <w:marTop w:val="0"/>
      <w:marBottom w:val="0"/>
      <w:divBdr>
        <w:top w:val="none" w:sz="0" w:space="0" w:color="auto"/>
        <w:left w:val="none" w:sz="0" w:space="0" w:color="auto"/>
        <w:bottom w:val="none" w:sz="0" w:space="0" w:color="auto"/>
        <w:right w:val="none" w:sz="0" w:space="0" w:color="auto"/>
      </w:divBdr>
    </w:div>
    <w:div w:id="866454114">
      <w:bodyDiv w:val="1"/>
      <w:marLeft w:val="0"/>
      <w:marRight w:val="0"/>
      <w:marTop w:val="0"/>
      <w:marBottom w:val="0"/>
      <w:divBdr>
        <w:top w:val="none" w:sz="0" w:space="0" w:color="auto"/>
        <w:left w:val="none" w:sz="0" w:space="0" w:color="auto"/>
        <w:bottom w:val="none" w:sz="0" w:space="0" w:color="auto"/>
        <w:right w:val="none" w:sz="0" w:space="0" w:color="auto"/>
      </w:divBdr>
    </w:div>
    <w:div w:id="898855935">
      <w:bodyDiv w:val="1"/>
      <w:marLeft w:val="0"/>
      <w:marRight w:val="0"/>
      <w:marTop w:val="0"/>
      <w:marBottom w:val="0"/>
      <w:divBdr>
        <w:top w:val="none" w:sz="0" w:space="0" w:color="auto"/>
        <w:left w:val="none" w:sz="0" w:space="0" w:color="auto"/>
        <w:bottom w:val="none" w:sz="0" w:space="0" w:color="auto"/>
        <w:right w:val="none" w:sz="0" w:space="0" w:color="auto"/>
      </w:divBdr>
      <w:divsChild>
        <w:div w:id="624232900">
          <w:marLeft w:val="547"/>
          <w:marRight w:val="0"/>
          <w:marTop w:val="86"/>
          <w:marBottom w:val="160"/>
          <w:divBdr>
            <w:top w:val="none" w:sz="0" w:space="0" w:color="auto"/>
            <w:left w:val="none" w:sz="0" w:space="0" w:color="auto"/>
            <w:bottom w:val="none" w:sz="0" w:space="0" w:color="auto"/>
            <w:right w:val="none" w:sz="0" w:space="0" w:color="auto"/>
          </w:divBdr>
        </w:div>
        <w:div w:id="397636303">
          <w:marLeft w:val="547"/>
          <w:marRight w:val="0"/>
          <w:marTop w:val="86"/>
          <w:marBottom w:val="160"/>
          <w:divBdr>
            <w:top w:val="none" w:sz="0" w:space="0" w:color="auto"/>
            <w:left w:val="none" w:sz="0" w:space="0" w:color="auto"/>
            <w:bottom w:val="none" w:sz="0" w:space="0" w:color="auto"/>
            <w:right w:val="none" w:sz="0" w:space="0" w:color="auto"/>
          </w:divBdr>
        </w:div>
        <w:div w:id="1406755488">
          <w:marLeft w:val="547"/>
          <w:marRight w:val="0"/>
          <w:marTop w:val="86"/>
          <w:marBottom w:val="160"/>
          <w:divBdr>
            <w:top w:val="none" w:sz="0" w:space="0" w:color="auto"/>
            <w:left w:val="none" w:sz="0" w:space="0" w:color="auto"/>
            <w:bottom w:val="none" w:sz="0" w:space="0" w:color="auto"/>
            <w:right w:val="none" w:sz="0" w:space="0" w:color="auto"/>
          </w:divBdr>
        </w:div>
      </w:divsChild>
    </w:div>
    <w:div w:id="918515214">
      <w:bodyDiv w:val="1"/>
      <w:marLeft w:val="0"/>
      <w:marRight w:val="0"/>
      <w:marTop w:val="0"/>
      <w:marBottom w:val="0"/>
      <w:divBdr>
        <w:top w:val="none" w:sz="0" w:space="0" w:color="auto"/>
        <w:left w:val="none" w:sz="0" w:space="0" w:color="auto"/>
        <w:bottom w:val="none" w:sz="0" w:space="0" w:color="auto"/>
        <w:right w:val="none" w:sz="0" w:space="0" w:color="auto"/>
      </w:divBdr>
    </w:div>
    <w:div w:id="943074681">
      <w:bodyDiv w:val="1"/>
      <w:marLeft w:val="0"/>
      <w:marRight w:val="0"/>
      <w:marTop w:val="0"/>
      <w:marBottom w:val="0"/>
      <w:divBdr>
        <w:top w:val="none" w:sz="0" w:space="0" w:color="auto"/>
        <w:left w:val="none" w:sz="0" w:space="0" w:color="auto"/>
        <w:bottom w:val="none" w:sz="0" w:space="0" w:color="auto"/>
        <w:right w:val="none" w:sz="0" w:space="0" w:color="auto"/>
      </w:divBdr>
    </w:div>
    <w:div w:id="1009411594">
      <w:bodyDiv w:val="1"/>
      <w:marLeft w:val="0"/>
      <w:marRight w:val="0"/>
      <w:marTop w:val="0"/>
      <w:marBottom w:val="0"/>
      <w:divBdr>
        <w:top w:val="none" w:sz="0" w:space="0" w:color="auto"/>
        <w:left w:val="none" w:sz="0" w:space="0" w:color="auto"/>
        <w:bottom w:val="none" w:sz="0" w:space="0" w:color="auto"/>
        <w:right w:val="none" w:sz="0" w:space="0" w:color="auto"/>
      </w:divBdr>
    </w:div>
    <w:div w:id="1116216866">
      <w:bodyDiv w:val="1"/>
      <w:marLeft w:val="0"/>
      <w:marRight w:val="0"/>
      <w:marTop w:val="0"/>
      <w:marBottom w:val="0"/>
      <w:divBdr>
        <w:top w:val="none" w:sz="0" w:space="0" w:color="auto"/>
        <w:left w:val="none" w:sz="0" w:space="0" w:color="auto"/>
        <w:bottom w:val="none" w:sz="0" w:space="0" w:color="auto"/>
        <w:right w:val="none" w:sz="0" w:space="0" w:color="auto"/>
      </w:divBdr>
    </w:div>
    <w:div w:id="1120218897">
      <w:bodyDiv w:val="1"/>
      <w:marLeft w:val="0"/>
      <w:marRight w:val="0"/>
      <w:marTop w:val="0"/>
      <w:marBottom w:val="0"/>
      <w:divBdr>
        <w:top w:val="none" w:sz="0" w:space="0" w:color="auto"/>
        <w:left w:val="none" w:sz="0" w:space="0" w:color="auto"/>
        <w:bottom w:val="none" w:sz="0" w:space="0" w:color="auto"/>
        <w:right w:val="none" w:sz="0" w:space="0" w:color="auto"/>
      </w:divBdr>
    </w:div>
    <w:div w:id="1124695815">
      <w:bodyDiv w:val="1"/>
      <w:marLeft w:val="0"/>
      <w:marRight w:val="0"/>
      <w:marTop w:val="0"/>
      <w:marBottom w:val="0"/>
      <w:divBdr>
        <w:top w:val="none" w:sz="0" w:space="0" w:color="auto"/>
        <w:left w:val="none" w:sz="0" w:space="0" w:color="auto"/>
        <w:bottom w:val="none" w:sz="0" w:space="0" w:color="auto"/>
        <w:right w:val="none" w:sz="0" w:space="0" w:color="auto"/>
      </w:divBdr>
    </w:div>
    <w:div w:id="1179930959">
      <w:bodyDiv w:val="1"/>
      <w:marLeft w:val="0"/>
      <w:marRight w:val="0"/>
      <w:marTop w:val="0"/>
      <w:marBottom w:val="0"/>
      <w:divBdr>
        <w:top w:val="none" w:sz="0" w:space="0" w:color="auto"/>
        <w:left w:val="none" w:sz="0" w:space="0" w:color="auto"/>
        <w:bottom w:val="none" w:sz="0" w:space="0" w:color="auto"/>
        <w:right w:val="none" w:sz="0" w:space="0" w:color="auto"/>
      </w:divBdr>
    </w:div>
    <w:div w:id="1190100838">
      <w:bodyDiv w:val="1"/>
      <w:marLeft w:val="0"/>
      <w:marRight w:val="0"/>
      <w:marTop w:val="0"/>
      <w:marBottom w:val="0"/>
      <w:divBdr>
        <w:top w:val="none" w:sz="0" w:space="0" w:color="auto"/>
        <w:left w:val="none" w:sz="0" w:space="0" w:color="auto"/>
        <w:bottom w:val="none" w:sz="0" w:space="0" w:color="auto"/>
        <w:right w:val="none" w:sz="0" w:space="0" w:color="auto"/>
      </w:divBdr>
    </w:div>
    <w:div w:id="1197547877">
      <w:bodyDiv w:val="1"/>
      <w:marLeft w:val="0"/>
      <w:marRight w:val="0"/>
      <w:marTop w:val="0"/>
      <w:marBottom w:val="0"/>
      <w:divBdr>
        <w:top w:val="none" w:sz="0" w:space="0" w:color="auto"/>
        <w:left w:val="none" w:sz="0" w:space="0" w:color="auto"/>
        <w:bottom w:val="none" w:sz="0" w:space="0" w:color="auto"/>
        <w:right w:val="none" w:sz="0" w:space="0" w:color="auto"/>
      </w:divBdr>
    </w:div>
    <w:div w:id="1207180801">
      <w:bodyDiv w:val="1"/>
      <w:marLeft w:val="0"/>
      <w:marRight w:val="0"/>
      <w:marTop w:val="0"/>
      <w:marBottom w:val="0"/>
      <w:divBdr>
        <w:top w:val="none" w:sz="0" w:space="0" w:color="auto"/>
        <w:left w:val="none" w:sz="0" w:space="0" w:color="auto"/>
        <w:bottom w:val="none" w:sz="0" w:space="0" w:color="auto"/>
        <w:right w:val="none" w:sz="0" w:space="0" w:color="auto"/>
      </w:divBdr>
    </w:div>
    <w:div w:id="1231235563">
      <w:bodyDiv w:val="1"/>
      <w:marLeft w:val="0"/>
      <w:marRight w:val="0"/>
      <w:marTop w:val="0"/>
      <w:marBottom w:val="0"/>
      <w:divBdr>
        <w:top w:val="none" w:sz="0" w:space="0" w:color="auto"/>
        <w:left w:val="none" w:sz="0" w:space="0" w:color="auto"/>
        <w:bottom w:val="none" w:sz="0" w:space="0" w:color="auto"/>
        <w:right w:val="none" w:sz="0" w:space="0" w:color="auto"/>
      </w:divBdr>
    </w:div>
    <w:div w:id="1268998109">
      <w:bodyDiv w:val="1"/>
      <w:marLeft w:val="0"/>
      <w:marRight w:val="0"/>
      <w:marTop w:val="0"/>
      <w:marBottom w:val="0"/>
      <w:divBdr>
        <w:top w:val="none" w:sz="0" w:space="0" w:color="auto"/>
        <w:left w:val="none" w:sz="0" w:space="0" w:color="auto"/>
        <w:bottom w:val="none" w:sz="0" w:space="0" w:color="auto"/>
        <w:right w:val="none" w:sz="0" w:space="0" w:color="auto"/>
      </w:divBdr>
      <w:divsChild>
        <w:div w:id="358238518">
          <w:marLeft w:val="446"/>
          <w:marRight w:val="0"/>
          <w:marTop w:val="77"/>
          <w:marBottom w:val="0"/>
          <w:divBdr>
            <w:top w:val="none" w:sz="0" w:space="0" w:color="auto"/>
            <w:left w:val="none" w:sz="0" w:space="0" w:color="auto"/>
            <w:bottom w:val="none" w:sz="0" w:space="0" w:color="auto"/>
            <w:right w:val="none" w:sz="0" w:space="0" w:color="auto"/>
          </w:divBdr>
        </w:div>
        <w:div w:id="1299532006">
          <w:marLeft w:val="446"/>
          <w:marRight w:val="0"/>
          <w:marTop w:val="77"/>
          <w:marBottom w:val="0"/>
          <w:divBdr>
            <w:top w:val="none" w:sz="0" w:space="0" w:color="auto"/>
            <w:left w:val="none" w:sz="0" w:space="0" w:color="auto"/>
            <w:bottom w:val="none" w:sz="0" w:space="0" w:color="auto"/>
            <w:right w:val="none" w:sz="0" w:space="0" w:color="auto"/>
          </w:divBdr>
        </w:div>
        <w:div w:id="258611707">
          <w:marLeft w:val="446"/>
          <w:marRight w:val="0"/>
          <w:marTop w:val="77"/>
          <w:marBottom w:val="0"/>
          <w:divBdr>
            <w:top w:val="none" w:sz="0" w:space="0" w:color="auto"/>
            <w:left w:val="none" w:sz="0" w:space="0" w:color="auto"/>
            <w:bottom w:val="none" w:sz="0" w:space="0" w:color="auto"/>
            <w:right w:val="none" w:sz="0" w:space="0" w:color="auto"/>
          </w:divBdr>
        </w:div>
        <w:div w:id="1599633330">
          <w:marLeft w:val="446"/>
          <w:marRight w:val="0"/>
          <w:marTop w:val="77"/>
          <w:marBottom w:val="0"/>
          <w:divBdr>
            <w:top w:val="none" w:sz="0" w:space="0" w:color="auto"/>
            <w:left w:val="none" w:sz="0" w:space="0" w:color="auto"/>
            <w:bottom w:val="none" w:sz="0" w:space="0" w:color="auto"/>
            <w:right w:val="none" w:sz="0" w:space="0" w:color="auto"/>
          </w:divBdr>
        </w:div>
        <w:div w:id="546525980">
          <w:marLeft w:val="446"/>
          <w:marRight w:val="0"/>
          <w:marTop w:val="77"/>
          <w:marBottom w:val="0"/>
          <w:divBdr>
            <w:top w:val="none" w:sz="0" w:space="0" w:color="auto"/>
            <w:left w:val="none" w:sz="0" w:space="0" w:color="auto"/>
            <w:bottom w:val="none" w:sz="0" w:space="0" w:color="auto"/>
            <w:right w:val="none" w:sz="0" w:space="0" w:color="auto"/>
          </w:divBdr>
        </w:div>
        <w:div w:id="307519192">
          <w:marLeft w:val="446"/>
          <w:marRight w:val="0"/>
          <w:marTop w:val="77"/>
          <w:marBottom w:val="0"/>
          <w:divBdr>
            <w:top w:val="none" w:sz="0" w:space="0" w:color="auto"/>
            <w:left w:val="none" w:sz="0" w:space="0" w:color="auto"/>
            <w:bottom w:val="none" w:sz="0" w:space="0" w:color="auto"/>
            <w:right w:val="none" w:sz="0" w:space="0" w:color="auto"/>
          </w:divBdr>
        </w:div>
        <w:div w:id="1103382628">
          <w:marLeft w:val="446"/>
          <w:marRight w:val="0"/>
          <w:marTop w:val="77"/>
          <w:marBottom w:val="0"/>
          <w:divBdr>
            <w:top w:val="none" w:sz="0" w:space="0" w:color="auto"/>
            <w:left w:val="none" w:sz="0" w:space="0" w:color="auto"/>
            <w:bottom w:val="none" w:sz="0" w:space="0" w:color="auto"/>
            <w:right w:val="none" w:sz="0" w:space="0" w:color="auto"/>
          </w:divBdr>
        </w:div>
      </w:divsChild>
    </w:div>
    <w:div w:id="1341196841">
      <w:bodyDiv w:val="1"/>
      <w:marLeft w:val="0"/>
      <w:marRight w:val="0"/>
      <w:marTop w:val="0"/>
      <w:marBottom w:val="0"/>
      <w:divBdr>
        <w:top w:val="none" w:sz="0" w:space="0" w:color="auto"/>
        <w:left w:val="none" w:sz="0" w:space="0" w:color="auto"/>
        <w:bottom w:val="none" w:sz="0" w:space="0" w:color="auto"/>
        <w:right w:val="none" w:sz="0" w:space="0" w:color="auto"/>
      </w:divBdr>
    </w:div>
    <w:div w:id="1426807010">
      <w:bodyDiv w:val="1"/>
      <w:marLeft w:val="0"/>
      <w:marRight w:val="0"/>
      <w:marTop w:val="0"/>
      <w:marBottom w:val="0"/>
      <w:divBdr>
        <w:top w:val="none" w:sz="0" w:space="0" w:color="auto"/>
        <w:left w:val="none" w:sz="0" w:space="0" w:color="auto"/>
        <w:bottom w:val="none" w:sz="0" w:space="0" w:color="auto"/>
        <w:right w:val="none" w:sz="0" w:space="0" w:color="auto"/>
      </w:divBdr>
    </w:div>
    <w:div w:id="1429692749">
      <w:bodyDiv w:val="1"/>
      <w:marLeft w:val="0"/>
      <w:marRight w:val="0"/>
      <w:marTop w:val="0"/>
      <w:marBottom w:val="0"/>
      <w:divBdr>
        <w:top w:val="none" w:sz="0" w:space="0" w:color="auto"/>
        <w:left w:val="none" w:sz="0" w:space="0" w:color="auto"/>
        <w:bottom w:val="none" w:sz="0" w:space="0" w:color="auto"/>
        <w:right w:val="none" w:sz="0" w:space="0" w:color="auto"/>
      </w:divBdr>
    </w:div>
    <w:div w:id="1430004926">
      <w:bodyDiv w:val="1"/>
      <w:marLeft w:val="0"/>
      <w:marRight w:val="0"/>
      <w:marTop w:val="0"/>
      <w:marBottom w:val="0"/>
      <w:divBdr>
        <w:top w:val="none" w:sz="0" w:space="0" w:color="auto"/>
        <w:left w:val="none" w:sz="0" w:space="0" w:color="auto"/>
        <w:bottom w:val="none" w:sz="0" w:space="0" w:color="auto"/>
        <w:right w:val="none" w:sz="0" w:space="0" w:color="auto"/>
      </w:divBdr>
    </w:div>
    <w:div w:id="1441950720">
      <w:bodyDiv w:val="1"/>
      <w:marLeft w:val="0"/>
      <w:marRight w:val="0"/>
      <w:marTop w:val="0"/>
      <w:marBottom w:val="0"/>
      <w:divBdr>
        <w:top w:val="none" w:sz="0" w:space="0" w:color="auto"/>
        <w:left w:val="none" w:sz="0" w:space="0" w:color="auto"/>
        <w:bottom w:val="none" w:sz="0" w:space="0" w:color="auto"/>
        <w:right w:val="none" w:sz="0" w:space="0" w:color="auto"/>
      </w:divBdr>
    </w:div>
    <w:div w:id="1511875589">
      <w:bodyDiv w:val="1"/>
      <w:marLeft w:val="0"/>
      <w:marRight w:val="0"/>
      <w:marTop w:val="0"/>
      <w:marBottom w:val="0"/>
      <w:divBdr>
        <w:top w:val="none" w:sz="0" w:space="0" w:color="auto"/>
        <w:left w:val="none" w:sz="0" w:space="0" w:color="auto"/>
        <w:bottom w:val="none" w:sz="0" w:space="0" w:color="auto"/>
        <w:right w:val="none" w:sz="0" w:space="0" w:color="auto"/>
      </w:divBdr>
      <w:divsChild>
        <w:div w:id="1222057773">
          <w:marLeft w:val="0"/>
          <w:marRight w:val="0"/>
          <w:marTop w:val="0"/>
          <w:marBottom w:val="0"/>
          <w:divBdr>
            <w:top w:val="none" w:sz="0" w:space="0" w:color="auto"/>
            <w:left w:val="none" w:sz="0" w:space="0" w:color="auto"/>
            <w:bottom w:val="none" w:sz="0" w:space="0" w:color="auto"/>
            <w:right w:val="none" w:sz="0" w:space="0" w:color="auto"/>
          </w:divBdr>
        </w:div>
        <w:div w:id="440224609">
          <w:marLeft w:val="0"/>
          <w:marRight w:val="0"/>
          <w:marTop w:val="0"/>
          <w:marBottom w:val="0"/>
          <w:divBdr>
            <w:top w:val="none" w:sz="0" w:space="0" w:color="auto"/>
            <w:left w:val="none" w:sz="0" w:space="0" w:color="auto"/>
            <w:bottom w:val="none" w:sz="0" w:space="0" w:color="auto"/>
            <w:right w:val="none" w:sz="0" w:space="0" w:color="auto"/>
          </w:divBdr>
        </w:div>
        <w:div w:id="1930193729">
          <w:marLeft w:val="0"/>
          <w:marRight w:val="0"/>
          <w:marTop w:val="0"/>
          <w:marBottom w:val="0"/>
          <w:divBdr>
            <w:top w:val="none" w:sz="0" w:space="0" w:color="auto"/>
            <w:left w:val="none" w:sz="0" w:space="0" w:color="auto"/>
            <w:bottom w:val="none" w:sz="0" w:space="0" w:color="auto"/>
            <w:right w:val="none" w:sz="0" w:space="0" w:color="auto"/>
          </w:divBdr>
        </w:div>
        <w:div w:id="1230110846">
          <w:marLeft w:val="0"/>
          <w:marRight w:val="0"/>
          <w:marTop w:val="0"/>
          <w:marBottom w:val="0"/>
          <w:divBdr>
            <w:top w:val="none" w:sz="0" w:space="0" w:color="auto"/>
            <w:left w:val="none" w:sz="0" w:space="0" w:color="auto"/>
            <w:bottom w:val="none" w:sz="0" w:space="0" w:color="auto"/>
            <w:right w:val="none" w:sz="0" w:space="0" w:color="auto"/>
          </w:divBdr>
        </w:div>
      </w:divsChild>
    </w:div>
    <w:div w:id="1549415679">
      <w:bodyDiv w:val="1"/>
      <w:marLeft w:val="0"/>
      <w:marRight w:val="0"/>
      <w:marTop w:val="0"/>
      <w:marBottom w:val="0"/>
      <w:divBdr>
        <w:top w:val="none" w:sz="0" w:space="0" w:color="auto"/>
        <w:left w:val="none" w:sz="0" w:space="0" w:color="auto"/>
        <w:bottom w:val="none" w:sz="0" w:space="0" w:color="auto"/>
        <w:right w:val="none" w:sz="0" w:space="0" w:color="auto"/>
      </w:divBdr>
    </w:div>
    <w:div w:id="1598102705">
      <w:bodyDiv w:val="1"/>
      <w:marLeft w:val="0"/>
      <w:marRight w:val="0"/>
      <w:marTop w:val="0"/>
      <w:marBottom w:val="0"/>
      <w:divBdr>
        <w:top w:val="none" w:sz="0" w:space="0" w:color="auto"/>
        <w:left w:val="none" w:sz="0" w:space="0" w:color="auto"/>
        <w:bottom w:val="none" w:sz="0" w:space="0" w:color="auto"/>
        <w:right w:val="none" w:sz="0" w:space="0" w:color="auto"/>
      </w:divBdr>
    </w:div>
    <w:div w:id="1601528008">
      <w:bodyDiv w:val="1"/>
      <w:marLeft w:val="0"/>
      <w:marRight w:val="0"/>
      <w:marTop w:val="0"/>
      <w:marBottom w:val="0"/>
      <w:divBdr>
        <w:top w:val="none" w:sz="0" w:space="0" w:color="auto"/>
        <w:left w:val="none" w:sz="0" w:space="0" w:color="auto"/>
        <w:bottom w:val="none" w:sz="0" w:space="0" w:color="auto"/>
        <w:right w:val="none" w:sz="0" w:space="0" w:color="auto"/>
      </w:divBdr>
    </w:div>
    <w:div w:id="1722828701">
      <w:bodyDiv w:val="1"/>
      <w:marLeft w:val="0"/>
      <w:marRight w:val="0"/>
      <w:marTop w:val="0"/>
      <w:marBottom w:val="0"/>
      <w:divBdr>
        <w:top w:val="none" w:sz="0" w:space="0" w:color="auto"/>
        <w:left w:val="none" w:sz="0" w:space="0" w:color="auto"/>
        <w:bottom w:val="none" w:sz="0" w:space="0" w:color="auto"/>
        <w:right w:val="none" w:sz="0" w:space="0" w:color="auto"/>
      </w:divBdr>
    </w:div>
    <w:div w:id="1770471563">
      <w:bodyDiv w:val="1"/>
      <w:marLeft w:val="0"/>
      <w:marRight w:val="0"/>
      <w:marTop w:val="0"/>
      <w:marBottom w:val="0"/>
      <w:divBdr>
        <w:top w:val="none" w:sz="0" w:space="0" w:color="auto"/>
        <w:left w:val="none" w:sz="0" w:space="0" w:color="auto"/>
        <w:bottom w:val="none" w:sz="0" w:space="0" w:color="auto"/>
        <w:right w:val="none" w:sz="0" w:space="0" w:color="auto"/>
      </w:divBdr>
    </w:div>
    <w:div w:id="1869373410">
      <w:bodyDiv w:val="1"/>
      <w:marLeft w:val="0"/>
      <w:marRight w:val="0"/>
      <w:marTop w:val="0"/>
      <w:marBottom w:val="0"/>
      <w:divBdr>
        <w:top w:val="none" w:sz="0" w:space="0" w:color="auto"/>
        <w:left w:val="none" w:sz="0" w:space="0" w:color="auto"/>
        <w:bottom w:val="none" w:sz="0" w:space="0" w:color="auto"/>
        <w:right w:val="none" w:sz="0" w:space="0" w:color="auto"/>
      </w:divBdr>
      <w:divsChild>
        <w:div w:id="1451362554">
          <w:marLeft w:val="0"/>
          <w:marRight w:val="0"/>
          <w:marTop w:val="0"/>
          <w:marBottom w:val="0"/>
          <w:divBdr>
            <w:top w:val="none" w:sz="0" w:space="0" w:color="auto"/>
            <w:left w:val="none" w:sz="0" w:space="0" w:color="auto"/>
            <w:bottom w:val="none" w:sz="0" w:space="0" w:color="auto"/>
            <w:right w:val="none" w:sz="0" w:space="0" w:color="auto"/>
          </w:divBdr>
        </w:div>
        <w:div w:id="1633054129">
          <w:marLeft w:val="0"/>
          <w:marRight w:val="0"/>
          <w:marTop w:val="0"/>
          <w:marBottom w:val="0"/>
          <w:divBdr>
            <w:top w:val="none" w:sz="0" w:space="0" w:color="auto"/>
            <w:left w:val="none" w:sz="0" w:space="0" w:color="auto"/>
            <w:bottom w:val="none" w:sz="0" w:space="0" w:color="auto"/>
            <w:right w:val="none" w:sz="0" w:space="0" w:color="auto"/>
          </w:divBdr>
        </w:div>
        <w:div w:id="944844775">
          <w:marLeft w:val="0"/>
          <w:marRight w:val="0"/>
          <w:marTop w:val="0"/>
          <w:marBottom w:val="0"/>
          <w:divBdr>
            <w:top w:val="none" w:sz="0" w:space="0" w:color="auto"/>
            <w:left w:val="none" w:sz="0" w:space="0" w:color="auto"/>
            <w:bottom w:val="none" w:sz="0" w:space="0" w:color="auto"/>
            <w:right w:val="none" w:sz="0" w:space="0" w:color="auto"/>
          </w:divBdr>
        </w:div>
        <w:div w:id="1330794441">
          <w:marLeft w:val="0"/>
          <w:marRight w:val="0"/>
          <w:marTop w:val="0"/>
          <w:marBottom w:val="0"/>
          <w:divBdr>
            <w:top w:val="none" w:sz="0" w:space="0" w:color="auto"/>
            <w:left w:val="none" w:sz="0" w:space="0" w:color="auto"/>
            <w:bottom w:val="none" w:sz="0" w:space="0" w:color="auto"/>
            <w:right w:val="none" w:sz="0" w:space="0" w:color="auto"/>
          </w:divBdr>
        </w:div>
        <w:div w:id="2033726004">
          <w:marLeft w:val="0"/>
          <w:marRight w:val="0"/>
          <w:marTop w:val="0"/>
          <w:marBottom w:val="0"/>
          <w:divBdr>
            <w:top w:val="none" w:sz="0" w:space="0" w:color="auto"/>
            <w:left w:val="none" w:sz="0" w:space="0" w:color="auto"/>
            <w:bottom w:val="none" w:sz="0" w:space="0" w:color="auto"/>
            <w:right w:val="none" w:sz="0" w:space="0" w:color="auto"/>
          </w:divBdr>
        </w:div>
        <w:div w:id="178394195">
          <w:marLeft w:val="0"/>
          <w:marRight w:val="0"/>
          <w:marTop w:val="0"/>
          <w:marBottom w:val="0"/>
          <w:divBdr>
            <w:top w:val="none" w:sz="0" w:space="0" w:color="auto"/>
            <w:left w:val="none" w:sz="0" w:space="0" w:color="auto"/>
            <w:bottom w:val="none" w:sz="0" w:space="0" w:color="auto"/>
            <w:right w:val="none" w:sz="0" w:space="0" w:color="auto"/>
          </w:divBdr>
        </w:div>
        <w:div w:id="1329862583">
          <w:marLeft w:val="0"/>
          <w:marRight w:val="0"/>
          <w:marTop w:val="0"/>
          <w:marBottom w:val="0"/>
          <w:divBdr>
            <w:top w:val="none" w:sz="0" w:space="0" w:color="auto"/>
            <w:left w:val="none" w:sz="0" w:space="0" w:color="auto"/>
            <w:bottom w:val="none" w:sz="0" w:space="0" w:color="auto"/>
            <w:right w:val="none" w:sz="0" w:space="0" w:color="auto"/>
          </w:divBdr>
        </w:div>
        <w:div w:id="1732803803">
          <w:marLeft w:val="0"/>
          <w:marRight w:val="0"/>
          <w:marTop w:val="0"/>
          <w:marBottom w:val="0"/>
          <w:divBdr>
            <w:top w:val="none" w:sz="0" w:space="0" w:color="auto"/>
            <w:left w:val="none" w:sz="0" w:space="0" w:color="auto"/>
            <w:bottom w:val="none" w:sz="0" w:space="0" w:color="auto"/>
            <w:right w:val="none" w:sz="0" w:space="0" w:color="auto"/>
          </w:divBdr>
        </w:div>
        <w:div w:id="386804630">
          <w:marLeft w:val="0"/>
          <w:marRight w:val="0"/>
          <w:marTop w:val="0"/>
          <w:marBottom w:val="0"/>
          <w:divBdr>
            <w:top w:val="none" w:sz="0" w:space="0" w:color="auto"/>
            <w:left w:val="none" w:sz="0" w:space="0" w:color="auto"/>
            <w:bottom w:val="none" w:sz="0" w:space="0" w:color="auto"/>
            <w:right w:val="none" w:sz="0" w:space="0" w:color="auto"/>
          </w:divBdr>
        </w:div>
        <w:div w:id="672804558">
          <w:marLeft w:val="0"/>
          <w:marRight w:val="0"/>
          <w:marTop w:val="0"/>
          <w:marBottom w:val="0"/>
          <w:divBdr>
            <w:top w:val="none" w:sz="0" w:space="0" w:color="auto"/>
            <w:left w:val="none" w:sz="0" w:space="0" w:color="auto"/>
            <w:bottom w:val="none" w:sz="0" w:space="0" w:color="auto"/>
            <w:right w:val="none" w:sz="0" w:space="0" w:color="auto"/>
          </w:divBdr>
        </w:div>
        <w:div w:id="841624109">
          <w:marLeft w:val="0"/>
          <w:marRight w:val="0"/>
          <w:marTop w:val="0"/>
          <w:marBottom w:val="0"/>
          <w:divBdr>
            <w:top w:val="none" w:sz="0" w:space="0" w:color="auto"/>
            <w:left w:val="none" w:sz="0" w:space="0" w:color="auto"/>
            <w:bottom w:val="none" w:sz="0" w:space="0" w:color="auto"/>
            <w:right w:val="none" w:sz="0" w:space="0" w:color="auto"/>
          </w:divBdr>
        </w:div>
        <w:div w:id="343023614">
          <w:marLeft w:val="0"/>
          <w:marRight w:val="0"/>
          <w:marTop w:val="0"/>
          <w:marBottom w:val="0"/>
          <w:divBdr>
            <w:top w:val="none" w:sz="0" w:space="0" w:color="auto"/>
            <w:left w:val="none" w:sz="0" w:space="0" w:color="auto"/>
            <w:bottom w:val="none" w:sz="0" w:space="0" w:color="auto"/>
            <w:right w:val="none" w:sz="0" w:space="0" w:color="auto"/>
          </w:divBdr>
        </w:div>
        <w:div w:id="1401177493">
          <w:marLeft w:val="0"/>
          <w:marRight w:val="0"/>
          <w:marTop w:val="0"/>
          <w:marBottom w:val="0"/>
          <w:divBdr>
            <w:top w:val="none" w:sz="0" w:space="0" w:color="auto"/>
            <w:left w:val="none" w:sz="0" w:space="0" w:color="auto"/>
            <w:bottom w:val="none" w:sz="0" w:space="0" w:color="auto"/>
            <w:right w:val="none" w:sz="0" w:space="0" w:color="auto"/>
          </w:divBdr>
        </w:div>
      </w:divsChild>
    </w:div>
    <w:div w:id="1875000743">
      <w:bodyDiv w:val="1"/>
      <w:marLeft w:val="0"/>
      <w:marRight w:val="0"/>
      <w:marTop w:val="0"/>
      <w:marBottom w:val="0"/>
      <w:divBdr>
        <w:top w:val="none" w:sz="0" w:space="0" w:color="auto"/>
        <w:left w:val="none" w:sz="0" w:space="0" w:color="auto"/>
        <w:bottom w:val="none" w:sz="0" w:space="0" w:color="auto"/>
        <w:right w:val="none" w:sz="0" w:space="0" w:color="auto"/>
      </w:divBdr>
    </w:div>
    <w:div w:id="1877110694">
      <w:bodyDiv w:val="1"/>
      <w:marLeft w:val="0"/>
      <w:marRight w:val="0"/>
      <w:marTop w:val="0"/>
      <w:marBottom w:val="0"/>
      <w:divBdr>
        <w:top w:val="none" w:sz="0" w:space="0" w:color="auto"/>
        <w:left w:val="none" w:sz="0" w:space="0" w:color="auto"/>
        <w:bottom w:val="none" w:sz="0" w:space="0" w:color="auto"/>
        <w:right w:val="none" w:sz="0" w:space="0" w:color="auto"/>
      </w:divBdr>
    </w:div>
    <w:div w:id="2013725800">
      <w:bodyDiv w:val="1"/>
      <w:marLeft w:val="0"/>
      <w:marRight w:val="0"/>
      <w:marTop w:val="0"/>
      <w:marBottom w:val="0"/>
      <w:divBdr>
        <w:top w:val="none" w:sz="0" w:space="0" w:color="auto"/>
        <w:left w:val="none" w:sz="0" w:space="0" w:color="auto"/>
        <w:bottom w:val="none" w:sz="0" w:space="0" w:color="auto"/>
        <w:right w:val="none" w:sz="0" w:space="0" w:color="auto"/>
      </w:divBdr>
    </w:div>
    <w:div w:id="2050907789">
      <w:bodyDiv w:val="1"/>
      <w:marLeft w:val="0"/>
      <w:marRight w:val="0"/>
      <w:marTop w:val="0"/>
      <w:marBottom w:val="0"/>
      <w:divBdr>
        <w:top w:val="none" w:sz="0" w:space="0" w:color="auto"/>
        <w:left w:val="none" w:sz="0" w:space="0" w:color="auto"/>
        <w:bottom w:val="none" w:sz="0" w:space="0" w:color="auto"/>
        <w:right w:val="none" w:sz="0" w:space="0" w:color="auto"/>
      </w:divBdr>
    </w:div>
    <w:div w:id="2060664137">
      <w:bodyDiv w:val="1"/>
      <w:marLeft w:val="0"/>
      <w:marRight w:val="0"/>
      <w:marTop w:val="0"/>
      <w:marBottom w:val="0"/>
      <w:divBdr>
        <w:top w:val="none" w:sz="0" w:space="0" w:color="auto"/>
        <w:left w:val="none" w:sz="0" w:space="0" w:color="auto"/>
        <w:bottom w:val="none" w:sz="0" w:space="0" w:color="auto"/>
        <w:right w:val="none" w:sz="0" w:space="0" w:color="auto"/>
      </w:divBdr>
    </w:div>
    <w:div w:id="2075735378">
      <w:bodyDiv w:val="1"/>
      <w:marLeft w:val="0"/>
      <w:marRight w:val="0"/>
      <w:marTop w:val="0"/>
      <w:marBottom w:val="0"/>
      <w:divBdr>
        <w:top w:val="none" w:sz="0" w:space="0" w:color="auto"/>
        <w:left w:val="none" w:sz="0" w:space="0" w:color="auto"/>
        <w:bottom w:val="none" w:sz="0" w:space="0" w:color="auto"/>
        <w:right w:val="none" w:sz="0" w:space="0" w:color="auto"/>
      </w:divBdr>
    </w:div>
    <w:div w:id="2080931701">
      <w:bodyDiv w:val="1"/>
      <w:marLeft w:val="0"/>
      <w:marRight w:val="0"/>
      <w:marTop w:val="0"/>
      <w:marBottom w:val="0"/>
      <w:divBdr>
        <w:top w:val="none" w:sz="0" w:space="0" w:color="auto"/>
        <w:left w:val="none" w:sz="0" w:space="0" w:color="auto"/>
        <w:bottom w:val="none" w:sz="0" w:space="0" w:color="auto"/>
        <w:right w:val="none" w:sz="0" w:space="0" w:color="auto"/>
      </w:divBdr>
    </w:div>
    <w:div w:id="2120222555">
      <w:bodyDiv w:val="1"/>
      <w:marLeft w:val="0"/>
      <w:marRight w:val="0"/>
      <w:marTop w:val="0"/>
      <w:marBottom w:val="0"/>
      <w:divBdr>
        <w:top w:val="none" w:sz="0" w:space="0" w:color="auto"/>
        <w:left w:val="none" w:sz="0" w:space="0" w:color="auto"/>
        <w:bottom w:val="none" w:sz="0" w:space="0" w:color="auto"/>
        <w:right w:val="none" w:sz="0" w:space="0" w:color="auto"/>
      </w:divBdr>
      <w:divsChild>
        <w:div w:id="76442226">
          <w:marLeft w:val="0"/>
          <w:marRight w:val="0"/>
          <w:marTop w:val="0"/>
          <w:marBottom w:val="0"/>
          <w:divBdr>
            <w:top w:val="none" w:sz="0" w:space="0" w:color="auto"/>
            <w:left w:val="none" w:sz="0" w:space="0" w:color="auto"/>
            <w:bottom w:val="none" w:sz="0" w:space="0" w:color="auto"/>
            <w:right w:val="none" w:sz="0" w:space="0" w:color="auto"/>
          </w:divBdr>
        </w:div>
        <w:div w:id="1853107996">
          <w:marLeft w:val="0"/>
          <w:marRight w:val="0"/>
          <w:marTop w:val="0"/>
          <w:marBottom w:val="0"/>
          <w:divBdr>
            <w:top w:val="none" w:sz="0" w:space="0" w:color="auto"/>
            <w:left w:val="none" w:sz="0" w:space="0" w:color="auto"/>
            <w:bottom w:val="none" w:sz="0" w:space="0" w:color="auto"/>
            <w:right w:val="none" w:sz="0" w:space="0" w:color="auto"/>
          </w:divBdr>
        </w:div>
        <w:div w:id="1735424954">
          <w:marLeft w:val="0"/>
          <w:marRight w:val="0"/>
          <w:marTop w:val="0"/>
          <w:marBottom w:val="0"/>
          <w:divBdr>
            <w:top w:val="none" w:sz="0" w:space="0" w:color="auto"/>
            <w:left w:val="none" w:sz="0" w:space="0" w:color="auto"/>
            <w:bottom w:val="none" w:sz="0" w:space="0" w:color="auto"/>
            <w:right w:val="none" w:sz="0" w:space="0" w:color="auto"/>
          </w:divBdr>
        </w:div>
        <w:div w:id="1042899891">
          <w:marLeft w:val="0"/>
          <w:marRight w:val="0"/>
          <w:marTop w:val="0"/>
          <w:marBottom w:val="0"/>
          <w:divBdr>
            <w:top w:val="none" w:sz="0" w:space="0" w:color="auto"/>
            <w:left w:val="none" w:sz="0" w:space="0" w:color="auto"/>
            <w:bottom w:val="none" w:sz="0" w:space="0" w:color="auto"/>
            <w:right w:val="none" w:sz="0" w:space="0" w:color="auto"/>
          </w:divBdr>
        </w:div>
        <w:div w:id="2011760643">
          <w:marLeft w:val="0"/>
          <w:marRight w:val="0"/>
          <w:marTop w:val="0"/>
          <w:marBottom w:val="0"/>
          <w:divBdr>
            <w:top w:val="none" w:sz="0" w:space="0" w:color="auto"/>
            <w:left w:val="none" w:sz="0" w:space="0" w:color="auto"/>
            <w:bottom w:val="none" w:sz="0" w:space="0" w:color="auto"/>
            <w:right w:val="none" w:sz="0" w:space="0" w:color="auto"/>
          </w:divBdr>
        </w:div>
        <w:div w:id="1985743282">
          <w:marLeft w:val="0"/>
          <w:marRight w:val="0"/>
          <w:marTop w:val="0"/>
          <w:marBottom w:val="0"/>
          <w:divBdr>
            <w:top w:val="none" w:sz="0" w:space="0" w:color="auto"/>
            <w:left w:val="none" w:sz="0" w:space="0" w:color="auto"/>
            <w:bottom w:val="none" w:sz="0" w:space="0" w:color="auto"/>
            <w:right w:val="none" w:sz="0" w:space="0" w:color="auto"/>
          </w:divBdr>
        </w:div>
        <w:div w:id="215121686">
          <w:marLeft w:val="0"/>
          <w:marRight w:val="0"/>
          <w:marTop w:val="0"/>
          <w:marBottom w:val="0"/>
          <w:divBdr>
            <w:top w:val="none" w:sz="0" w:space="0" w:color="auto"/>
            <w:left w:val="none" w:sz="0" w:space="0" w:color="auto"/>
            <w:bottom w:val="none" w:sz="0" w:space="0" w:color="auto"/>
            <w:right w:val="none" w:sz="0" w:space="0" w:color="auto"/>
          </w:divBdr>
        </w:div>
        <w:div w:id="363210016">
          <w:marLeft w:val="0"/>
          <w:marRight w:val="0"/>
          <w:marTop w:val="0"/>
          <w:marBottom w:val="0"/>
          <w:divBdr>
            <w:top w:val="none" w:sz="0" w:space="0" w:color="auto"/>
            <w:left w:val="none" w:sz="0" w:space="0" w:color="auto"/>
            <w:bottom w:val="none" w:sz="0" w:space="0" w:color="auto"/>
            <w:right w:val="none" w:sz="0" w:space="0" w:color="auto"/>
          </w:divBdr>
        </w:div>
        <w:div w:id="1494445319">
          <w:marLeft w:val="0"/>
          <w:marRight w:val="0"/>
          <w:marTop w:val="0"/>
          <w:marBottom w:val="0"/>
          <w:divBdr>
            <w:top w:val="none" w:sz="0" w:space="0" w:color="auto"/>
            <w:left w:val="none" w:sz="0" w:space="0" w:color="auto"/>
            <w:bottom w:val="none" w:sz="0" w:space="0" w:color="auto"/>
            <w:right w:val="none" w:sz="0" w:space="0" w:color="auto"/>
          </w:divBdr>
        </w:div>
        <w:div w:id="1056975086">
          <w:marLeft w:val="0"/>
          <w:marRight w:val="0"/>
          <w:marTop w:val="0"/>
          <w:marBottom w:val="0"/>
          <w:divBdr>
            <w:top w:val="none" w:sz="0" w:space="0" w:color="auto"/>
            <w:left w:val="none" w:sz="0" w:space="0" w:color="auto"/>
            <w:bottom w:val="none" w:sz="0" w:space="0" w:color="auto"/>
            <w:right w:val="none" w:sz="0" w:space="0" w:color="auto"/>
          </w:divBdr>
        </w:div>
        <w:div w:id="988554646">
          <w:marLeft w:val="0"/>
          <w:marRight w:val="0"/>
          <w:marTop w:val="0"/>
          <w:marBottom w:val="0"/>
          <w:divBdr>
            <w:top w:val="none" w:sz="0" w:space="0" w:color="auto"/>
            <w:left w:val="none" w:sz="0" w:space="0" w:color="auto"/>
            <w:bottom w:val="none" w:sz="0" w:space="0" w:color="auto"/>
            <w:right w:val="none" w:sz="0" w:space="0" w:color="auto"/>
          </w:divBdr>
        </w:div>
        <w:div w:id="1963612396">
          <w:marLeft w:val="0"/>
          <w:marRight w:val="0"/>
          <w:marTop w:val="0"/>
          <w:marBottom w:val="0"/>
          <w:divBdr>
            <w:top w:val="none" w:sz="0" w:space="0" w:color="auto"/>
            <w:left w:val="none" w:sz="0" w:space="0" w:color="auto"/>
            <w:bottom w:val="none" w:sz="0" w:space="0" w:color="auto"/>
            <w:right w:val="none" w:sz="0" w:space="0" w:color="auto"/>
          </w:divBdr>
        </w:div>
        <w:div w:id="1839227153">
          <w:marLeft w:val="0"/>
          <w:marRight w:val="0"/>
          <w:marTop w:val="0"/>
          <w:marBottom w:val="0"/>
          <w:divBdr>
            <w:top w:val="none" w:sz="0" w:space="0" w:color="auto"/>
            <w:left w:val="none" w:sz="0" w:space="0" w:color="auto"/>
            <w:bottom w:val="none" w:sz="0" w:space="0" w:color="auto"/>
            <w:right w:val="none" w:sz="0" w:space="0" w:color="auto"/>
          </w:divBdr>
        </w:div>
        <w:div w:id="1780252035">
          <w:marLeft w:val="0"/>
          <w:marRight w:val="0"/>
          <w:marTop w:val="0"/>
          <w:marBottom w:val="0"/>
          <w:divBdr>
            <w:top w:val="none" w:sz="0" w:space="0" w:color="auto"/>
            <w:left w:val="none" w:sz="0" w:space="0" w:color="auto"/>
            <w:bottom w:val="none" w:sz="0" w:space="0" w:color="auto"/>
            <w:right w:val="none" w:sz="0" w:space="0" w:color="auto"/>
          </w:divBdr>
        </w:div>
        <w:div w:id="748158988">
          <w:marLeft w:val="0"/>
          <w:marRight w:val="0"/>
          <w:marTop w:val="0"/>
          <w:marBottom w:val="0"/>
          <w:divBdr>
            <w:top w:val="none" w:sz="0" w:space="0" w:color="auto"/>
            <w:left w:val="none" w:sz="0" w:space="0" w:color="auto"/>
            <w:bottom w:val="none" w:sz="0" w:space="0" w:color="auto"/>
            <w:right w:val="none" w:sz="0" w:space="0" w:color="auto"/>
          </w:divBdr>
        </w:div>
        <w:div w:id="1459372007">
          <w:marLeft w:val="0"/>
          <w:marRight w:val="0"/>
          <w:marTop w:val="0"/>
          <w:marBottom w:val="0"/>
          <w:divBdr>
            <w:top w:val="none" w:sz="0" w:space="0" w:color="auto"/>
            <w:left w:val="none" w:sz="0" w:space="0" w:color="auto"/>
            <w:bottom w:val="none" w:sz="0" w:space="0" w:color="auto"/>
            <w:right w:val="none" w:sz="0" w:space="0" w:color="auto"/>
          </w:divBdr>
        </w:div>
        <w:div w:id="282465441">
          <w:marLeft w:val="0"/>
          <w:marRight w:val="0"/>
          <w:marTop w:val="0"/>
          <w:marBottom w:val="0"/>
          <w:divBdr>
            <w:top w:val="none" w:sz="0" w:space="0" w:color="auto"/>
            <w:left w:val="none" w:sz="0" w:space="0" w:color="auto"/>
            <w:bottom w:val="none" w:sz="0" w:space="0" w:color="auto"/>
            <w:right w:val="none" w:sz="0" w:space="0" w:color="auto"/>
          </w:divBdr>
        </w:div>
        <w:div w:id="1819301712">
          <w:marLeft w:val="0"/>
          <w:marRight w:val="0"/>
          <w:marTop w:val="0"/>
          <w:marBottom w:val="0"/>
          <w:divBdr>
            <w:top w:val="none" w:sz="0" w:space="0" w:color="auto"/>
            <w:left w:val="none" w:sz="0" w:space="0" w:color="auto"/>
            <w:bottom w:val="none" w:sz="0" w:space="0" w:color="auto"/>
            <w:right w:val="none" w:sz="0" w:space="0" w:color="auto"/>
          </w:divBdr>
        </w:div>
        <w:div w:id="1638880524">
          <w:marLeft w:val="0"/>
          <w:marRight w:val="0"/>
          <w:marTop w:val="0"/>
          <w:marBottom w:val="0"/>
          <w:divBdr>
            <w:top w:val="none" w:sz="0" w:space="0" w:color="auto"/>
            <w:left w:val="none" w:sz="0" w:space="0" w:color="auto"/>
            <w:bottom w:val="none" w:sz="0" w:space="0" w:color="auto"/>
            <w:right w:val="none" w:sz="0" w:space="0" w:color="auto"/>
          </w:divBdr>
        </w:div>
        <w:div w:id="1951273782">
          <w:marLeft w:val="0"/>
          <w:marRight w:val="0"/>
          <w:marTop w:val="0"/>
          <w:marBottom w:val="0"/>
          <w:divBdr>
            <w:top w:val="none" w:sz="0" w:space="0" w:color="auto"/>
            <w:left w:val="none" w:sz="0" w:space="0" w:color="auto"/>
            <w:bottom w:val="none" w:sz="0" w:space="0" w:color="auto"/>
            <w:right w:val="none" w:sz="0" w:space="0" w:color="auto"/>
          </w:divBdr>
        </w:div>
        <w:div w:id="432284327">
          <w:marLeft w:val="0"/>
          <w:marRight w:val="0"/>
          <w:marTop w:val="0"/>
          <w:marBottom w:val="0"/>
          <w:divBdr>
            <w:top w:val="none" w:sz="0" w:space="0" w:color="auto"/>
            <w:left w:val="none" w:sz="0" w:space="0" w:color="auto"/>
            <w:bottom w:val="none" w:sz="0" w:space="0" w:color="auto"/>
            <w:right w:val="none" w:sz="0" w:space="0" w:color="auto"/>
          </w:divBdr>
        </w:div>
        <w:div w:id="2133667293">
          <w:marLeft w:val="0"/>
          <w:marRight w:val="0"/>
          <w:marTop w:val="0"/>
          <w:marBottom w:val="0"/>
          <w:divBdr>
            <w:top w:val="none" w:sz="0" w:space="0" w:color="auto"/>
            <w:left w:val="none" w:sz="0" w:space="0" w:color="auto"/>
            <w:bottom w:val="none" w:sz="0" w:space="0" w:color="auto"/>
            <w:right w:val="none" w:sz="0" w:space="0" w:color="auto"/>
          </w:divBdr>
        </w:div>
        <w:div w:id="392242424">
          <w:marLeft w:val="0"/>
          <w:marRight w:val="0"/>
          <w:marTop w:val="0"/>
          <w:marBottom w:val="0"/>
          <w:divBdr>
            <w:top w:val="none" w:sz="0" w:space="0" w:color="auto"/>
            <w:left w:val="none" w:sz="0" w:space="0" w:color="auto"/>
            <w:bottom w:val="none" w:sz="0" w:space="0" w:color="auto"/>
            <w:right w:val="none" w:sz="0" w:space="0" w:color="auto"/>
          </w:divBdr>
        </w:div>
        <w:div w:id="1275284433">
          <w:marLeft w:val="0"/>
          <w:marRight w:val="0"/>
          <w:marTop w:val="0"/>
          <w:marBottom w:val="0"/>
          <w:divBdr>
            <w:top w:val="none" w:sz="0" w:space="0" w:color="auto"/>
            <w:left w:val="none" w:sz="0" w:space="0" w:color="auto"/>
            <w:bottom w:val="none" w:sz="0" w:space="0" w:color="auto"/>
            <w:right w:val="none" w:sz="0" w:space="0" w:color="auto"/>
          </w:divBdr>
        </w:div>
        <w:div w:id="508717413">
          <w:marLeft w:val="0"/>
          <w:marRight w:val="0"/>
          <w:marTop w:val="0"/>
          <w:marBottom w:val="0"/>
          <w:divBdr>
            <w:top w:val="none" w:sz="0" w:space="0" w:color="auto"/>
            <w:left w:val="none" w:sz="0" w:space="0" w:color="auto"/>
            <w:bottom w:val="none" w:sz="0" w:space="0" w:color="auto"/>
            <w:right w:val="none" w:sz="0" w:space="0" w:color="auto"/>
          </w:divBdr>
        </w:div>
        <w:div w:id="35397095">
          <w:marLeft w:val="0"/>
          <w:marRight w:val="0"/>
          <w:marTop w:val="0"/>
          <w:marBottom w:val="0"/>
          <w:divBdr>
            <w:top w:val="none" w:sz="0" w:space="0" w:color="auto"/>
            <w:left w:val="none" w:sz="0" w:space="0" w:color="auto"/>
            <w:bottom w:val="none" w:sz="0" w:space="0" w:color="auto"/>
            <w:right w:val="none" w:sz="0" w:space="0" w:color="auto"/>
          </w:divBdr>
        </w:div>
        <w:div w:id="1171142758">
          <w:marLeft w:val="0"/>
          <w:marRight w:val="0"/>
          <w:marTop w:val="0"/>
          <w:marBottom w:val="0"/>
          <w:divBdr>
            <w:top w:val="none" w:sz="0" w:space="0" w:color="auto"/>
            <w:left w:val="none" w:sz="0" w:space="0" w:color="auto"/>
            <w:bottom w:val="none" w:sz="0" w:space="0" w:color="auto"/>
            <w:right w:val="none" w:sz="0" w:space="0" w:color="auto"/>
          </w:divBdr>
        </w:div>
        <w:div w:id="833181862">
          <w:marLeft w:val="0"/>
          <w:marRight w:val="0"/>
          <w:marTop w:val="0"/>
          <w:marBottom w:val="0"/>
          <w:divBdr>
            <w:top w:val="none" w:sz="0" w:space="0" w:color="auto"/>
            <w:left w:val="none" w:sz="0" w:space="0" w:color="auto"/>
            <w:bottom w:val="none" w:sz="0" w:space="0" w:color="auto"/>
            <w:right w:val="none" w:sz="0" w:space="0" w:color="auto"/>
          </w:divBdr>
        </w:div>
        <w:div w:id="100297690">
          <w:marLeft w:val="0"/>
          <w:marRight w:val="0"/>
          <w:marTop w:val="0"/>
          <w:marBottom w:val="0"/>
          <w:divBdr>
            <w:top w:val="none" w:sz="0" w:space="0" w:color="auto"/>
            <w:left w:val="none" w:sz="0" w:space="0" w:color="auto"/>
            <w:bottom w:val="none" w:sz="0" w:space="0" w:color="auto"/>
            <w:right w:val="none" w:sz="0" w:space="0" w:color="auto"/>
          </w:divBdr>
        </w:div>
        <w:div w:id="633953277">
          <w:marLeft w:val="0"/>
          <w:marRight w:val="0"/>
          <w:marTop w:val="0"/>
          <w:marBottom w:val="0"/>
          <w:divBdr>
            <w:top w:val="none" w:sz="0" w:space="0" w:color="auto"/>
            <w:left w:val="none" w:sz="0" w:space="0" w:color="auto"/>
            <w:bottom w:val="none" w:sz="0" w:space="0" w:color="auto"/>
            <w:right w:val="none" w:sz="0" w:space="0" w:color="auto"/>
          </w:divBdr>
        </w:div>
        <w:div w:id="720784191">
          <w:marLeft w:val="0"/>
          <w:marRight w:val="0"/>
          <w:marTop w:val="0"/>
          <w:marBottom w:val="0"/>
          <w:divBdr>
            <w:top w:val="none" w:sz="0" w:space="0" w:color="auto"/>
            <w:left w:val="none" w:sz="0" w:space="0" w:color="auto"/>
            <w:bottom w:val="none" w:sz="0" w:space="0" w:color="auto"/>
            <w:right w:val="none" w:sz="0" w:space="0" w:color="auto"/>
          </w:divBdr>
        </w:div>
        <w:div w:id="1463377015">
          <w:marLeft w:val="0"/>
          <w:marRight w:val="0"/>
          <w:marTop w:val="0"/>
          <w:marBottom w:val="0"/>
          <w:divBdr>
            <w:top w:val="none" w:sz="0" w:space="0" w:color="auto"/>
            <w:left w:val="none" w:sz="0" w:space="0" w:color="auto"/>
            <w:bottom w:val="none" w:sz="0" w:space="0" w:color="auto"/>
            <w:right w:val="none" w:sz="0" w:space="0" w:color="auto"/>
          </w:divBdr>
        </w:div>
        <w:div w:id="1539198790">
          <w:marLeft w:val="0"/>
          <w:marRight w:val="0"/>
          <w:marTop w:val="0"/>
          <w:marBottom w:val="0"/>
          <w:divBdr>
            <w:top w:val="none" w:sz="0" w:space="0" w:color="auto"/>
            <w:left w:val="none" w:sz="0" w:space="0" w:color="auto"/>
            <w:bottom w:val="none" w:sz="0" w:space="0" w:color="auto"/>
            <w:right w:val="none" w:sz="0" w:space="0" w:color="auto"/>
          </w:divBdr>
        </w:div>
        <w:div w:id="1547328876">
          <w:marLeft w:val="0"/>
          <w:marRight w:val="0"/>
          <w:marTop w:val="0"/>
          <w:marBottom w:val="0"/>
          <w:divBdr>
            <w:top w:val="none" w:sz="0" w:space="0" w:color="auto"/>
            <w:left w:val="none" w:sz="0" w:space="0" w:color="auto"/>
            <w:bottom w:val="none" w:sz="0" w:space="0" w:color="auto"/>
            <w:right w:val="none" w:sz="0" w:space="0" w:color="auto"/>
          </w:divBdr>
        </w:div>
        <w:div w:id="302778863">
          <w:marLeft w:val="0"/>
          <w:marRight w:val="0"/>
          <w:marTop w:val="0"/>
          <w:marBottom w:val="0"/>
          <w:divBdr>
            <w:top w:val="none" w:sz="0" w:space="0" w:color="auto"/>
            <w:left w:val="none" w:sz="0" w:space="0" w:color="auto"/>
            <w:bottom w:val="none" w:sz="0" w:space="0" w:color="auto"/>
            <w:right w:val="none" w:sz="0" w:space="0" w:color="auto"/>
          </w:divBdr>
        </w:div>
        <w:div w:id="675226956">
          <w:marLeft w:val="0"/>
          <w:marRight w:val="0"/>
          <w:marTop w:val="0"/>
          <w:marBottom w:val="0"/>
          <w:divBdr>
            <w:top w:val="none" w:sz="0" w:space="0" w:color="auto"/>
            <w:left w:val="none" w:sz="0" w:space="0" w:color="auto"/>
            <w:bottom w:val="none" w:sz="0" w:space="0" w:color="auto"/>
            <w:right w:val="none" w:sz="0" w:space="0" w:color="auto"/>
          </w:divBdr>
        </w:div>
        <w:div w:id="555548700">
          <w:marLeft w:val="0"/>
          <w:marRight w:val="0"/>
          <w:marTop w:val="0"/>
          <w:marBottom w:val="0"/>
          <w:divBdr>
            <w:top w:val="none" w:sz="0" w:space="0" w:color="auto"/>
            <w:left w:val="none" w:sz="0" w:space="0" w:color="auto"/>
            <w:bottom w:val="none" w:sz="0" w:space="0" w:color="auto"/>
            <w:right w:val="none" w:sz="0" w:space="0" w:color="auto"/>
          </w:divBdr>
        </w:div>
        <w:div w:id="82385238">
          <w:marLeft w:val="0"/>
          <w:marRight w:val="0"/>
          <w:marTop w:val="0"/>
          <w:marBottom w:val="0"/>
          <w:divBdr>
            <w:top w:val="none" w:sz="0" w:space="0" w:color="auto"/>
            <w:left w:val="none" w:sz="0" w:space="0" w:color="auto"/>
            <w:bottom w:val="none" w:sz="0" w:space="0" w:color="auto"/>
            <w:right w:val="none" w:sz="0" w:space="0" w:color="auto"/>
          </w:divBdr>
        </w:div>
        <w:div w:id="353001722">
          <w:marLeft w:val="0"/>
          <w:marRight w:val="0"/>
          <w:marTop w:val="0"/>
          <w:marBottom w:val="0"/>
          <w:divBdr>
            <w:top w:val="none" w:sz="0" w:space="0" w:color="auto"/>
            <w:left w:val="none" w:sz="0" w:space="0" w:color="auto"/>
            <w:bottom w:val="none" w:sz="0" w:space="0" w:color="auto"/>
            <w:right w:val="none" w:sz="0" w:space="0" w:color="auto"/>
          </w:divBdr>
        </w:div>
        <w:div w:id="1936205439">
          <w:marLeft w:val="0"/>
          <w:marRight w:val="0"/>
          <w:marTop w:val="0"/>
          <w:marBottom w:val="0"/>
          <w:divBdr>
            <w:top w:val="none" w:sz="0" w:space="0" w:color="auto"/>
            <w:left w:val="none" w:sz="0" w:space="0" w:color="auto"/>
            <w:bottom w:val="none" w:sz="0" w:space="0" w:color="auto"/>
            <w:right w:val="none" w:sz="0" w:space="0" w:color="auto"/>
          </w:divBdr>
        </w:div>
        <w:div w:id="1623685113">
          <w:marLeft w:val="0"/>
          <w:marRight w:val="0"/>
          <w:marTop w:val="0"/>
          <w:marBottom w:val="0"/>
          <w:divBdr>
            <w:top w:val="none" w:sz="0" w:space="0" w:color="auto"/>
            <w:left w:val="none" w:sz="0" w:space="0" w:color="auto"/>
            <w:bottom w:val="none" w:sz="0" w:space="0" w:color="auto"/>
            <w:right w:val="none" w:sz="0" w:space="0" w:color="auto"/>
          </w:divBdr>
        </w:div>
        <w:div w:id="1032926450">
          <w:marLeft w:val="0"/>
          <w:marRight w:val="0"/>
          <w:marTop w:val="0"/>
          <w:marBottom w:val="0"/>
          <w:divBdr>
            <w:top w:val="none" w:sz="0" w:space="0" w:color="auto"/>
            <w:left w:val="none" w:sz="0" w:space="0" w:color="auto"/>
            <w:bottom w:val="none" w:sz="0" w:space="0" w:color="auto"/>
            <w:right w:val="none" w:sz="0" w:space="0" w:color="auto"/>
          </w:divBdr>
        </w:div>
        <w:div w:id="2089964430">
          <w:marLeft w:val="0"/>
          <w:marRight w:val="0"/>
          <w:marTop w:val="0"/>
          <w:marBottom w:val="0"/>
          <w:divBdr>
            <w:top w:val="none" w:sz="0" w:space="0" w:color="auto"/>
            <w:left w:val="none" w:sz="0" w:space="0" w:color="auto"/>
            <w:bottom w:val="none" w:sz="0" w:space="0" w:color="auto"/>
            <w:right w:val="none" w:sz="0" w:space="0" w:color="auto"/>
          </w:divBdr>
        </w:div>
        <w:div w:id="992106975">
          <w:marLeft w:val="0"/>
          <w:marRight w:val="0"/>
          <w:marTop w:val="0"/>
          <w:marBottom w:val="0"/>
          <w:divBdr>
            <w:top w:val="none" w:sz="0" w:space="0" w:color="auto"/>
            <w:left w:val="none" w:sz="0" w:space="0" w:color="auto"/>
            <w:bottom w:val="none" w:sz="0" w:space="0" w:color="auto"/>
            <w:right w:val="none" w:sz="0" w:space="0" w:color="auto"/>
          </w:divBdr>
        </w:div>
        <w:div w:id="1517306158">
          <w:marLeft w:val="0"/>
          <w:marRight w:val="0"/>
          <w:marTop w:val="0"/>
          <w:marBottom w:val="0"/>
          <w:divBdr>
            <w:top w:val="none" w:sz="0" w:space="0" w:color="auto"/>
            <w:left w:val="none" w:sz="0" w:space="0" w:color="auto"/>
            <w:bottom w:val="none" w:sz="0" w:space="0" w:color="auto"/>
            <w:right w:val="none" w:sz="0" w:space="0" w:color="auto"/>
          </w:divBdr>
        </w:div>
        <w:div w:id="204298614">
          <w:marLeft w:val="0"/>
          <w:marRight w:val="0"/>
          <w:marTop w:val="0"/>
          <w:marBottom w:val="0"/>
          <w:divBdr>
            <w:top w:val="none" w:sz="0" w:space="0" w:color="auto"/>
            <w:left w:val="none" w:sz="0" w:space="0" w:color="auto"/>
            <w:bottom w:val="none" w:sz="0" w:space="0" w:color="auto"/>
            <w:right w:val="none" w:sz="0" w:space="0" w:color="auto"/>
          </w:divBdr>
        </w:div>
        <w:div w:id="561454243">
          <w:marLeft w:val="0"/>
          <w:marRight w:val="0"/>
          <w:marTop w:val="0"/>
          <w:marBottom w:val="0"/>
          <w:divBdr>
            <w:top w:val="none" w:sz="0" w:space="0" w:color="auto"/>
            <w:left w:val="none" w:sz="0" w:space="0" w:color="auto"/>
            <w:bottom w:val="none" w:sz="0" w:space="0" w:color="auto"/>
            <w:right w:val="none" w:sz="0" w:space="0" w:color="auto"/>
          </w:divBdr>
        </w:div>
        <w:div w:id="480074242">
          <w:marLeft w:val="0"/>
          <w:marRight w:val="0"/>
          <w:marTop w:val="0"/>
          <w:marBottom w:val="0"/>
          <w:divBdr>
            <w:top w:val="none" w:sz="0" w:space="0" w:color="auto"/>
            <w:left w:val="none" w:sz="0" w:space="0" w:color="auto"/>
            <w:bottom w:val="none" w:sz="0" w:space="0" w:color="auto"/>
            <w:right w:val="none" w:sz="0" w:space="0" w:color="auto"/>
          </w:divBdr>
        </w:div>
        <w:div w:id="418406111">
          <w:marLeft w:val="0"/>
          <w:marRight w:val="0"/>
          <w:marTop w:val="0"/>
          <w:marBottom w:val="0"/>
          <w:divBdr>
            <w:top w:val="none" w:sz="0" w:space="0" w:color="auto"/>
            <w:left w:val="none" w:sz="0" w:space="0" w:color="auto"/>
            <w:bottom w:val="none" w:sz="0" w:space="0" w:color="auto"/>
            <w:right w:val="none" w:sz="0" w:space="0" w:color="auto"/>
          </w:divBdr>
        </w:div>
        <w:div w:id="1076131061">
          <w:marLeft w:val="0"/>
          <w:marRight w:val="0"/>
          <w:marTop w:val="0"/>
          <w:marBottom w:val="0"/>
          <w:divBdr>
            <w:top w:val="none" w:sz="0" w:space="0" w:color="auto"/>
            <w:left w:val="none" w:sz="0" w:space="0" w:color="auto"/>
            <w:bottom w:val="none" w:sz="0" w:space="0" w:color="auto"/>
            <w:right w:val="none" w:sz="0" w:space="0" w:color="auto"/>
          </w:divBdr>
        </w:div>
        <w:div w:id="2057923923">
          <w:marLeft w:val="0"/>
          <w:marRight w:val="0"/>
          <w:marTop w:val="0"/>
          <w:marBottom w:val="0"/>
          <w:divBdr>
            <w:top w:val="none" w:sz="0" w:space="0" w:color="auto"/>
            <w:left w:val="none" w:sz="0" w:space="0" w:color="auto"/>
            <w:bottom w:val="none" w:sz="0" w:space="0" w:color="auto"/>
            <w:right w:val="none" w:sz="0" w:space="0" w:color="auto"/>
          </w:divBdr>
        </w:div>
        <w:div w:id="540168087">
          <w:marLeft w:val="0"/>
          <w:marRight w:val="0"/>
          <w:marTop w:val="0"/>
          <w:marBottom w:val="0"/>
          <w:divBdr>
            <w:top w:val="none" w:sz="0" w:space="0" w:color="auto"/>
            <w:left w:val="none" w:sz="0" w:space="0" w:color="auto"/>
            <w:bottom w:val="none" w:sz="0" w:space="0" w:color="auto"/>
            <w:right w:val="none" w:sz="0" w:space="0" w:color="auto"/>
          </w:divBdr>
        </w:div>
        <w:div w:id="1685400228">
          <w:marLeft w:val="0"/>
          <w:marRight w:val="0"/>
          <w:marTop w:val="0"/>
          <w:marBottom w:val="0"/>
          <w:divBdr>
            <w:top w:val="none" w:sz="0" w:space="0" w:color="auto"/>
            <w:left w:val="none" w:sz="0" w:space="0" w:color="auto"/>
            <w:bottom w:val="none" w:sz="0" w:space="0" w:color="auto"/>
            <w:right w:val="none" w:sz="0" w:space="0" w:color="auto"/>
          </w:divBdr>
        </w:div>
        <w:div w:id="1713842239">
          <w:marLeft w:val="0"/>
          <w:marRight w:val="0"/>
          <w:marTop w:val="0"/>
          <w:marBottom w:val="0"/>
          <w:divBdr>
            <w:top w:val="none" w:sz="0" w:space="0" w:color="auto"/>
            <w:left w:val="none" w:sz="0" w:space="0" w:color="auto"/>
            <w:bottom w:val="none" w:sz="0" w:space="0" w:color="auto"/>
            <w:right w:val="none" w:sz="0" w:space="0" w:color="auto"/>
          </w:divBdr>
        </w:div>
        <w:div w:id="399787359">
          <w:marLeft w:val="0"/>
          <w:marRight w:val="0"/>
          <w:marTop w:val="0"/>
          <w:marBottom w:val="0"/>
          <w:divBdr>
            <w:top w:val="none" w:sz="0" w:space="0" w:color="auto"/>
            <w:left w:val="none" w:sz="0" w:space="0" w:color="auto"/>
            <w:bottom w:val="none" w:sz="0" w:space="0" w:color="auto"/>
            <w:right w:val="none" w:sz="0" w:space="0" w:color="auto"/>
          </w:divBdr>
        </w:div>
        <w:div w:id="1711033133">
          <w:marLeft w:val="0"/>
          <w:marRight w:val="0"/>
          <w:marTop w:val="0"/>
          <w:marBottom w:val="0"/>
          <w:divBdr>
            <w:top w:val="none" w:sz="0" w:space="0" w:color="auto"/>
            <w:left w:val="none" w:sz="0" w:space="0" w:color="auto"/>
            <w:bottom w:val="none" w:sz="0" w:space="0" w:color="auto"/>
            <w:right w:val="none" w:sz="0" w:space="0" w:color="auto"/>
          </w:divBdr>
        </w:div>
        <w:div w:id="225460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image" Target="media/image5.png"/><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4.emf"/><Relationship Id="rId25" Type="http://schemas.openxmlformats.org/officeDocument/2006/relationships/chart" Target="charts/chart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8.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chart" Target="charts/chart11.xml"/><Relationship Id="rId10" Type="http://schemas.openxmlformats.org/officeDocument/2006/relationships/chart" Target="charts/chart2.xml"/><Relationship Id="rId19" Type="http://schemas.openxmlformats.org/officeDocument/2006/relationships/chart" Target="charts/chart7.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ad.sigov.si\usr\A-E\ApohalL33\Documents\SPREMEMBE%20PLAC.SISTEMA\leto%202022\GRAFI\Velikost%20javnega%20sektorja,%2018.%2011.%202022.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ad.sigov.si\usr\A-E\ApohalL33\Documents\SPREMEMBE%20PLAC.SISTEMA\leto%202022\GRAFI\ostali%20grafi%20za%20pp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ad.sigov.si\usr\A-E\ApohalL33\Documents\SPREMEMBE%20PLAC.SISTEMA\leto%202022\GRAFI\ostali%20grafi%20za%20ppt.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ad.sigov.si\usr\A-E\ApohalL33\Documents\SPREMEMBE%20PLAC.SISTEMA\leto%202022\GRAFI\razlike%202008%202023.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ad.sigov.si\usr\A-E\ApohalL33\Documents\SPREMEMBE%20PLAC.SISTEMA\leto%202022\GRAFI\Velikost%20javnega%20sektorja,%2018.%2011.%202022.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ad.sigov.si\usr\A-E\ApohalL33\Documents\SPREMEMBE%20PLAC.SISTEMA\leto%202022\GRAFI\Velikost%20javnega%20sektorja,%2018.%2011.%202022.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ad.sigov.si\usr\A-E\ApohalL33\Documents\SPREMEMBE%20PLAC.SISTEMA\leto%202022\GRAFI\Velikost%20javnega%20sektorja,%2018.%2011.%202022.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ApohalL33\AppData\Local\Microsoft\Windows\INetCache\Content.Outlook\E28XIVQM\Zaposlenost%20-%20sektor%20dr&#382;ava%20-%20izbrane%20dr&#382;ave%20EU.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ad.sigov.si\usr\A-E\ApohalL33\Documents\SPREMEMBE%20PLAC.SISTEMA\leto%202022\GRAFI\sredstva%20za%20zaposlene-general%20government.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xlsx"/></Relationships>
</file>

<file path=word/charts/_rels/chart9.xml.rels><?xml version="1.0" encoding="UTF-8" standalone="yes"?>
<Relationships xmlns="http://schemas.openxmlformats.org/package/2006/relationships"><Relationship Id="rId3" Type="http://schemas.openxmlformats.org/officeDocument/2006/relationships/oleObject" Target="file:///\\ad.sigov.si\usr\A-E\ApohalL33\Documents\SPREMEMBE%20PLAC.SISTEMA\leto%202022\GRAFI\ostali%20grafi%20za%20pp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785479797979801E-2"/>
          <c:y val="0.11370451388888887"/>
          <c:w val="0.89873308080808079"/>
          <c:h val="0.60717465277777782"/>
        </c:manualLayout>
      </c:layout>
      <c:barChart>
        <c:barDir val="col"/>
        <c:grouping val="clustered"/>
        <c:varyColors val="0"/>
        <c:ser>
          <c:idx val="0"/>
          <c:order val="0"/>
          <c:tx>
            <c:strRef>
              <c:f>'Skupaj OPQ'!$P$11</c:f>
              <c:strCache>
                <c:ptCount val="1"/>
                <c:pt idx="0">
                  <c:v>2021</c:v>
                </c:pt>
              </c:strCache>
            </c:strRef>
          </c:tx>
          <c:spPr>
            <a:solidFill>
              <a:srgbClr val="A7AEB4"/>
            </a:solidFill>
            <a:ln>
              <a:noFill/>
            </a:ln>
            <a:effectLst/>
          </c:spPr>
          <c:invertIfNegative val="0"/>
          <c:dPt>
            <c:idx val="8"/>
            <c:invertIfNegative val="0"/>
            <c:bubble3D val="0"/>
            <c:spPr>
              <a:solidFill>
                <a:srgbClr val="176F8B"/>
              </a:solidFill>
              <a:ln>
                <a:noFill/>
              </a:ln>
              <a:effectLst/>
            </c:spPr>
            <c:extLst>
              <c:ext xmlns:c16="http://schemas.microsoft.com/office/drawing/2014/chart" uri="{C3380CC4-5D6E-409C-BE32-E72D297353CC}">
                <c16:uniqueId val="{00000001-3E1F-4B84-8DF4-CAB1888762DA}"/>
              </c:ext>
            </c:extLst>
          </c:dPt>
          <c:dPt>
            <c:idx val="23"/>
            <c:invertIfNegative val="0"/>
            <c:bubble3D val="0"/>
            <c:spPr>
              <a:solidFill>
                <a:srgbClr val="A10305"/>
              </a:solidFill>
              <a:ln>
                <a:noFill/>
              </a:ln>
              <a:effectLst/>
            </c:spPr>
            <c:extLst>
              <c:ext xmlns:c16="http://schemas.microsoft.com/office/drawing/2014/chart" uri="{C3380CC4-5D6E-409C-BE32-E72D297353CC}">
                <c16:uniqueId val="{00000003-3E1F-4B84-8DF4-CAB1888762DA}"/>
              </c:ext>
            </c:extLst>
          </c:dPt>
          <c:dLbls>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solidFill>
                      <a:latin typeface="Myriad Pro" panose="020B0503030403020204" pitchFamily="34" charset="0"/>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1F-4B84-8DF4-CAB1888762DA}"/>
                </c:ext>
              </c:extLst>
            </c:dLbl>
            <c:dLbl>
              <c:idx val="23"/>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solidFill>
                      <a:latin typeface="Myriad Pro" panose="020B0503030403020204" pitchFamily="34" charset="0"/>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1F-4B84-8DF4-CAB1888762D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yriad Pro" panose="020B0503030403020204" pitchFamily="34" charset="0"/>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'Skupaj OPQ'!$N$12:$N$39</c:f>
              <c:strCache>
                <c:ptCount val="28"/>
                <c:pt idx="0">
                  <c:v>Švedska</c:v>
                </c:pt>
                <c:pt idx="1">
                  <c:v>Danska</c:v>
                </c:pt>
                <c:pt idx="2">
                  <c:v>Belgija</c:v>
                </c:pt>
                <c:pt idx="3">
                  <c:v>Finska</c:v>
                </c:pt>
                <c:pt idx="4">
                  <c:v>Francija</c:v>
                </c:pt>
                <c:pt idx="5">
                  <c:v>Nizozemska</c:v>
                </c:pt>
                <c:pt idx="6">
                  <c:v>Irska</c:v>
                </c:pt>
                <c:pt idx="7">
                  <c:v>Nemčija</c:v>
                </c:pt>
                <c:pt idx="8">
                  <c:v>EU27</c:v>
                </c:pt>
                <c:pt idx="9">
                  <c:v>Avstrija</c:v>
                </c:pt>
                <c:pt idx="10">
                  <c:v>Estonija</c:v>
                </c:pt>
                <c:pt idx="11">
                  <c:v>Španija</c:v>
                </c:pt>
                <c:pt idx="12">
                  <c:v>Malta</c:v>
                </c:pt>
                <c:pt idx="13">
                  <c:v>Litva</c:v>
                </c:pt>
                <c:pt idx="14">
                  <c:v>Grčija</c:v>
                </c:pt>
                <c:pt idx="15">
                  <c:v>Latvija</c:v>
                </c:pt>
                <c:pt idx="16">
                  <c:v>Luksemburg</c:v>
                </c:pt>
                <c:pt idx="17">
                  <c:v>Hrvaška</c:v>
                </c:pt>
                <c:pt idx="18">
                  <c:v>Portugalska</c:v>
                </c:pt>
                <c:pt idx="19">
                  <c:v>Polska</c:v>
                </c:pt>
                <c:pt idx="20">
                  <c:v>Madžarska</c:v>
                </c:pt>
                <c:pt idx="21">
                  <c:v>Slovaška</c:v>
                </c:pt>
                <c:pt idx="22">
                  <c:v>Ciper</c:v>
                </c:pt>
                <c:pt idx="23">
                  <c:v>Slovenija</c:v>
                </c:pt>
                <c:pt idx="24">
                  <c:v>Češka</c:v>
                </c:pt>
                <c:pt idx="25">
                  <c:v>Italija</c:v>
                </c:pt>
                <c:pt idx="26">
                  <c:v>Bolgarija</c:v>
                </c:pt>
                <c:pt idx="27">
                  <c:v>Romunija</c:v>
                </c:pt>
              </c:strCache>
            </c:strRef>
          </c:cat>
          <c:val>
            <c:numRef>
              <c:f>'Skupaj OPQ'!$P$12:$P$39</c:f>
              <c:numCache>
                <c:formatCode>0.0</c:formatCode>
                <c:ptCount val="28"/>
                <c:pt idx="0">
                  <c:v>34.056009012035815</c:v>
                </c:pt>
                <c:pt idx="1">
                  <c:v>31.064518564970005</c:v>
                </c:pt>
                <c:pt idx="2">
                  <c:v>30.883325649916817</c:v>
                </c:pt>
                <c:pt idx="3">
                  <c:v>30.323151837096056</c:v>
                </c:pt>
                <c:pt idx="4">
                  <c:v>29.423932154307579</c:v>
                </c:pt>
                <c:pt idx="5">
                  <c:v>27.502817911671279</c:v>
                </c:pt>
                <c:pt idx="6">
                  <c:v>27.01781707357916</c:v>
                </c:pt>
                <c:pt idx="7">
                  <c:v>26.040462427745663</c:v>
                </c:pt>
                <c:pt idx="8">
                  <c:v>24.153749881566242</c:v>
                </c:pt>
                <c:pt idx="9">
                  <c:v>24.067897165458142</c:v>
                </c:pt>
                <c:pt idx="10">
                  <c:v>23.434564809016905</c:v>
                </c:pt>
                <c:pt idx="11">
                  <c:v>23.401132207805222</c:v>
                </c:pt>
                <c:pt idx="12">
                  <c:v>22.87662507961485</c:v>
                </c:pt>
                <c:pt idx="13">
                  <c:v>22.71307290687416</c:v>
                </c:pt>
                <c:pt idx="14">
                  <c:v>21.856027572739372</c:v>
                </c:pt>
                <c:pt idx="15">
                  <c:v>21.741521754394178</c:v>
                </c:pt>
                <c:pt idx="16">
                  <c:v>21.543752703008835</c:v>
                </c:pt>
                <c:pt idx="17">
                  <c:v>21.400892957198213</c:v>
                </c:pt>
                <c:pt idx="18">
                  <c:v>21.397054078471861</c:v>
                </c:pt>
                <c:pt idx="19">
                  <c:v>21.048614408231217</c:v>
                </c:pt>
                <c:pt idx="20">
                  <c:v>20.832731995959012</c:v>
                </c:pt>
                <c:pt idx="21">
                  <c:v>20.553263567451534</c:v>
                </c:pt>
                <c:pt idx="22">
                  <c:v>19.988324052451947</c:v>
                </c:pt>
                <c:pt idx="23">
                  <c:v>19.33805023980246</c:v>
                </c:pt>
                <c:pt idx="24">
                  <c:v>19.297639694502578</c:v>
                </c:pt>
                <c:pt idx="25">
                  <c:v>19.237850806226636</c:v>
                </c:pt>
                <c:pt idx="26">
                  <c:v>16.784013462834078</c:v>
                </c:pt>
                <c:pt idx="27">
                  <c:v>13.705142327091426</c:v>
                </c:pt>
              </c:numCache>
            </c:numRef>
          </c:val>
          <c:extLst>
            <c:ext xmlns:c16="http://schemas.microsoft.com/office/drawing/2014/chart" uri="{C3380CC4-5D6E-409C-BE32-E72D297353CC}">
              <c16:uniqueId val="{00000004-3E1F-4B84-8DF4-CAB1888762DA}"/>
            </c:ext>
          </c:extLst>
        </c:ser>
        <c:dLbls>
          <c:showLegendKey val="0"/>
          <c:showVal val="0"/>
          <c:showCatName val="0"/>
          <c:showSerName val="0"/>
          <c:showPercent val="0"/>
          <c:showBubbleSize val="0"/>
        </c:dLbls>
        <c:gapWidth val="43"/>
        <c:axId val="1306516111"/>
        <c:axId val="1306949167"/>
      </c:barChart>
      <c:catAx>
        <c:axId val="1306516111"/>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5400000" spcFirstLastPara="1" vertOverflow="ellipsis" wrap="square" anchor="ctr" anchorCtr="1"/>
          <a:lstStyle/>
          <a:p>
            <a:pPr>
              <a:defRPr sz="1000" b="0" i="0" u="none" strike="noStrike" kern="1200" baseline="0">
                <a:solidFill>
                  <a:sysClr val="windowText" lastClr="000000"/>
                </a:solidFill>
                <a:latin typeface="Myriad Pro" panose="020B0503030403020204" pitchFamily="34" charset="0"/>
                <a:ea typeface="+mn-ea"/>
                <a:cs typeface="+mn-cs"/>
              </a:defRPr>
            </a:pPr>
            <a:endParaRPr lang="sl-SI"/>
          </a:p>
        </c:txPr>
        <c:crossAx val="1306949167"/>
        <c:crosses val="autoZero"/>
        <c:auto val="1"/>
        <c:lblAlgn val="ctr"/>
        <c:lblOffset val="100"/>
        <c:noMultiLvlLbl val="0"/>
      </c:catAx>
      <c:valAx>
        <c:axId val="1306949167"/>
        <c:scaling>
          <c:orientation val="minMax"/>
        </c:scaling>
        <c:delete val="0"/>
        <c:axPos val="l"/>
        <c:majorGridlines>
          <c:spPr>
            <a:ln w="9525" cap="flat" cmpd="sng" algn="ctr">
              <a:solidFill>
                <a:sysClr val="window" lastClr="FFFFFF">
                  <a:lumMod val="65000"/>
                </a:sys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yriad Pro" panose="020B0503030403020204" pitchFamily="34" charset="0"/>
                <a:ea typeface="+mn-ea"/>
                <a:cs typeface="+mn-cs"/>
              </a:defRPr>
            </a:pPr>
            <a:endParaRPr lang="sl-SI"/>
          </a:p>
        </c:txPr>
        <c:crossAx val="1306516111"/>
        <c:crosses val="autoZero"/>
        <c:crossBetween val="between"/>
      </c:valAx>
      <c:spPr>
        <a:noFill/>
        <a:ln>
          <a:solidFill>
            <a:sysClr val="window" lastClr="FFFFFF">
              <a:lumMod val="65000"/>
            </a:sysClr>
          </a:solid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Myriad Pro" panose="020B0503030403020204" pitchFamily="34" charset="0"/>
        </a:defRPr>
      </a:pPr>
      <a:endParaRPr lang="sl-SI"/>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'pov pla vse pp'!$N$1</c:f>
              <c:strCache>
                <c:ptCount val="1"/>
                <c:pt idx="0">
                  <c:v>indeks 2022 na 2015</c:v>
                </c:pt>
              </c:strCache>
            </c:strRef>
          </c:tx>
          <c:spPr>
            <a:solidFill>
              <a:schemeClr val="accent1"/>
            </a:solidFill>
            <a:ln>
              <a:noFill/>
            </a:ln>
            <a:effectLst/>
          </c:spPr>
          <c:invertIfNegative val="0"/>
          <c:dPt>
            <c:idx val="16"/>
            <c:invertIfNegative val="0"/>
            <c:bubble3D val="0"/>
            <c:spPr>
              <a:solidFill>
                <a:schemeClr val="accent1"/>
              </a:solidFill>
              <a:ln>
                <a:noFill/>
              </a:ln>
              <a:effectLst/>
            </c:spPr>
            <c:extLst>
              <c:ext xmlns:c16="http://schemas.microsoft.com/office/drawing/2014/chart" uri="{C3380CC4-5D6E-409C-BE32-E72D297353CC}">
                <c16:uniqueId val="{00000001-7F83-4C22-8F5D-9C6944644763}"/>
              </c:ext>
            </c:extLst>
          </c:dPt>
          <c:dPt>
            <c:idx val="22"/>
            <c:invertIfNegative val="0"/>
            <c:bubble3D val="0"/>
            <c:spPr>
              <a:solidFill>
                <a:srgbClr val="FFC000"/>
              </a:solidFill>
              <a:ln>
                <a:noFill/>
              </a:ln>
              <a:effectLst/>
            </c:spPr>
            <c:extLst>
              <c:ext xmlns:c16="http://schemas.microsoft.com/office/drawing/2014/chart" uri="{C3380CC4-5D6E-409C-BE32-E72D297353CC}">
                <c16:uniqueId val="{00000003-7F83-4C22-8F5D-9C69446447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'pov pla vse pp'!$M$2:$M$32</c:f>
              <c:strCache>
                <c:ptCount val="31"/>
                <c:pt idx="0">
                  <c:v>A4 – Funkcionarji v drugih državnih organih</c:v>
                </c:pt>
                <c:pt idx="1">
                  <c:v>A5 – Funkcionarji v lokalnih skupnostih</c:v>
                </c:pt>
                <c:pt idx="2">
                  <c:v>A2 – Funkcionarji zakonodajne oblasti</c:v>
                </c:pt>
                <c:pt idx="3">
                  <c:v>A3 – Funkcionarji sodne oblasti</c:v>
                </c:pt>
                <c:pt idx="4">
                  <c:v>A1 – Predsednik republike in funkcionarji izvršilne oblasti</c:v>
                </c:pt>
                <c:pt idx="5">
                  <c:v>E4 – Zdravstveni delavci in zdravstveni sodelavc</c:v>
                </c:pt>
                <c:pt idx="6">
                  <c:v>H2 – Strokovni sodelavci</c:v>
                </c:pt>
                <c:pt idx="7">
                  <c:v>E2 – Farmacevtski delavci</c:v>
                </c:pt>
                <c:pt idx="8">
                  <c:v>B1 – Ravnatelji, direktorji in tajniki</c:v>
                </c:pt>
                <c:pt idx="9">
                  <c:v>H1 – Raziskovalci</c:v>
                </c:pt>
                <c:pt idx="10">
                  <c:v>G2 – Drugi poklici na področju kulture in informiranja</c:v>
                </c:pt>
                <c:pt idx="11">
                  <c:v>E1 – Zdravniki in zobozdravniki</c:v>
                </c:pt>
                <c:pt idx="12">
                  <c:v>D3 – Vzgojitelji in ostali strokovni delavci v vrtcih</c:v>
                </c:pt>
                <c:pt idx="13">
                  <c:v>D2 – Predavatelji višjih strokovnih šol, srednješolski in osnovnošolski učitelji in drugi strokovni delavci</c:v>
                </c:pt>
                <c:pt idx="14">
                  <c:v>C1 – Uradniki v drugih državnih organih</c:v>
                </c:pt>
                <c:pt idx="15">
                  <c:v>F1 – Strokovni delavci</c:v>
                </c:pt>
                <c:pt idx="16">
                  <c:v>G1 – Umetniški poklici</c:v>
                </c:pt>
                <c:pt idx="17">
                  <c:v>C6 – Inšpektorji, pravosodni policisti in drugi uradniki s posebnimi pooblastili</c:v>
                </c:pt>
                <c:pt idx="18">
                  <c:v>I1 – Strokovni delavci</c:v>
                </c:pt>
                <c:pt idx="19">
                  <c:v>C2 – Uradniki v državni upravi, upravah pravosodnih organov in upravah lokalnih skupnosti</c:v>
                </c:pt>
                <c:pt idx="20">
                  <c:v>C7 – Diplomati</c:v>
                </c:pt>
                <c:pt idx="21">
                  <c:v>J1 – Strokovni delavci</c:v>
                </c:pt>
                <c:pt idx="22">
                  <c:v>SKUPAJ JAVNI SEKTOR</c:v>
                </c:pt>
                <c:pt idx="23">
                  <c:v>C5 – Uradniki finančne uprave</c:v>
                </c:pt>
                <c:pt idx="24">
                  <c:v>J2 – Administrativni delavci</c:v>
                </c:pt>
                <c:pt idx="25">
                  <c:v>D1 – Visokošolski učitelji in visokošolski sodelavci</c:v>
                </c:pt>
                <c:pt idx="26">
                  <c:v>F2 – Strokovni sodelavci</c:v>
                </c:pt>
                <c:pt idx="27">
                  <c:v>J3 – Ostali strokovno tehnični delavci</c:v>
                </c:pt>
                <c:pt idx="28">
                  <c:v>C3 – Policisti</c:v>
                </c:pt>
                <c:pt idx="29">
                  <c:v>E3 – Medicinske sestre in babice</c:v>
                </c:pt>
                <c:pt idx="30">
                  <c:v>C4 – Vojaki</c:v>
                </c:pt>
              </c:strCache>
            </c:strRef>
          </c:cat>
          <c:val>
            <c:numRef>
              <c:f>'pov pla vse pp'!$N$2:$N$32</c:f>
              <c:numCache>
                <c:formatCode>0</c:formatCode>
                <c:ptCount val="31"/>
                <c:pt idx="0">
                  <c:v>104.494075981976</c:v>
                </c:pt>
                <c:pt idx="1">
                  <c:v>104.53963365531544</c:v>
                </c:pt>
                <c:pt idx="2">
                  <c:v>104.69831209008422</c:v>
                </c:pt>
                <c:pt idx="3">
                  <c:v>109.18006026302956</c:v>
                </c:pt>
                <c:pt idx="4">
                  <c:v>110.4240103494395</c:v>
                </c:pt>
                <c:pt idx="5">
                  <c:v>111.82273853673624</c:v>
                </c:pt>
                <c:pt idx="6">
                  <c:v>112.06686745515184</c:v>
                </c:pt>
                <c:pt idx="7">
                  <c:v>116.20126566632291</c:v>
                </c:pt>
                <c:pt idx="8">
                  <c:v>118.544613403871</c:v>
                </c:pt>
                <c:pt idx="9">
                  <c:v>119.51770060114735</c:v>
                </c:pt>
                <c:pt idx="10">
                  <c:v>119.54193759531064</c:v>
                </c:pt>
                <c:pt idx="11">
                  <c:v>119.94798942201142</c:v>
                </c:pt>
                <c:pt idx="12">
                  <c:v>120.44759732392167</c:v>
                </c:pt>
                <c:pt idx="13">
                  <c:v>121.01532866452824</c:v>
                </c:pt>
                <c:pt idx="14">
                  <c:v>121.67792960825841</c:v>
                </c:pt>
                <c:pt idx="15">
                  <c:v>122.0110207607906</c:v>
                </c:pt>
                <c:pt idx="16">
                  <c:v>123.54486895288363</c:v>
                </c:pt>
                <c:pt idx="17">
                  <c:v>125.20691011558682</c:v>
                </c:pt>
                <c:pt idx="18">
                  <c:v>126.10757277491902</c:v>
                </c:pt>
                <c:pt idx="19">
                  <c:v>126.2818037862959</c:v>
                </c:pt>
                <c:pt idx="20">
                  <c:v>126.53683939448814</c:v>
                </c:pt>
                <c:pt idx="21">
                  <c:v>126.89757015613704</c:v>
                </c:pt>
                <c:pt idx="22">
                  <c:v>128.94926698642456</c:v>
                </c:pt>
                <c:pt idx="23">
                  <c:v>130.04929415003781</c:v>
                </c:pt>
                <c:pt idx="24">
                  <c:v>130.99085861540885</c:v>
                </c:pt>
                <c:pt idx="25">
                  <c:v>131.08662975241137</c:v>
                </c:pt>
                <c:pt idx="26">
                  <c:v>135.49278896810654</c:v>
                </c:pt>
                <c:pt idx="27">
                  <c:v>136.13743943908662</c:v>
                </c:pt>
                <c:pt idx="28">
                  <c:v>142.74711651794627</c:v>
                </c:pt>
                <c:pt idx="29">
                  <c:v>152.17536161222168</c:v>
                </c:pt>
                <c:pt idx="30">
                  <c:v>155.82840911179755</c:v>
                </c:pt>
              </c:numCache>
            </c:numRef>
          </c:val>
          <c:extLst>
            <c:ext xmlns:c16="http://schemas.microsoft.com/office/drawing/2014/chart" uri="{C3380CC4-5D6E-409C-BE32-E72D297353CC}">
              <c16:uniqueId val="{00000004-7F83-4C22-8F5D-9C6944644763}"/>
            </c:ext>
          </c:extLst>
        </c:ser>
        <c:dLbls>
          <c:showLegendKey val="0"/>
          <c:showVal val="0"/>
          <c:showCatName val="0"/>
          <c:showSerName val="0"/>
          <c:showPercent val="0"/>
          <c:showBubbleSize val="0"/>
        </c:dLbls>
        <c:gapWidth val="182"/>
        <c:axId val="583984976"/>
        <c:axId val="583988912"/>
      </c:barChart>
      <c:catAx>
        <c:axId val="583984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83988912"/>
        <c:crosses val="autoZero"/>
        <c:auto val="1"/>
        <c:lblAlgn val="ctr"/>
        <c:lblOffset val="100"/>
        <c:noMultiLvlLbl val="0"/>
      </c:catAx>
      <c:valAx>
        <c:axId val="583988912"/>
        <c:scaling>
          <c:orientation val="minMax"/>
          <c:min val="10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83984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'masa ind-08 (cov)'!$B$11</c:f>
              <c:strCache>
                <c:ptCount val="1"/>
                <c:pt idx="0">
                  <c:v>masa bruto plač (v eur)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'masa ind-08 (cov)'!$A$12:$A$25</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'masa ind-08 (cov)'!$B$12:$B$25</c:f>
              <c:numCache>
                <c:formatCode>#,##0</c:formatCode>
                <c:ptCount val="14"/>
                <c:pt idx="0">
                  <c:v>3153872292</c:v>
                </c:pt>
                <c:pt idx="1">
                  <c:v>3428098900</c:v>
                </c:pt>
                <c:pt idx="2">
                  <c:v>3474983087</c:v>
                </c:pt>
                <c:pt idx="3">
                  <c:v>3501948746</c:v>
                </c:pt>
                <c:pt idx="4">
                  <c:v>3442796869</c:v>
                </c:pt>
                <c:pt idx="5">
                  <c:v>3300634499</c:v>
                </c:pt>
                <c:pt idx="6">
                  <c:v>3306176631</c:v>
                </c:pt>
                <c:pt idx="7">
                  <c:v>3448126862.0100002</c:v>
                </c:pt>
                <c:pt idx="8">
                  <c:v>3629746764.0600004</c:v>
                </c:pt>
                <c:pt idx="9">
                  <c:v>3829904098.0899997</c:v>
                </c:pt>
                <c:pt idx="10">
                  <c:v>3993882955.3500004</c:v>
                </c:pt>
                <c:pt idx="11">
                  <c:v>4328900863.9899998</c:v>
                </c:pt>
                <c:pt idx="12">
                  <c:v>4809548931.8400002</c:v>
                </c:pt>
                <c:pt idx="13">
                  <c:v>5281882684.5299997</c:v>
                </c:pt>
              </c:numCache>
            </c:numRef>
          </c:val>
          <c:extLst>
            <c:ext xmlns:c16="http://schemas.microsoft.com/office/drawing/2014/chart" uri="{C3380CC4-5D6E-409C-BE32-E72D297353CC}">
              <c16:uniqueId val="{00000000-DB5C-4819-AD73-3FD3C9E94B32}"/>
            </c:ext>
          </c:extLst>
        </c:ser>
        <c:ser>
          <c:idx val="1"/>
          <c:order val="1"/>
          <c:tx>
            <c:strRef>
              <c:f>'masa ind-08 (cov)'!$C$11</c:f>
              <c:strCache>
                <c:ptCount val="1"/>
                <c:pt idx="0">
                  <c:v>masa bruto plač brez covid (v eur)</c:v>
                </c:pt>
              </c:strCache>
            </c:strRef>
          </c:tx>
          <c:spPr>
            <a:solidFill>
              <a:schemeClr val="accent6"/>
            </a:solidFill>
            <a:ln>
              <a:noFill/>
            </a:ln>
            <a:effectLst/>
          </c:spPr>
          <c:invertIfNegative val="0"/>
          <c:dPt>
            <c:idx val="0"/>
            <c:invertIfNegative val="0"/>
            <c:bubble3D val="0"/>
            <c:spPr>
              <a:noFill/>
              <a:ln>
                <a:noFill/>
              </a:ln>
              <a:effectLst/>
            </c:spPr>
            <c:extLst>
              <c:ext xmlns:c16="http://schemas.microsoft.com/office/drawing/2014/chart" uri="{C3380CC4-5D6E-409C-BE32-E72D297353CC}">
                <c16:uniqueId val="{00000002-DB5C-4819-AD73-3FD3C9E94B32}"/>
              </c:ext>
            </c:extLst>
          </c:dPt>
          <c:dPt>
            <c:idx val="1"/>
            <c:invertIfNegative val="0"/>
            <c:bubble3D val="0"/>
            <c:spPr>
              <a:noFill/>
              <a:ln>
                <a:noFill/>
              </a:ln>
              <a:effectLst/>
            </c:spPr>
            <c:extLst>
              <c:ext xmlns:c16="http://schemas.microsoft.com/office/drawing/2014/chart" uri="{C3380CC4-5D6E-409C-BE32-E72D297353CC}">
                <c16:uniqueId val="{00000004-DB5C-4819-AD73-3FD3C9E94B32}"/>
              </c:ext>
            </c:extLst>
          </c:dPt>
          <c:dPt>
            <c:idx val="2"/>
            <c:invertIfNegative val="0"/>
            <c:bubble3D val="0"/>
            <c:spPr>
              <a:noFill/>
              <a:ln>
                <a:noFill/>
              </a:ln>
              <a:effectLst/>
            </c:spPr>
            <c:extLst>
              <c:ext xmlns:c16="http://schemas.microsoft.com/office/drawing/2014/chart" uri="{C3380CC4-5D6E-409C-BE32-E72D297353CC}">
                <c16:uniqueId val="{00000006-DB5C-4819-AD73-3FD3C9E94B32}"/>
              </c:ext>
            </c:extLst>
          </c:dPt>
          <c:dPt>
            <c:idx val="3"/>
            <c:invertIfNegative val="0"/>
            <c:bubble3D val="0"/>
            <c:spPr>
              <a:noFill/>
              <a:ln>
                <a:noFill/>
              </a:ln>
              <a:effectLst/>
            </c:spPr>
            <c:extLst>
              <c:ext xmlns:c16="http://schemas.microsoft.com/office/drawing/2014/chart" uri="{C3380CC4-5D6E-409C-BE32-E72D297353CC}">
                <c16:uniqueId val="{00000008-DB5C-4819-AD73-3FD3C9E94B32}"/>
              </c:ext>
            </c:extLst>
          </c:dPt>
          <c:dPt>
            <c:idx val="4"/>
            <c:invertIfNegative val="0"/>
            <c:bubble3D val="0"/>
            <c:spPr>
              <a:noFill/>
              <a:ln>
                <a:noFill/>
              </a:ln>
              <a:effectLst/>
            </c:spPr>
            <c:extLst>
              <c:ext xmlns:c16="http://schemas.microsoft.com/office/drawing/2014/chart" uri="{C3380CC4-5D6E-409C-BE32-E72D297353CC}">
                <c16:uniqueId val="{0000000A-DB5C-4819-AD73-3FD3C9E94B32}"/>
              </c:ext>
            </c:extLst>
          </c:dPt>
          <c:dPt>
            <c:idx val="5"/>
            <c:invertIfNegative val="0"/>
            <c:bubble3D val="0"/>
            <c:spPr>
              <a:noFill/>
              <a:ln>
                <a:noFill/>
              </a:ln>
              <a:effectLst/>
            </c:spPr>
            <c:extLst>
              <c:ext xmlns:c16="http://schemas.microsoft.com/office/drawing/2014/chart" uri="{C3380CC4-5D6E-409C-BE32-E72D297353CC}">
                <c16:uniqueId val="{0000000C-DB5C-4819-AD73-3FD3C9E94B32}"/>
              </c:ext>
            </c:extLst>
          </c:dPt>
          <c:dPt>
            <c:idx val="6"/>
            <c:invertIfNegative val="0"/>
            <c:bubble3D val="0"/>
            <c:spPr>
              <a:noFill/>
              <a:ln>
                <a:noFill/>
              </a:ln>
              <a:effectLst/>
            </c:spPr>
            <c:extLst>
              <c:ext xmlns:c16="http://schemas.microsoft.com/office/drawing/2014/chart" uri="{C3380CC4-5D6E-409C-BE32-E72D297353CC}">
                <c16:uniqueId val="{0000000E-DB5C-4819-AD73-3FD3C9E94B32}"/>
              </c:ext>
            </c:extLst>
          </c:dPt>
          <c:dPt>
            <c:idx val="7"/>
            <c:invertIfNegative val="0"/>
            <c:bubble3D val="0"/>
            <c:spPr>
              <a:noFill/>
              <a:ln>
                <a:noFill/>
              </a:ln>
              <a:effectLst/>
            </c:spPr>
            <c:extLst>
              <c:ext xmlns:c16="http://schemas.microsoft.com/office/drawing/2014/chart" uri="{C3380CC4-5D6E-409C-BE32-E72D297353CC}">
                <c16:uniqueId val="{00000010-DB5C-4819-AD73-3FD3C9E94B32}"/>
              </c:ext>
            </c:extLst>
          </c:dPt>
          <c:dPt>
            <c:idx val="8"/>
            <c:invertIfNegative val="0"/>
            <c:bubble3D val="0"/>
            <c:spPr>
              <a:noFill/>
              <a:ln>
                <a:noFill/>
              </a:ln>
              <a:effectLst/>
            </c:spPr>
            <c:extLst>
              <c:ext xmlns:c16="http://schemas.microsoft.com/office/drawing/2014/chart" uri="{C3380CC4-5D6E-409C-BE32-E72D297353CC}">
                <c16:uniqueId val="{00000012-DB5C-4819-AD73-3FD3C9E94B32}"/>
              </c:ext>
            </c:extLst>
          </c:dPt>
          <c:dPt>
            <c:idx val="9"/>
            <c:invertIfNegative val="0"/>
            <c:bubble3D val="0"/>
            <c:spPr>
              <a:solidFill>
                <a:schemeClr val="bg1">
                  <a:alpha val="0"/>
                </a:schemeClr>
              </a:solidFill>
              <a:ln>
                <a:noFill/>
              </a:ln>
              <a:effectLst/>
            </c:spPr>
            <c:extLst>
              <c:ext xmlns:c16="http://schemas.microsoft.com/office/drawing/2014/chart" uri="{C3380CC4-5D6E-409C-BE32-E72D297353CC}">
                <c16:uniqueId val="{00000014-DB5C-4819-AD73-3FD3C9E94B32}"/>
              </c:ext>
            </c:extLst>
          </c:dPt>
          <c:dPt>
            <c:idx val="10"/>
            <c:invertIfNegative val="0"/>
            <c:bubble3D val="0"/>
            <c:spPr>
              <a:solidFill>
                <a:schemeClr val="bg1">
                  <a:alpha val="0"/>
                </a:schemeClr>
              </a:solidFill>
              <a:ln>
                <a:noFill/>
              </a:ln>
              <a:effectLst/>
            </c:spPr>
            <c:extLst>
              <c:ext xmlns:c16="http://schemas.microsoft.com/office/drawing/2014/chart" uri="{C3380CC4-5D6E-409C-BE32-E72D297353CC}">
                <c16:uniqueId val="{00000016-DB5C-4819-AD73-3FD3C9E94B32}"/>
              </c:ext>
            </c:extLst>
          </c:dPt>
          <c:dPt>
            <c:idx val="11"/>
            <c:invertIfNegative val="0"/>
            <c:bubble3D val="0"/>
            <c:spPr>
              <a:solidFill>
                <a:schemeClr val="bg1">
                  <a:alpha val="0"/>
                </a:schemeClr>
              </a:solidFill>
              <a:ln>
                <a:noFill/>
              </a:ln>
              <a:effectLst/>
            </c:spPr>
            <c:extLst>
              <c:ext xmlns:c16="http://schemas.microsoft.com/office/drawing/2014/chart" uri="{C3380CC4-5D6E-409C-BE32-E72D297353CC}">
                <c16:uniqueId val="{00000018-DB5C-4819-AD73-3FD3C9E94B32}"/>
              </c:ext>
            </c:extLst>
          </c:dPt>
          <c:cat>
            <c:numRef>
              <c:f>'masa ind-08 (cov)'!$A$12:$A$25</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'masa ind-08 (cov)'!$C$12:$C$25</c:f>
              <c:numCache>
                <c:formatCode>#,##0</c:formatCode>
                <c:ptCount val="14"/>
                <c:pt idx="0">
                  <c:v>3153872292</c:v>
                </c:pt>
                <c:pt idx="1">
                  <c:v>3428098900</c:v>
                </c:pt>
                <c:pt idx="2">
                  <c:v>3474983087</c:v>
                </c:pt>
                <c:pt idx="3">
                  <c:v>3501948746</c:v>
                </c:pt>
                <c:pt idx="4">
                  <c:v>3442796869</c:v>
                </c:pt>
                <c:pt idx="5">
                  <c:v>3300634499</c:v>
                </c:pt>
                <c:pt idx="6">
                  <c:v>3306176631</c:v>
                </c:pt>
                <c:pt idx="7">
                  <c:v>3448126862.0100002</c:v>
                </c:pt>
                <c:pt idx="8">
                  <c:v>3629746764.0600004</c:v>
                </c:pt>
                <c:pt idx="9">
                  <c:v>3829904098.0899997</c:v>
                </c:pt>
                <c:pt idx="10">
                  <c:v>3993882955.3500004</c:v>
                </c:pt>
                <c:pt idx="11">
                  <c:v>4328900863.9899998</c:v>
                </c:pt>
                <c:pt idx="12">
                  <c:v>4528185862.8400002</c:v>
                </c:pt>
                <c:pt idx="13">
                  <c:v>4789367416.5299997</c:v>
                </c:pt>
              </c:numCache>
            </c:numRef>
          </c:val>
          <c:extLst>
            <c:ext xmlns:c16="http://schemas.microsoft.com/office/drawing/2014/chart" uri="{C3380CC4-5D6E-409C-BE32-E72D297353CC}">
              <c16:uniqueId val="{00000019-DB5C-4819-AD73-3FD3C9E94B32}"/>
            </c:ext>
          </c:extLst>
        </c:ser>
        <c:dLbls>
          <c:showLegendKey val="0"/>
          <c:showVal val="0"/>
          <c:showCatName val="0"/>
          <c:showSerName val="0"/>
          <c:showPercent val="0"/>
          <c:showBubbleSize val="0"/>
        </c:dLbls>
        <c:gapWidth val="219"/>
        <c:axId val="201613352"/>
        <c:axId val="201613680"/>
      </c:barChart>
      <c:lineChart>
        <c:grouping val="standard"/>
        <c:varyColors val="0"/>
        <c:ser>
          <c:idx val="2"/>
          <c:order val="2"/>
          <c:tx>
            <c:strRef>
              <c:f>'masa ind-08 (cov)'!$D$11</c:f>
              <c:strCache>
                <c:ptCount val="1"/>
                <c:pt idx="0">
                  <c:v>indeks na 2008</c:v>
                </c:pt>
              </c:strCache>
            </c:strRef>
          </c:tx>
          <c:spPr>
            <a:ln w="28575" cap="rnd">
              <a:solidFill>
                <a:schemeClr val="accent2"/>
              </a:solidFill>
              <a:round/>
            </a:ln>
            <a:effectLst/>
          </c:spPr>
          <c:marker>
            <c:symbol val="circle"/>
            <c:size val="5"/>
            <c:spPr>
              <a:solidFill>
                <a:schemeClr val="accent2"/>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'masa ind-08 (cov)'!$A$12:$A$25</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'masa ind-08 (cov)'!$D$12:$D$25</c:f>
              <c:numCache>
                <c:formatCode>#,##0</c:formatCode>
                <c:ptCount val="14"/>
                <c:pt idx="0">
                  <c:v>100</c:v>
                </c:pt>
                <c:pt idx="1">
                  <c:v>108.694917948821</c:v>
                </c:pt>
                <c:pt idx="2">
                  <c:v>110.18147741157809</c:v>
                </c:pt>
                <c:pt idx="3">
                  <c:v>111.03647902557495</c:v>
                </c:pt>
                <c:pt idx="4">
                  <c:v>109.16094724992118</c:v>
                </c:pt>
                <c:pt idx="5">
                  <c:v>104.65339726571274</c:v>
                </c:pt>
                <c:pt idx="6">
                  <c:v>104.8291219459434</c:v>
                </c:pt>
                <c:pt idx="7">
                  <c:v>109.32994562767794</c:v>
                </c:pt>
                <c:pt idx="8">
                  <c:v>115.08857772291816</c:v>
                </c:pt>
                <c:pt idx="9">
                  <c:v>121.43497718042666</c:v>
                </c:pt>
                <c:pt idx="10">
                  <c:v>126.63426371070071</c:v>
                </c:pt>
                <c:pt idx="11">
                  <c:v>137.25669472954044</c:v>
                </c:pt>
                <c:pt idx="12">
                  <c:v>152.49662911335156</c:v>
                </c:pt>
                <c:pt idx="13">
                  <c:v>167.47294105496394</c:v>
                </c:pt>
              </c:numCache>
            </c:numRef>
          </c:val>
          <c:smooth val="0"/>
          <c:extLst>
            <c:ext xmlns:c16="http://schemas.microsoft.com/office/drawing/2014/chart" uri="{C3380CC4-5D6E-409C-BE32-E72D297353CC}">
              <c16:uniqueId val="{0000001A-DB5C-4819-AD73-3FD3C9E94B32}"/>
            </c:ext>
          </c:extLst>
        </c:ser>
        <c:ser>
          <c:idx val="3"/>
          <c:order val="3"/>
          <c:tx>
            <c:strRef>
              <c:f>'masa ind-08 (cov)'!$E$11</c:f>
              <c:strCache>
                <c:ptCount val="1"/>
                <c:pt idx="0">
                  <c:v>indeks na 2008 brez covid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'masa ind-08 (cov)'!$A$12:$A$25</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'masa ind-08 (cov)'!$E$12:$E$25</c:f>
              <c:numCache>
                <c:formatCode>#,##0</c:formatCode>
                <c:ptCount val="14"/>
                <c:pt idx="0">
                  <c:v>100</c:v>
                </c:pt>
                <c:pt idx="1">
                  <c:v>108.694917948821</c:v>
                </c:pt>
                <c:pt idx="2">
                  <c:v>110.18147741157809</c:v>
                </c:pt>
                <c:pt idx="3">
                  <c:v>111.03647902557495</c:v>
                </c:pt>
                <c:pt idx="4">
                  <c:v>109.16094724992118</c:v>
                </c:pt>
                <c:pt idx="5">
                  <c:v>104.65339726571274</c:v>
                </c:pt>
                <c:pt idx="6">
                  <c:v>104.8291219459434</c:v>
                </c:pt>
                <c:pt idx="7">
                  <c:v>109.32994562767794</c:v>
                </c:pt>
                <c:pt idx="8">
                  <c:v>115.08857772291816</c:v>
                </c:pt>
                <c:pt idx="9">
                  <c:v>121.43497718042666</c:v>
                </c:pt>
                <c:pt idx="10">
                  <c:v>126.63426371070071</c:v>
                </c:pt>
                <c:pt idx="11">
                  <c:v>137.25669472954044</c:v>
                </c:pt>
                <c:pt idx="12">
                  <c:v>143.57543500813381</c:v>
                </c:pt>
                <c:pt idx="13">
                  <c:v>151.85673271167443</c:v>
                </c:pt>
              </c:numCache>
            </c:numRef>
          </c:val>
          <c:smooth val="0"/>
          <c:extLst>
            <c:ext xmlns:c16="http://schemas.microsoft.com/office/drawing/2014/chart" uri="{C3380CC4-5D6E-409C-BE32-E72D297353CC}">
              <c16:uniqueId val="{0000001B-DB5C-4819-AD73-3FD3C9E94B32}"/>
            </c:ext>
          </c:extLst>
        </c:ser>
        <c:dLbls>
          <c:showLegendKey val="0"/>
          <c:showVal val="0"/>
          <c:showCatName val="0"/>
          <c:showSerName val="0"/>
          <c:showPercent val="0"/>
          <c:showBubbleSize val="0"/>
        </c:dLbls>
        <c:marker val="1"/>
        <c:smooth val="0"/>
        <c:axId val="678357288"/>
        <c:axId val="678356960"/>
      </c:lineChart>
      <c:catAx>
        <c:axId val="201613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01613680"/>
        <c:crosses val="autoZero"/>
        <c:auto val="1"/>
        <c:lblAlgn val="ctr"/>
        <c:lblOffset val="100"/>
        <c:noMultiLvlLbl val="0"/>
      </c:catAx>
      <c:valAx>
        <c:axId val="201613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01613352"/>
        <c:crosses val="autoZero"/>
        <c:crossBetween val="between"/>
        <c:dispUnits>
          <c:builtInUnit val="m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v mio EUR </a:t>
                  </a:r>
                  <a:endParaRPr lang="en-US"/>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dispUnitsLbl>
        </c:dispUnits>
      </c:valAx>
      <c:valAx>
        <c:axId val="678356960"/>
        <c:scaling>
          <c:orientation val="minMax"/>
          <c:min val="10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78357288"/>
        <c:crosses val="max"/>
        <c:crossBetween val="between"/>
      </c:valAx>
      <c:catAx>
        <c:axId val="678357288"/>
        <c:scaling>
          <c:orientation val="minMax"/>
        </c:scaling>
        <c:delete val="1"/>
        <c:axPos val="b"/>
        <c:numFmt formatCode="General" sourceLinked="1"/>
        <c:majorTickMark val="out"/>
        <c:minorTickMark val="none"/>
        <c:tickLblPos val="nextTo"/>
        <c:crossAx val="6783569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Sheet1!$A$9</c:f>
              <c:strCache>
                <c:ptCount val="1"/>
                <c:pt idx="0">
                  <c:v>2008 (1.5.)</c:v>
                </c:pt>
              </c:strCache>
            </c:strRef>
          </c:tx>
          <c:spPr>
            <a:solidFill>
              <a:schemeClr val="accent1"/>
            </a:solidFill>
            <a:ln>
              <a:noFill/>
            </a:ln>
            <a:effectLst/>
          </c:spPr>
          <c:invertIfNegative val="0"/>
          <c:cat>
            <c:strRef>
              <c:f>(Sheet1!$C$8,Sheet1!$E$8:$F$8)</c:f>
              <c:strCache>
                <c:ptCount val="3"/>
                <c:pt idx="0">
                  <c:v>Najnižji dejanski PR v EUR</c:v>
                </c:pt>
                <c:pt idx="1">
                  <c:v>Najvišji dejanski PR v EUR</c:v>
                </c:pt>
                <c:pt idx="2">
                  <c:v>Višina minimalne plače v EUR</c:v>
                </c:pt>
              </c:strCache>
              <c:extLst/>
            </c:strRef>
          </c:cat>
          <c:val>
            <c:numRef>
              <c:f>(Sheet1!$C$9,Sheet1!$E$9:$F$9)</c:f>
              <c:numCache>
                <c:formatCode>#,##0.00</c:formatCode>
                <c:ptCount val="3"/>
                <c:pt idx="0">
                  <c:v>574.30999999999995</c:v>
                </c:pt>
                <c:pt idx="1">
                  <c:v>5809.13</c:v>
                </c:pt>
                <c:pt idx="2">
                  <c:v>566.53</c:v>
                </c:pt>
              </c:numCache>
              <c:extLst/>
            </c:numRef>
          </c:val>
          <c:extLst>
            <c:ext xmlns:c16="http://schemas.microsoft.com/office/drawing/2014/chart" uri="{C3380CC4-5D6E-409C-BE32-E72D297353CC}">
              <c16:uniqueId val="{00000000-BD93-428A-A530-4164C3958845}"/>
            </c:ext>
          </c:extLst>
        </c:ser>
        <c:ser>
          <c:idx val="1"/>
          <c:order val="1"/>
          <c:tx>
            <c:strRef>
              <c:f>Sheet1!$A$10</c:f>
              <c:strCache>
                <c:ptCount val="1"/>
                <c:pt idx="0">
                  <c:v>2023(1.1.)</c:v>
                </c:pt>
              </c:strCache>
            </c:strRef>
          </c:tx>
          <c:spPr>
            <a:solidFill>
              <a:schemeClr val="accent2"/>
            </a:solidFill>
            <a:ln>
              <a:noFill/>
            </a:ln>
            <a:effectLst/>
          </c:spPr>
          <c:invertIfNegative val="0"/>
          <c:cat>
            <c:strRef>
              <c:f>(Sheet1!$C$8,Sheet1!$E$8:$F$8)</c:f>
              <c:strCache>
                <c:ptCount val="3"/>
                <c:pt idx="0">
                  <c:v>Najnižji dejanski PR v EUR</c:v>
                </c:pt>
                <c:pt idx="1">
                  <c:v>Najvišji dejanski PR v EUR</c:v>
                </c:pt>
                <c:pt idx="2">
                  <c:v>Višina minimalne plače v EUR</c:v>
                </c:pt>
              </c:strCache>
              <c:extLst/>
            </c:strRef>
          </c:cat>
          <c:val>
            <c:numRef>
              <c:f>(Sheet1!$C$10,Sheet1!$E$10:$F$10)</c:f>
              <c:numCache>
                <c:formatCode>#,##0.00</c:formatCode>
                <c:ptCount val="3"/>
                <c:pt idx="0">
                  <c:v>681.21</c:v>
                </c:pt>
                <c:pt idx="1">
                  <c:v>5663.42</c:v>
                </c:pt>
                <c:pt idx="2">
                  <c:v>1203.3599999999999</c:v>
                </c:pt>
              </c:numCache>
              <c:extLst/>
            </c:numRef>
          </c:val>
          <c:extLst>
            <c:ext xmlns:c16="http://schemas.microsoft.com/office/drawing/2014/chart" uri="{C3380CC4-5D6E-409C-BE32-E72D297353CC}">
              <c16:uniqueId val="{00000001-BD93-428A-A530-4164C3958845}"/>
            </c:ext>
          </c:extLst>
        </c:ser>
        <c:ser>
          <c:idx val="2"/>
          <c:order val="2"/>
          <c:tx>
            <c:strRef>
              <c:f>Sheet1!$A$11</c:f>
              <c:strCache>
                <c:ptCount val="1"/>
                <c:pt idx="0">
                  <c:v>2023 (1.4.)</c:v>
                </c:pt>
              </c:strCache>
            </c:strRef>
          </c:tx>
          <c:spPr>
            <a:solidFill>
              <a:schemeClr val="accent3"/>
            </a:solidFill>
            <a:ln>
              <a:noFill/>
            </a:ln>
            <a:effectLst/>
          </c:spPr>
          <c:invertIfNegative val="0"/>
          <c:cat>
            <c:strRef>
              <c:f>(Sheet1!$C$8,Sheet1!$E$8:$F$8)</c:f>
              <c:strCache>
                <c:ptCount val="3"/>
                <c:pt idx="0">
                  <c:v>Najnižji dejanski PR v EUR</c:v>
                </c:pt>
                <c:pt idx="1">
                  <c:v>Najvišji dejanski PR v EUR</c:v>
                </c:pt>
                <c:pt idx="2">
                  <c:v>Višina minimalne plače v EUR</c:v>
                </c:pt>
              </c:strCache>
              <c:extLst/>
            </c:strRef>
          </c:cat>
          <c:val>
            <c:numRef>
              <c:f>(Sheet1!$C$11,Sheet1!$E$11:$F$11)</c:f>
              <c:numCache>
                <c:formatCode>#,##0.00</c:formatCode>
                <c:ptCount val="3"/>
                <c:pt idx="0">
                  <c:v>708.46</c:v>
                </c:pt>
                <c:pt idx="1">
                  <c:v>5889.9567999999999</c:v>
                </c:pt>
                <c:pt idx="2">
                  <c:v>1203.3599999999999</c:v>
                </c:pt>
              </c:numCache>
              <c:extLst/>
            </c:numRef>
          </c:val>
          <c:extLst>
            <c:ext xmlns:c16="http://schemas.microsoft.com/office/drawing/2014/chart" uri="{C3380CC4-5D6E-409C-BE32-E72D297353CC}">
              <c16:uniqueId val="{00000002-BD93-428A-A530-4164C3958845}"/>
            </c:ext>
          </c:extLst>
        </c:ser>
        <c:dLbls>
          <c:showLegendKey val="0"/>
          <c:showVal val="0"/>
          <c:showCatName val="0"/>
          <c:showSerName val="0"/>
          <c:showPercent val="0"/>
          <c:showBubbleSize val="0"/>
        </c:dLbls>
        <c:gapWidth val="219"/>
        <c:overlap val="-27"/>
        <c:axId val="754873696"/>
        <c:axId val="754870416"/>
      </c:barChart>
      <c:catAx>
        <c:axId val="754873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754870416"/>
        <c:crosses val="autoZero"/>
        <c:auto val="1"/>
        <c:lblAlgn val="ctr"/>
        <c:lblOffset val="100"/>
        <c:noMultiLvlLbl val="0"/>
      </c:catAx>
      <c:valAx>
        <c:axId val="7548704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754873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785479797979801E-2"/>
          <c:y val="0.11370451388888887"/>
          <c:w val="0.89873308080808079"/>
          <c:h val="0.60717465277777782"/>
        </c:manualLayout>
      </c:layout>
      <c:barChart>
        <c:barDir val="col"/>
        <c:grouping val="clustered"/>
        <c:varyColors val="0"/>
        <c:ser>
          <c:idx val="0"/>
          <c:order val="0"/>
          <c:tx>
            <c:strRef>
              <c:f>'Javna uprava in obv. soc. (O)'!$P$11</c:f>
              <c:strCache>
                <c:ptCount val="1"/>
                <c:pt idx="0">
                  <c:v>2021</c:v>
                </c:pt>
              </c:strCache>
            </c:strRef>
          </c:tx>
          <c:spPr>
            <a:solidFill>
              <a:srgbClr val="A7AEB4"/>
            </a:solidFill>
            <a:ln>
              <a:noFill/>
            </a:ln>
            <a:effectLst/>
          </c:spPr>
          <c:invertIfNegative val="0"/>
          <c:dPt>
            <c:idx val="12"/>
            <c:invertIfNegative val="0"/>
            <c:bubble3D val="0"/>
            <c:spPr>
              <a:solidFill>
                <a:srgbClr val="176F8B"/>
              </a:solidFill>
              <a:ln>
                <a:noFill/>
              </a:ln>
              <a:effectLst/>
            </c:spPr>
            <c:extLst>
              <c:ext xmlns:c16="http://schemas.microsoft.com/office/drawing/2014/chart" uri="{C3380CC4-5D6E-409C-BE32-E72D297353CC}">
                <c16:uniqueId val="{00000001-A3A2-4F1F-AA44-09E1DE4F0CDB}"/>
              </c:ext>
            </c:extLst>
          </c:dPt>
          <c:dPt>
            <c:idx val="25"/>
            <c:invertIfNegative val="0"/>
            <c:bubble3D val="0"/>
            <c:spPr>
              <a:solidFill>
                <a:srgbClr val="A10305"/>
              </a:solidFill>
              <a:ln>
                <a:noFill/>
              </a:ln>
              <a:effectLst/>
            </c:spPr>
            <c:extLst>
              <c:ext xmlns:c16="http://schemas.microsoft.com/office/drawing/2014/chart" uri="{C3380CC4-5D6E-409C-BE32-E72D297353CC}">
                <c16:uniqueId val="{00000003-A3A2-4F1F-AA44-09E1DE4F0CDB}"/>
              </c:ext>
            </c:extLst>
          </c:dPt>
          <c:dLbls>
            <c:dLbl>
              <c:idx val="1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solidFill>
                      <a:latin typeface="Myriad Pro" panose="020B0503030403020204" pitchFamily="34" charset="0"/>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A2-4F1F-AA44-09E1DE4F0CDB}"/>
                </c:ext>
              </c:extLst>
            </c:dLbl>
            <c:dLbl>
              <c:idx val="25"/>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solidFill>
                      <a:latin typeface="Myriad Pro" panose="020B0503030403020204" pitchFamily="34" charset="0"/>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2-4F1F-AA44-09E1DE4F0CD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yriad Pro" panose="020B0503030403020204" pitchFamily="34" charset="0"/>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'Javna uprava in obv. soc. (O)'!$N$12:$N$39</c:f>
              <c:strCache>
                <c:ptCount val="28"/>
                <c:pt idx="0">
                  <c:v>Belgija</c:v>
                </c:pt>
                <c:pt idx="1">
                  <c:v>Francija</c:v>
                </c:pt>
                <c:pt idx="2">
                  <c:v>Grčija</c:v>
                </c:pt>
                <c:pt idx="3">
                  <c:v>Španija</c:v>
                </c:pt>
                <c:pt idx="4">
                  <c:v>Madžarska</c:v>
                </c:pt>
                <c:pt idx="5">
                  <c:v>Ciper</c:v>
                </c:pt>
                <c:pt idx="6">
                  <c:v>Hrvaška</c:v>
                </c:pt>
                <c:pt idx="7">
                  <c:v>Estonija</c:v>
                </c:pt>
                <c:pt idx="8">
                  <c:v>Slovaška</c:v>
                </c:pt>
                <c:pt idx="9">
                  <c:v>Malta</c:v>
                </c:pt>
                <c:pt idx="10">
                  <c:v>Litva</c:v>
                </c:pt>
                <c:pt idx="11">
                  <c:v>Polska</c:v>
                </c:pt>
                <c:pt idx="12">
                  <c:v>EU27</c:v>
                </c:pt>
                <c:pt idx="13">
                  <c:v>Finska</c:v>
                </c:pt>
                <c:pt idx="14">
                  <c:v>Latvija</c:v>
                </c:pt>
                <c:pt idx="15">
                  <c:v>Bolgarija</c:v>
                </c:pt>
                <c:pt idx="16">
                  <c:v>Nemčija</c:v>
                </c:pt>
                <c:pt idx="17">
                  <c:v>Portugalska</c:v>
                </c:pt>
                <c:pt idx="18">
                  <c:v>Luksemburg</c:v>
                </c:pt>
                <c:pt idx="19">
                  <c:v>Avstrija</c:v>
                </c:pt>
                <c:pt idx="20">
                  <c:v>Češka</c:v>
                </c:pt>
                <c:pt idx="21">
                  <c:v>Danska</c:v>
                </c:pt>
                <c:pt idx="22">
                  <c:v>Nizozemska</c:v>
                </c:pt>
                <c:pt idx="23">
                  <c:v>Irska</c:v>
                </c:pt>
                <c:pt idx="24">
                  <c:v>Romunija</c:v>
                </c:pt>
                <c:pt idx="25">
                  <c:v>Slovenija</c:v>
                </c:pt>
                <c:pt idx="26">
                  <c:v>Italija</c:v>
                </c:pt>
                <c:pt idx="27">
                  <c:v>Švedska</c:v>
                </c:pt>
              </c:strCache>
            </c:strRef>
          </c:cat>
          <c:val>
            <c:numRef>
              <c:f>'Javna uprava in obv. soc. (O)'!$P$12:$P$39</c:f>
              <c:numCache>
                <c:formatCode>0.0</c:formatCode>
                <c:ptCount val="28"/>
                <c:pt idx="0">
                  <c:v>8.957347871402229</c:v>
                </c:pt>
                <c:pt idx="1">
                  <c:v>8.5531078705140136</c:v>
                </c:pt>
                <c:pt idx="2">
                  <c:v>8.3262746341646601</c:v>
                </c:pt>
                <c:pt idx="3">
                  <c:v>8.3192224838434949</c:v>
                </c:pt>
                <c:pt idx="4">
                  <c:v>7.8899000789520599</c:v>
                </c:pt>
                <c:pt idx="5">
                  <c:v>7.6275372732171718</c:v>
                </c:pt>
                <c:pt idx="6">
                  <c:v>7.3648325852703351</c:v>
                </c:pt>
                <c:pt idx="7">
                  <c:v>7.0367220718979508</c:v>
                </c:pt>
                <c:pt idx="8">
                  <c:v>7.023965251224257</c:v>
                </c:pt>
                <c:pt idx="9">
                  <c:v>7.0133373295369399</c:v>
                </c:pt>
                <c:pt idx="10">
                  <c:v>6.6818043764372392</c:v>
                </c:pt>
                <c:pt idx="11">
                  <c:v>6.6481961163764867</c:v>
                </c:pt>
                <c:pt idx="12">
                  <c:v>6.6071264249414643</c:v>
                </c:pt>
                <c:pt idx="13">
                  <c:v>6.6032167625793114</c:v>
                </c:pt>
                <c:pt idx="14">
                  <c:v>6.3262105928335712</c:v>
                </c:pt>
                <c:pt idx="15">
                  <c:v>6.2898846579786669</c:v>
                </c:pt>
                <c:pt idx="16">
                  <c:v>6.2294353045798134</c:v>
                </c:pt>
                <c:pt idx="17">
                  <c:v>6.0519650232318023</c:v>
                </c:pt>
                <c:pt idx="18">
                  <c:v>6.0279671314125673</c:v>
                </c:pt>
                <c:pt idx="19">
                  <c:v>5.9751702922434635</c:v>
                </c:pt>
                <c:pt idx="20">
                  <c:v>5.9010437766381463</c:v>
                </c:pt>
                <c:pt idx="21">
                  <c:v>5.3841103086014446</c:v>
                </c:pt>
                <c:pt idx="22">
                  <c:v>5.3796495542576084</c:v>
                </c:pt>
                <c:pt idx="23">
                  <c:v>5.3614488094041999</c:v>
                </c:pt>
                <c:pt idx="24">
                  <c:v>4.920864977679865</c:v>
                </c:pt>
                <c:pt idx="25">
                  <c:v>4.8653782230875153</c:v>
                </c:pt>
                <c:pt idx="26">
                  <c:v>4.7249742948007736</c:v>
                </c:pt>
                <c:pt idx="27">
                  <c:v>4.5858865388416685</c:v>
                </c:pt>
              </c:numCache>
            </c:numRef>
          </c:val>
          <c:extLst>
            <c:ext xmlns:c16="http://schemas.microsoft.com/office/drawing/2014/chart" uri="{C3380CC4-5D6E-409C-BE32-E72D297353CC}">
              <c16:uniqueId val="{00000004-A3A2-4F1F-AA44-09E1DE4F0CDB}"/>
            </c:ext>
          </c:extLst>
        </c:ser>
        <c:dLbls>
          <c:showLegendKey val="0"/>
          <c:showVal val="0"/>
          <c:showCatName val="0"/>
          <c:showSerName val="0"/>
          <c:showPercent val="0"/>
          <c:showBubbleSize val="0"/>
        </c:dLbls>
        <c:gapWidth val="43"/>
        <c:axId val="1306516111"/>
        <c:axId val="1306949167"/>
      </c:barChart>
      <c:catAx>
        <c:axId val="1306516111"/>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5400000" spcFirstLastPara="1" vertOverflow="ellipsis" wrap="square" anchor="ctr" anchorCtr="1"/>
          <a:lstStyle/>
          <a:p>
            <a:pPr>
              <a:defRPr sz="1000" b="0" i="0" u="none" strike="noStrike" kern="1200" baseline="0">
                <a:solidFill>
                  <a:sysClr val="windowText" lastClr="000000"/>
                </a:solidFill>
                <a:latin typeface="Myriad Pro" panose="020B0503030403020204" pitchFamily="34" charset="0"/>
                <a:ea typeface="+mn-ea"/>
                <a:cs typeface="+mn-cs"/>
              </a:defRPr>
            </a:pPr>
            <a:endParaRPr lang="sl-SI"/>
          </a:p>
        </c:txPr>
        <c:crossAx val="1306949167"/>
        <c:crosses val="autoZero"/>
        <c:auto val="1"/>
        <c:lblAlgn val="ctr"/>
        <c:lblOffset val="100"/>
        <c:noMultiLvlLbl val="0"/>
      </c:catAx>
      <c:valAx>
        <c:axId val="1306949167"/>
        <c:scaling>
          <c:orientation val="minMax"/>
        </c:scaling>
        <c:delete val="0"/>
        <c:axPos val="l"/>
        <c:majorGridlines>
          <c:spPr>
            <a:ln w="9525" cap="flat" cmpd="sng" algn="ctr">
              <a:solidFill>
                <a:sysClr val="window" lastClr="FFFFFF">
                  <a:lumMod val="65000"/>
                </a:sys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yriad Pro" panose="020B0503030403020204" pitchFamily="34" charset="0"/>
                <a:ea typeface="+mn-ea"/>
                <a:cs typeface="+mn-cs"/>
              </a:defRPr>
            </a:pPr>
            <a:endParaRPr lang="sl-SI"/>
          </a:p>
        </c:txPr>
        <c:crossAx val="1306516111"/>
        <c:crosses val="autoZero"/>
        <c:crossBetween val="between"/>
      </c:valAx>
      <c:spPr>
        <a:noFill/>
        <a:ln>
          <a:solidFill>
            <a:sysClr val="window" lastClr="FFFFFF">
              <a:lumMod val="65000"/>
            </a:sysClr>
          </a:solid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Myriad Pro" panose="020B0503030403020204" pitchFamily="34" charset="0"/>
        </a:defRPr>
      </a:pPr>
      <a:endParaRPr lang="sl-SI"/>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785479797979801E-2"/>
          <c:y val="0.11370451388888887"/>
          <c:w val="0.89873308080808079"/>
          <c:h val="0.60717465277777782"/>
        </c:manualLayout>
      </c:layout>
      <c:barChart>
        <c:barDir val="col"/>
        <c:grouping val="clustered"/>
        <c:varyColors val="0"/>
        <c:ser>
          <c:idx val="0"/>
          <c:order val="0"/>
          <c:tx>
            <c:strRef>
              <c:f>'Izobraževanje (P)'!$P$11</c:f>
              <c:strCache>
                <c:ptCount val="1"/>
                <c:pt idx="0">
                  <c:v>2021</c:v>
                </c:pt>
              </c:strCache>
            </c:strRef>
          </c:tx>
          <c:spPr>
            <a:solidFill>
              <a:srgbClr val="A7AEB4"/>
            </a:solidFill>
            <a:ln>
              <a:noFill/>
            </a:ln>
            <a:effectLst/>
          </c:spPr>
          <c:invertIfNegative val="0"/>
          <c:dPt>
            <c:idx val="11"/>
            <c:invertIfNegative val="0"/>
            <c:bubble3D val="0"/>
            <c:spPr>
              <a:solidFill>
                <a:srgbClr val="A10305"/>
              </a:solidFill>
              <a:ln>
                <a:noFill/>
              </a:ln>
              <a:effectLst/>
            </c:spPr>
            <c:extLst>
              <c:ext xmlns:c16="http://schemas.microsoft.com/office/drawing/2014/chart" uri="{C3380CC4-5D6E-409C-BE32-E72D297353CC}">
                <c16:uniqueId val="{00000001-98F8-4D33-95F4-0599265703D7}"/>
              </c:ext>
            </c:extLst>
          </c:dPt>
          <c:dPt>
            <c:idx val="17"/>
            <c:invertIfNegative val="0"/>
            <c:bubble3D val="0"/>
            <c:spPr>
              <a:solidFill>
                <a:srgbClr val="176F8B"/>
              </a:solidFill>
              <a:ln>
                <a:noFill/>
              </a:ln>
              <a:effectLst/>
            </c:spPr>
            <c:extLst>
              <c:ext xmlns:c16="http://schemas.microsoft.com/office/drawing/2014/chart" uri="{C3380CC4-5D6E-409C-BE32-E72D297353CC}">
                <c16:uniqueId val="{00000003-98F8-4D33-95F4-0599265703D7}"/>
              </c:ext>
            </c:extLst>
          </c:dPt>
          <c:dLbls>
            <c:dLbl>
              <c:idx val="1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solidFill>
                      <a:latin typeface="Myriad Pro" panose="020B0503030403020204" pitchFamily="34" charset="0"/>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F8-4D33-95F4-0599265703D7}"/>
                </c:ext>
              </c:extLst>
            </c:dLbl>
            <c:dLbl>
              <c:idx val="17"/>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solidFill>
                      <a:latin typeface="Myriad Pro" panose="020B0503030403020204" pitchFamily="34" charset="0"/>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F8-4D33-95F4-0599265703D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yriad Pro" panose="020B0503030403020204" pitchFamily="34" charset="0"/>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'Izobraževanje (P)'!$N$12:$N$39</c:f>
              <c:strCache>
                <c:ptCount val="28"/>
                <c:pt idx="0">
                  <c:v>Estonija</c:v>
                </c:pt>
                <c:pt idx="1">
                  <c:v>Latvija</c:v>
                </c:pt>
                <c:pt idx="2">
                  <c:v>Švedska</c:v>
                </c:pt>
                <c:pt idx="3">
                  <c:v>Irska</c:v>
                </c:pt>
                <c:pt idx="4">
                  <c:v>Litva</c:v>
                </c:pt>
                <c:pt idx="5">
                  <c:v>Belgija</c:v>
                </c:pt>
                <c:pt idx="6">
                  <c:v>Polska</c:v>
                </c:pt>
                <c:pt idx="7">
                  <c:v>Malta</c:v>
                </c:pt>
                <c:pt idx="8">
                  <c:v>Hrvaška</c:v>
                </c:pt>
                <c:pt idx="9">
                  <c:v>Grčija</c:v>
                </c:pt>
                <c:pt idx="10">
                  <c:v>Slovaška</c:v>
                </c:pt>
                <c:pt idx="11">
                  <c:v>Slovenija</c:v>
                </c:pt>
                <c:pt idx="12">
                  <c:v>Danska</c:v>
                </c:pt>
                <c:pt idx="13">
                  <c:v>Ciper</c:v>
                </c:pt>
                <c:pt idx="14">
                  <c:v>Avstrija</c:v>
                </c:pt>
                <c:pt idx="15">
                  <c:v>Francija</c:v>
                </c:pt>
                <c:pt idx="16">
                  <c:v>Španija</c:v>
                </c:pt>
                <c:pt idx="17">
                  <c:v>EU27</c:v>
                </c:pt>
                <c:pt idx="18">
                  <c:v>Portugalska</c:v>
                </c:pt>
                <c:pt idx="19">
                  <c:v>Italija</c:v>
                </c:pt>
                <c:pt idx="20">
                  <c:v>Finska</c:v>
                </c:pt>
                <c:pt idx="21">
                  <c:v>Češka</c:v>
                </c:pt>
                <c:pt idx="22">
                  <c:v>Madžarska</c:v>
                </c:pt>
                <c:pt idx="23">
                  <c:v>Nizozemski</c:v>
                </c:pt>
                <c:pt idx="24">
                  <c:v>Nemčija</c:v>
                </c:pt>
                <c:pt idx="25">
                  <c:v>Bolgarija</c:v>
                </c:pt>
                <c:pt idx="26">
                  <c:v>Luksemburg</c:v>
                </c:pt>
                <c:pt idx="27">
                  <c:v>Romunija</c:v>
                </c:pt>
              </c:strCache>
            </c:strRef>
          </c:cat>
          <c:val>
            <c:numRef>
              <c:f>'Izobraževanje (P)'!$P$12:$P$39</c:f>
              <c:numCache>
                <c:formatCode>0.0</c:formatCode>
                <c:ptCount val="28"/>
                <c:pt idx="0">
                  <c:v>9.8136838036335519</c:v>
                </c:pt>
                <c:pt idx="1">
                  <c:v>9.2189950148617967</c:v>
                </c:pt>
                <c:pt idx="2">
                  <c:v>8.9938723067799966</c:v>
                </c:pt>
                <c:pt idx="3">
                  <c:v>8.8005291536890056</c:v>
                </c:pt>
                <c:pt idx="4">
                  <c:v>8.7839694546085667</c:v>
                </c:pt>
                <c:pt idx="5">
                  <c:v>8.544456025014032</c:v>
                </c:pt>
                <c:pt idx="6">
                  <c:v>7.8099176037165483</c:v>
                </c:pt>
                <c:pt idx="7">
                  <c:v>7.7738648284130072</c:v>
                </c:pt>
                <c:pt idx="8">
                  <c:v>7.7116349845767305</c:v>
                </c:pt>
                <c:pt idx="9">
                  <c:v>7.619013840613877</c:v>
                </c:pt>
                <c:pt idx="10">
                  <c:v>7.5354699134634728</c:v>
                </c:pt>
                <c:pt idx="11">
                  <c:v>7.5207749655729144</c:v>
                </c:pt>
                <c:pt idx="12">
                  <c:v>7.4523965856861452</c:v>
                </c:pt>
                <c:pt idx="13">
                  <c:v>7.2772588467756414</c:v>
                </c:pt>
                <c:pt idx="14">
                  <c:v>7.2568666227202812</c:v>
                </c:pt>
                <c:pt idx="15">
                  <c:v>6.9603888716516709</c:v>
                </c:pt>
                <c:pt idx="16">
                  <c:v>6.7486598867792198</c:v>
                </c:pt>
                <c:pt idx="17">
                  <c:v>6.6549760398368711</c:v>
                </c:pt>
                <c:pt idx="18">
                  <c:v>6.6371966959215278</c:v>
                </c:pt>
                <c:pt idx="19">
                  <c:v>6.5315117845386208</c:v>
                </c:pt>
                <c:pt idx="20">
                  <c:v>6.4150804190644823</c:v>
                </c:pt>
                <c:pt idx="21">
                  <c:v>6.3772867034692373</c:v>
                </c:pt>
                <c:pt idx="22">
                  <c:v>6.0122418140296947</c:v>
                </c:pt>
                <c:pt idx="23">
                  <c:v>6.0047135977046828</c:v>
                </c:pt>
                <c:pt idx="24">
                  <c:v>5.875944864384171</c:v>
                </c:pt>
                <c:pt idx="25">
                  <c:v>5.1214286333893329</c:v>
                </c:pt>
                <c:pt idx="26">
                  <c:v>4.907634326667627</c:v>
                </c:pt>
                <c:pt idx="27">
                  <c:v>4.0129862600730482</c:v>
                </c:pt>
              </c:numCache>
            </c:numRef>
          </c:val>
          <c:extLst>
            <c:ext xmlns:c16="http://schemas.microsoft.com/office/drawing/2014/chart" uri="{C3380CC4-5D6E-409C-BE32-E72D297353CC}">
              <c16:uniqueId val="{00000004-98F8-4D33-95F4-0599265703D7}"/>
            </c:ext>
          </c:extLst>
        </c:ser>
        <c:dLbls>
          <c:showLegendKey val="0"/>
          <c:showVal val="0"/>
          <c:showCatName val="0"/>
          <c:showSerName val="0"/>
          <c:showPercent val="0"/>
          <c:showBubbleSize val="0"/>
        </c:dLbls>
        <c:gapWidth val="43"/>
        <c:axId val="1306516111"/>
        <c:axId val="1306949167"/>
      </c:barChart>
      <c:catAx>
        <c:axId val="1306516111"/>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5400000" spcFirstLastPara="1" vertOverflow="ellipsis" wrap="square" anchor="ctr" anchorCtr="1"/>
          <a:lstStyle/>
          <a:p>
            <a:pPr>
              <a:defRPr sz="1000" b="0" i="0" u="none" strike="noStrike" kern="1200" baseline="0">
                <a:solidFill>
                  <a:sysClr val="windowText" lastClr="000000"/>
                </a:solidFill>
                <a:latin typeface="Myriad Pro" panose="020B0503030403020204" pitchFamily="34" charset="0"/>
                <a:ea typeface="+mn-ea"/>
                <a:cs typeface="+mn-cs"/>
              </a:defRPr>
            </a:pPr>
            <a:endParaRPr lang="sl-SI"/>
          </a:p>
        </c:txPr>
        <c:crossAx val="1306949167"/>
        <c:crosses val="autoZero"/>
        <c:auto val="1"/>
        <c:lblAlgn val="ctr"/>
        <c:lblOffset val="100"/>
        <c:noMultiLvlLbl val="0"/>
      </c:catAx>
      <c:valAx>
        <c:axId val="1306949167"/>
        <c:scaling>
          <c:orientation val="minMax"/>
        </c:scaling>
        <c:delete val="0"/>
        <c:axPos val="l"/>
        <c:majorGridlines>
          <c:spPr>
            <a:ln w="9525" cap="flat" cmpd="sng" algn="ctr">
              <a:solidFill>
                <a:sysClr val="window" lastClr="FFFFFF">
                  <a:lumMod val="65000"/>
                </a:sys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yriad Pro" panose="020B0503030403020204" pitchFamily="34" charset="0"/>
                <a:ea typeface="+mn-ea"/>
                <a:cs typeface="+mn-cs"/>
              </a:defRPr>
            </a:pPr>
            <a:endParaRPr lang="sl-SI"/>
          </a:p>
        </c:txPr>
        <c:crossAx val="1306516111"/>
        <c:crosses val="autoZero"/>
        <c:crossBetween val="between"/>
      </c:valAx>
      <c:spPr>
        <a:noFill/>
        <a:ln>
          <a:solidFill>
            <a:sysClr val="window" lastClr="FFFFFF">
              <a:lumMod val="65000"/>
            </a:sysClr>
          </a:solid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Myriad Pro" panose="020B0503030403020204" pitchFamily="34" charset="0"/>
        </a:defRPr>
      </a:pPr>
      <a:endParaRPr lang="sl-SI"/>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785479797979801E-2"/>
          <c:y val="0.11370451388888887"/>
          <c:w val="0.89873308080808079"/>
          <c:h val="0.60717465277777782"/>
        </c:manualLayout>
      </c:layout>
      <c:barChart>
        <c:barDir val="col"/>
        <c:grouping val="clustered"/>
        <c:varyColors val="0"/>
        <c:ser>
          <c:idx val="0"/>
          <c:order val="0"/>
          <c:tx>
            <c:strRef>
              <c:f>'Zdravstvo (Q)'!$P$11</c:f>
              <c:strCache>
                <c:ptCount val="1"/>
                <c:pt idx="0">
                  <c:v>2021</c:v>
                </c:pt>
              </c:strCache>
            </c:strRef>
          </c:tx>
          <c:spPr>
            <a:solidFill>
              <a:srgbClr val="A7AEB4"/>
            </a:solidFill>
            <a:ln>
              <a:noFill/>
            </a:ln>
            <a:effectLst/>
          </c:spPr>
          <c:invertIfNegative val="0"/>
          <c:dPt>
            <c:idx val="8"/>
            <c:invertIfNegative val="0"/>
            <c:bubble3D val="0"/>
            <c:spPr>
              <a:solidFill>
                <a:srgbClr val="176F8B"/>
              </a:solidFill>
              <a:ln>
                <a:noFill/>
              </a:ln>
              <a:effectLst/>
            </c:spPr>
            <c:extLst>
              <c:ext xmlns:c16="http://schemas.microsoft.com/office/drawing/2014/chart" uri="{C3380CC4-5D6E-409C-BE32-E72D297353CC}">
                <c16:uniqueId val="{00000001-83D4-401F-AEA5-1EE6DD3BD517}"/>
              </c:ext>
            </c:extLst>
          </c:dPt>
          <c:dPt>
            <c:idx val="17"/>
            <c:invertIfNegative val="0"/>
            <c:bubble3D val="0"/>
            <c:spPr>
              <a:solidFill>
                <a:srgbClr val="A10305"/>
              </a:solidFill>
              <a:ln>
                <a:noFill/>
              </a:ln>
              <a:effectLst/>
            </c:spPr>
            <c:extLst>
              <c:ext xmlns:c16="http://schemas.microsoft.com/office/drawing/2014/chart" uri="{C3380CC4-5D6E-409C-BE32-E72D297353CC}">
                <c16:uniqueId val="{00000003-83D4-401F-AEA5-1EE6DD3BD517}"/>
              </c:ext>
            </c:extLst>
          </c:dPt>
          <c:dPt>
            <c:idx val="18"/>
            <c:invertIfNegative val="0"/>
            <c:bubble3D val="0"/>
            <c:spPr>
              <a:solidFill>
                <a:srgbClr val="A7AEB4"/>
              </a:solidFill>
              <a:ln>
                <a:noFill/>
              </a:ln>
              <a:effectLst/>
            </c:spPr>
            <c:extLst>
              <c:ext xmlns:c16="http://schemas.microsoft.com/office/drawing/2014/chart" uri="{C3380CC4-5D6E-409C-BE32-E72D297353CC}">
                <c16:uniqueId val="{00000005-83D4-401F-AEA5-1EE6DD3BD517}"/>
              </c:ext>
            </c:extLst>
          </c:dPt>
          <c:dPt>
            <c:idx val="21"/>
            <c:invertIfNegative val="0"/>
            <c:bubble3D val="0"/>
            <c:spPr>
              <a:solidFill>
                <a:srgbClr val="A7AEB4"/>
              </a:solidFill>
              <a:ln>
                <a:noFill/>
              </a:ln>
              <a:effectLst/>
            </c:spPr>
            <c:extLst>
              <c:ext xmlns:c16="http://schemas.microsoft.com/office/drawing/2014/chart" uri="{C3380CC4-5D6E-409C-BE32-E72D297353CC}">
                <c16:uniqueId val="{00000007-83D4-401F-AEA5-1EE6DD3BD517}"/>
              </c:ext>
            </c:extLst>
          </c:dPt>
          <c:dLbls>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solidFill>
                      <a:latin typeface="Myriad Pro" panose="020B0503030403020204" pitchFamily="34" charset="0"/>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D4-401F-AEA5-1EE6DD3BD517}"/>
                </c:ext>
              </c:extLst>
            </c:dLbl>
            <c:dLbl>
              <c:idx val="17"/>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solidFill>
                      <a:latin typeface="Myriad Pro" panose="020B0503030403020204" pitchFamily="34" charset="0"/>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D4-401F-AEA5-1EE6DD3BD51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yriad Pro" panose="020B0503030403020204" pitchFamily="34" charset="0"/>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'Zdravstvo (Q)'!$N$12:$N$39</c:f>
              <c:strCache>
                <c:ptCount val="28"/>
                <c:pt idx="0">
                  <c:v>Švedska</c:v>
                </c:pt>
                <c:pt idx="1">
                  <c:v>Danska</c:v>
                </c:pt>
                <c:pt idx="2">
                  <c:v>Finska</c:v>
                </c:pt>
                <c:pt idx="3">
                  <c:v>Nizozemska</c:v>
                </c:pt>
                <c:pt idx="4">
                  <c:v>Nemčija</c:v>
                </c:pt>
                <c:pt idx="5">
                  <c:v>Francija</c:v>
                </c:pt>
                <c:pt idx="6">
                  <c:v>Belgija</c:v>
                </c:pt>
                <c:pt idx="7">
                  <c:v>Irska</c:v>
                </c:pt>
                <c:pt idx="8">
                  <c:v>EU27</c:v>
                </c:pt>
                <c:pt idx="9">
                  <c:v>Avstrija</c:v>
                </c:pt>
                <c:pt idx="10">
                  <c:v>Luksemburg</c:v>
                </c:pt>
                <c:pt idx="11">
                  <c:v>Portugalska</c:v>
                </c:pt>
                <c:pt idx="12">
                  <c:v>Španija</c:v>
                </c:pt>
                <c:pt idx="13">
                  <c:v>Malta</c:v>
                </c:pt>
                <c:pt idx="14">
                  <c:v>Italija</c:v>
                </c:pt>
                <c:pt idx="15">
                  <c:v>Litva</c:v>
                </c:pt>
                <c:pt idx="16">
                  <c:v>Češka</c:v>
                </c:pt>
                <c:pt idx="17">
                  <c:v>Slovenija</c:v>
                </c:pt>
                <c:pt idx="18">
                  <c:v>Madžarska</c:v>
                </c:pt>
                <c:pt idx="19">
                  <c:v>Polska</c:v>
                </c:pt>
                <c:pt idx="20">
                  <c:v>Estonija</c:v>
                </c:pt>
                <c:pt idx="21">
                  <c:v>Hrvaška</c:v>
                </c:pt>
                <c:pt idx="22">
                  <c:v>Latvija</c:v>
                </c:pt>
                <c:pt idx="23">
                  <c:v>Slovaška</c:v>
                </c:pt>
                <c:pt idx="24">
                  <c:v>Grčija</c:v>
                </c:pt>
                <c:pt idx="25">
                  <c:v>Bolgarija</c:v>
                </c:pt>
                <c:pt idx="26">
                  <c:v>Ciper</c:v>
                </c:pt>
                <c:pt idx="27">
                  <c:v>Romunija</c:v>
                </c:pt>
              </c:strCache>
            </c:strRef>
          </c:cat>
          <c:val>
            <c:numRef>
              <c:f>'Zdravstvo (Q)'!$P$12:$P$39</c:f>
              <c:numCache>
                <c:formatCode>0.0</c:formatCode>
                <c:ptCount val="28"/>
                <c:pt idx="0">
                  <c:v>19.924886341174144</c:v>
                </c:pt>
                <c:pt idx="1">
                  <c:v>18.220617202889034</c:v>
                </c:pt>
                <c:pt idx="2">
                  <c:v>17.304854655452264</c:v>
                </c:pt>
                <c:pt idx="3">
                  <c:v>16.118454759708985</c:v>
                </c:pt>
                <c:pt idx="4">
                  <c:v>13.93508225878168</c:v>
                </c:pt>
                <c:pt idx="5">
                  <c:v>13.910435412141897</c:v>
                </c:pt>
                <c:pt idx="6">
                  <c:v>13.380902749939871</c:v>
                </c:pt>
                <c:pt idx="7">
                  <c:v>12.855839110485951</c:v>
                </c:pt>
                <c:pt idx="8">
                  <c:v>10.877643637472776</c:v>
                </c:pt>
                <c:pt idx="9">
                  <c:v>10.835640518567349</c:v>
                </c:pt>
                <c:pt idx="10">
                  <c:v>10.60815124492864</c:v>
                </c:pt>
                <c:pt idx="11">
                  <c:v>8.7078923593185333</c:v>
                </c:pt>
                <c:pt idx="12">
                  <c:v>8.3332498371825068</c:v>
                </c:pt>
                <c:pt idx="13">
                  <c:v>8.0885658624306895</c:v>
                </c:pt>
                <c:pt idx="14">
                  <c:v>7.9813647268872394</c:v>
                </c:pt>
                <c:pt idx="15">
                  <c:v>7.2480222148301356</c:v>
                </c:pt>
                <c:pt idx="16">
                  <c:v>7.0191225256743666</c:v>
                </c:pt>
                <c:pt idx="17">
                  <c:v>6.951897051142029</c:v>
                </c:pt>
                <c:pt idx="18">
                  <c:v>6.9305901029772565</c:v>
                </c:pt>
                <c:pt idx="19">
                  <c:v>6.5905006881381807</c:v>
                </c:pt>
                <c:pt idx="20">
                  <c:v>6.3703131039814469</c:v>
                </c:pt>
                <c:pt idx="21">
                  <c:v>6.32442538735115</c:v>
                </c:pt>
                <c:pt idx="22">
                  <c:v>6.196316146698809</c:v>
                </c:pt>
                <c:pt idx="23">
                  <c:v>5.9942476688803916</c:v>
                </c:pt>
                <c:pt idx="24">
                  <c:v>5.9105304664583125</c:v>
                </c:pt>
                <c:pt idx="25">
                  <c:v>5.3727001714660787</c:v>
                </c:pt>
                <c:pt idx="26">
                  <c:v>5.083527932459134</c:v>
                </c:pt>
                <c:pt idx="27">
                  <c:v>4.7712910893385123</c:v>
                </c:pt>
              </c:numCache>
            </c:numRef>
          </c:val>
          <c:extLst>
            <c:ext xmlns:c16="http://schemas.microsoft.com/office/drawing/2014/chart" uri="{C3380CC4-5D6E-409C-BE32-E72D297353CC}">
              <c16:uniqueId val="{00000008-83D4-401F-AEA5-1EE6DD3BD517}"/>
            </c:ext>
          </c:extLst>
        </c:ser>
        <c:dLbls>
          <c:showLegendKey val="0"/>
          <c:showVal val="0"/>
          <c:showCatName val="0"/>
          <c:showSerName val="0"/>
          <c:showPercent val="0"/>
          <c:showBubbleSize val="0"/>
        </c:dLbls>
        <c:gapWidth val="43"/>
        <c:axId val="1306516111"/>
        <c:axId val="1306949167"/>
      </c:barChart>
      <c:catAx>
        <c:axId val="1306516111"/>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5400000" spcFirstLastPara="1" vertOverflow="ellipsis" wrap="square" anchor="ctr" anchorCtr="1"/>
          <a:lstStyle/>
          <a:p>
            <a:pPr>
              <a:defRPr sz="1000" b="0" i="0" u="none" strike="noStrike" kern="1200" baseline="0">
                <a:solidFill>
                  <a:sysClr val="windowText" lastClr="000000"/>
                </a:solidFill>
                <a:latin typeface="Myriad Pro" panose="020B0503030403020204" pitchFamily="34" charset="0"/>
                <a:ea typeface="+mn-ea"/>
                <a:cs typeface="+mn-cs"/>
              </a:defRPr>
            </a:pPr>
            <a:endParaRPr lang="sl-SI"/>
          </a:p>
        </c:txPr>
        <c:crossAx val="1306949167"/>
        <c:crosses val="autoZero"/>
        <c:auto val="1"/>
        <c:lblAlgn val="ctr"/>
        <c:lblOffset val="100"/>
        <c:noMultiLvlLbl val="0"/>
      </c:catAx>
      <c:valAx>
        <c:axId val="1306949167"/>
        <c:scaling>
          <c:orientation val="minMax"/>
        </c:scaling>
        <c:delete val="0"/>
        <c:axPos val="l"/>
        <c:majorGridlines>
          <c:spPr>
            <a:ln w="9525" cap="flat" cmpd="sng" algn="ctr">
              <a:solidFill>
                <a:sysClr val="window" lastClr="FFFFFF">
                  <a:lumMod val="65000"/>
                </a:sys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yriad Pro" panose="020B0503030403020204" pitchFamily="34" charset="0"/>
                <a:ea typeface="+mn-ea"/>
                <a:cs typeface="+mn-cs"/>
              </a:defRPr>
            </a:pPr>
            <a:endParaRPr lang="sl-SI"/>
          </a:p>
        </c:txPr>
        <c:crossAx val="1306516111"/>
        <c:crosses val="autoZero"/>
        <c:crossBetween val="between"/>
      </c:valAx>
      <c:spPr>
        <a:noFill/>
        <a:ln>
          <a:solidFill>
            <a:sysClr val="window" lastClr="FFFFFF">
              <a:lumMod val="65000"/>
            </a:sysClr>
          </a:solid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Myriad Pro" panose="020B0503030403020204" pitchFamily="34" charset="0"/>
        </a:defRPr>
      </a:pPr>
      <a:endParaRPr lang="sl-SI"/>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785479797979801E-2"/>
          <c:y val="0.11370451388888887"/>
          <c:w val="0.89873308080808079"/>
          <c:h val="0.60717465277777782"/>
        </c:manualLayout>
      </c:layout>
      <c:barChart>
        <c:barDir val="col"/>
        <c:grouping val="clustered"/>
        <c:varyColors val="0"/>
        <c:ser>
          <c:idx val="0"/>
          <c:order val="0"/>
          <c:tx>
            <c:strRef>
              <c:f>'Public employment'!$S$6</c:f>
              <c:strCache>
                <c:ptCount val="1"/>
                <c:pt idx="0">
                  <c:v>2020</c:v>
                </c:pt>
              </c:strCache>
            </c:strRef>
          </c:tx>
          <c:spPr>
            <a:solidFill>
              <a:srgbClr val="A5A5A5"/>
            </a:solidFill>
            <a:ln>
              <a:noFill/>
            </a:ln>
            <a:effectLst/>
          </c:spPr>
          <c:invertIfNegative val="0"/>
          <c:dPt>
            <c:idx val="8"/>
            <c:invertIfNegative val="0"/>
            <c:bubble3D val="0"/>
            <c:spPr>
              <a:solidFill>
                <a:srgbClr val="A5A5A5"/>
              </a:solidFill>
              <a:ln>
                <a:noFill/>
              </a:ln>
              <a:effectLst/>
            </c:spPr>
            <c:extLst>
              <c:ext xmlns:c16="http://schemas.microsoft.com/office/drawing/2014/chart" uri="{C3380CC4-5D6E-409C-BE32-E72D297353CC}">
                <c16:uniqueId val="{00000001-B293-4964-A90C-F42AEFD8A282}"/>
              </c:ext>
            </c:extLst>
          </c:dPt>
          <c:dPt>
            <c:idx val="9"/>
            <c:invertIfNegative val="0"/>
            <c:bubble3D val="0"/>
            <c:spPr>
              <a:solidFill>
                <a:srgbClr val="176F8B"/>
              </a:solidFill>
              <a:ln>
                <a:noFill/>
              </a:ln>
              <a:effectLst/>
            </c:spPr>
            <c:extLst>
              <c:ext xmlns:c16="http://schemas.microsoft.com/office/drawing/2014/chart" uri="{C3380CC4-5D6E-409C-BE32-E72D297353CC}">
                <c16:uniqueId val="{00000003-B293-4964-A90C-F42AEFD8A282}"/>
              </c:ext>
            </c:extLst>
          </c:dPt>
          <c:dPt>
            <c:idx val="14"/>
            <c:invertIfNegative val="0"/>
            <c:bubble3D val="0"/>
            <c:spPr>
              <a:solidFill>
                <a:srgbClr val="A10305"/>
              </a:solidFill>
              <a:ln>
                <a:noFill/>
              </a:ln>
              <a:effectLst/>
            </c:spPr>
            <c:extLst>
              <c:ext xmlns:c16="http://schemas.microsoft.com/office/drawing/2014/chart" uri="{C3380CC4-5D6E-409C-BE32-E72D297353CC}">
                <c16:uniqueId val="{00000005-B293-4964-A90C-F42AEFD8A282}"/>
              </c:ext>
            </c:extLst>
          </c:dPt>
          <c:dPt>
            <c:idx val="23"/>
            <c:invertIfNegative val="0"/>
            <c:bubble3D val="0"/>
            <c:spPr>
              <a:solidFill>
                <a:srgbClr val="A5A5A5"/>
              </a:solidFill>
              <a:ln>
                <a:noFill/>
              </a:ln>
              <a:effectLst/>
            </c:spPr>
            <c:extLst>
              <c:ext xmlns:c16="http://schemas.microsoft.com/office/drawing/2014/chart" uri="{C3380CC4-5D6E-409C-BE32-E72D297353CC}">
                <c16:uniqueId val="{00000007-B293-4964-A90C-F42AEFD8A282}"/>
              </c:ext>
            </c:extLst>
          </c:dPt>
          <c:dLbls>
            <c:dLbl>
              <c:idx val="9"/>
              <c:tx>
                <c:rich>
                  <a:bodyPr/>
                  <a:lstStyle/>
                  <a:p>
                    <a:fld id="{B15E0565-1843-4442-9164-BDB212231D6B}" type="VALUE">
                      <a:rPr lang="en-US">
                        <a:solidFill>
                          <a:schemeClr val="accent5"/>
                        </a:solidFill>
                      </a:rPr>
                      <a:pPr/>
                      <a:t>[VREDNOST]</a:t>
                    </a:fld>
                    <a:endParaRPr lang="sl-SI"/>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93-4964-A90C-F42AEFD8A282}"/>
                </c:ext>
              </c:extLst>
            </c:dLbl>
            <c:dLbl>
              <c:idx val="14"/>
              <c:layout>
                <c:manualLayout>
                  <c:x val="0"/>
                  <c:y val="1.3229166666666627E-2"/>
                </c:manualLayout>
              </c:layout>
              <c:tx>
                <c:rich>
                  <a:bodyPr/>
                  <a:lstStyle/>
                  <a:p>
                    <a:fld id="{E56631E6-2BDB-404D-BC6C-AF12EA0EDDF8}" type="VALUE">
                      <a:rPr lang="en-US">
                        <a:solidFill>
                          <a:schemeClr val="accent1"/>
                        </a:solidFill>
                      </a:rPr>
                      <a:pPr/>
                      <a:t>[VREDNOST]</a:t>
                    </a:fld>
                    <a:endParaRPr lang="sl-SI"/>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93-4964-A90C-F42AEFD8A28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yriad Pro" panose="020B0503030403020204" pitchFamily="34" charset="0"/>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'Public employment'!$R$7:$R$29</c:f>
              <c:strCache>
                <c:ptCount val="23"/>
                <c:pt idx="0">
                  <c:v>Švedska</c:v>
                </c:pt>
                <c:pt idx="1">
                  <c:v>Danska</c:v>
                </c:pt>
                <c:pt idx="2">
                  <c:v>Finska</c:v>
                </c:pt>
                <c:pt idx="3">
                  <c:v>Estonija</c:v>
                </c:pt>
                <c:pt idx="4">
                  <c:v>Litva</c:v>
                </c:pt>
                <c:pt idx="5">
                  <c:v>Francija</c:v>
                </c:pt>
                <c:pt idx="6">
                  <c:v>Latvija</c:v>
                </c:pt>
                <c:pt idx="7">
                  <c:v>Madžarska</c:v>
                </c:pt>
                <c:pt idx="8">
                  <c:v>Slovaška</c:v>
                </c:pt>
                <c:pt idx="9">
                  <c:v>Povprečje*</c:v>
                </c:pt>
                <c:pt idx="10">
                  <c:v>Belgija</c:v>
                </c:pt>
                <c:pt idx="11">
                  <c:v>Polska</c:v>
                </c:pt>
                <c:pt idx="12">
                  <c:v>Avstrija</c:v>
                </c:pt>
                <c:pt idx="13">
                  <c:v>Češka</c:v>
                </c:pt>
                <c:pt idx="14">
                  <c:v>Slovenija</c:v>
                </c:pt>
                <c:pt idx="15">
                  <c:v>Grčija</c:v>
                </c:pt>
                <c:pt idx="16">
                  <c:v>Španija</c:v>
                </c:pt>
                <c:pt idx="17">
                  <c:v>Irska</c:v>
                </c:pt>
                <c:pt idx="18">
                  <c:v>Portugalska</c:v>
                </c:pt>
                <c:pt idx="19">
                  <c:v>Luksemburg</c:v>
                </c:pt>
                <c:pt idx="20">
                  <c:v>Italija</c:v>
                </c:pt>
                <c:pt idx="21">
                  <c:v>Nizozemska</c:v>
                </c:pt>
                <c:pt idx="22">
                  <c:v>Nemčija</c:v>
                </c:pt>
              </c:strCache>
            </c:strRef>
          </c:cat>
          <c:val>
            <c:numRef>
              <c:f>'Public employment'!$S$7:$S$29</c:f>
              <c:numCache>
                <c:formatCode>0.0</c:formatCode>
                <c:ptCount val="23"/>
                <c:pt idx="0">
                  <c:v>29.36</c:v>
                </c:pt>
                <c:pt idx="1">
                  <c:v>27.93</c:v>
                </c:pt>
                <c:pt idx="2">
                  <c:v>25.18</c:v>
                </c:pt>
                <c:pt idx="3">
                  <c:v>23.25</c:v>
                </c:pt>
                <c:pt idx="4">
                  <c:v>22.18</c:v>
                </c:pt>
                <c:pt idx="5">
                  <c:v>21.52</c:v>
                </c:pt>
                <c:pt idx="6">
                  <c:v>20.75</c:v>
                </c:pt>
                <c:pt idx="7">
                  <c:v>19.350000000000001</c:v>
                </c:pt>
                <c:pt idx="8">
                  <c:v>19.03</c:v>
                </c:pt>
                <c:pt idx="9">
                  <c:v>18.629545454545454</c:v>
                </c:pt>
                <c:pt idx="10">
                  <c:v>18.48</c:v>
                </c:pt>
                <c:pt idx="11">
                  <c:v>17.66</c:v>
                </c:pt>
                <c:pt idx="12">
                  <c:v>17.149999999999999</c:v>
                </c:pt>
                <c:pt idx="13">
                  <c:v>17.13</c:v>
                </c:pt>
                <c:pt idx="14">
                  <c:v>17.100000000000001</c:v>
                </c:pt>
                <c:pt idx="15">
                  <c:v>16.54</c:v>
                </c:pt>
                <c:pt idx="16">
                  <c:v>16.440000000000001</c:v>
                </c:pt>
                <c:pt idx="17">
                  <c:v>15.54</c:v>
                </c:pt>
                <c:pt idx="18">
                  <c:v>14.78</c:v>
                </c:pt>
                <c:pt idx="19">
                  <c:v>14.02</c:v>
                </c:pt>
                <c:pt idx="20">
                  <c:v>13.63</c:v>
                </c:pt>
                <c:pt idx="21">
                  <c:v>11.98</c:v>
                </c:pt>
                <c:pt idx="22">
                  <c:v>10.85</c:v>
                </c:pt>
              </c:numCache>
            </c:numRef>
          </c:val>
          <c:extLst>
            <c:ext xmlns:c16="http://schemas.microsoft.com/office/drawing/2014/chart" uri="{C3380CC4-5D6E-409C-BE32-E72D297353CC}">
              <c16:uniqueId val="{00000008-B293-4964-A90C-F42AEFD8A282}"/>
            </c:ext>
          </c:extLst>
        </c:ser>
        <c:dLbls>
          <c:showLegendKey val="0"/>
          <c:showVal val="0"/>
          <c:showCatName val="0"/>
          <c:showSerName val="0"/>
          <c:showPercent val="0"/>
          <c:showBubbleSize val="0"/>
        </c:dLbls>
        <c:gapWidth val="43"/>
        <c:axId val="1306516111"/>
        <c:axId val="1306949167"/>
      </c:barChart>
      <c:catAx>
        <c:axId val="1306516111"/>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5400000" spcFirstLastPara="1" vertOverflow="ellipsis" wrap="square" anchor="ctr" anchorCtr="1"/>
          <a:lstStyle/>
          <a:p>
            <a:pPr>
              <a:defRPr sz="1000" b="0" i="0" u="none" strike="noStrike" kern="1200" baseline="0">
                <a:solidFill>
                  <a:sysClr val="windowText" lastClr="000000"/>
                </a:solidFill>
                <a:latin typeface="Myriad Pro" panose="020B0503030403020204" pitchFamily="34" charset="0"/>
                <a:ea typeface="+mn-ea"/>
                <a:cs typeface="+mn-cs"/>
              </a:defRPr>
            </a:pPr>
            <a:endParaRPr lang="sl-SI"/>
          </a:p>
        </c:txPr>
        <c:crossAx val="1306949167"/>
        <c:crosses val="autoZero"/>
        <c:auto val="1"/>
        <c:lblAlgn val="ctr"/>
        <c:lblOffset val="100"/>
        <c:noMultiLvlLbl val="0"/>
      </c:catAx>
      <c:valAx>
        <c:axId val="1306949167"/>
        <c:scaling>
          <c:orientation val="minMax"/>
          <c:max val="30"/>
        </c:scaling>
        <c:delete val="0"/>
        <c:axPos val="l"/>
        <c:majorGridlines>
          <c:spPr>
            <a:ln w="9525" cap="flat" cmpd="sng" algn="ctr">
              <a:solidFill>
                <a:sysClr val="window" lastClr="FFFFFF">
                  <a:lumMod val="65000"/>
                </a:sys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yriad Pro" panose="020B0503030403020204" pitchFamily="34" charset="0"/>
                    <a:ea typeface="+mn-ea"/>
                    <a:cs typeface="+mn-cs"/>
                  </a:defRPr>
                </a:pPr>
                <a:r>
                  <a:rPr lang="sl-SI"/>
                  <a:t>v </a:t>
                </a:r>
                <a:r>
                  <a:rPr lang="sl-SI" baseline="0"/>
                  <a:t> odstotkih</a:t>
                </a:r>
                <a:endParaRPr lang="sl-SI"/>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yriad Pro" panose="020B0503030403020204" pitchFamily="34" charset="0"/>
                  <a:ea typeface="+mn-ea"/>
                  <a:cs typeface="+mn-cs"/>
                </a:defRPr>
              </a:pPr>
              <a:endParaRPr lang="sl-SI"/>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yriad Pro" panose="020B0503030403020204" pitchFamily="34" charset="0"/>
                <a:ea typeface="+mn-ea"/>
                <a:cs typeface="+mn-cs"/>
              </a:defRPr>
            </a:pPr>
            <a:endParaRPr lang="sl-SI"/>
          </a:p>
        </c:txPr>
        <c:crossAx val="1306516111"/>
        <c:crosses val="autoZero"/>
        <c:crossBetween val="between"/>
      </c:valAx>
      <c:spPr>
        <a:noFill/>
        <a:ln>
          <a:solidFill>
            <a:sysClr val="window" lastClr="FFFFFF">
              <a:lumMod val="65000"/>
            </a:sysClr>
          </a:solid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Myriad Pro" panose="020B0503030403020204" pitchFamily="34" charset="0"/>
        </a:defRPr>
      </a:pPr>
      <a:endParaRPr lang="sl-SI"/>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785479797979801E-2"/>
          <c:y val="0.11370451388888887"/>
          <c:w val="0.89873308080808079"/>
          <c:h val="0.60717465277777782"/>
        </c:manualLayout>
      </c:layout>
      <c:barChart>
        <c:barDir val="col"/>
        <c:grouping val="clustered"/>
        <c:varyColors val="0"/>
        <c:ser>
          <c:idx val="0"/>
          <c:order val="0"/>
          <c:spPr>
            <a:solidFill>
              <a:sysClr val="window" lastClr="FFFFFF">
                <a:lumMod val="75000"/>
              </a:sysClr>
            </a:solidFill>
            <a:ln>
              <a:noFill/>
            </a:ln>
            <a:effectLst/>
          </c:spPr>
          <c:invertIfNegative val="0"/>
          <c:dPt>
            <c:idx val="1"/>
            <c:invertIfNegative val="0"/>
            <c:bubble3D val="0"/>
            <c:spPr>
              <a:solidFill>
                <a:srgbClr val="A10305"/>
              </a:solidFill>
              <a:ln>
                <a:noFill/>
              </a:ln>
              <a:effectLst/>
            </c:spPr>
            <c:extLst>
              <c:ext xmlns:c16="http://schemas.microsoft.com/office/drawing/2014/chart" uri="{C3380CC4-5D6E-409C-BE32-E72D297353CC}">
                <c16:uniqueId val="{00000001-F1CB-42BB-9C4B-5410E18CA148}"/>
              </c:ext>
            </c:extLst>
          </c:dPt>
          <c:dPt>
            <c:idx val="7"/>
            <c:invertIfNegative val="0"/>
            <c:bubble3D val="0"/>
            <c:spPr>
              <a:solidFill>
                <a:sysClr val="window" lastClr="FFFFFF">
                  <a:lumMod val="75000"/>
                </a:sysClr>
              </a:solidFill>
              <a:ln>
                <a:noFill/>
              </a:ln>
              <a:effectLst/>
            </c:spPr>
            <c:extLst>
              <c:ext xmlns:c16="http://schemas.microsoft.com/office/drawing/2014/chart" uri="{C3380CC4-5D6E-409C-BE32-E72D297353CC}">
                <c16:uniqueId val="{00000003-F1CB-42BB-9C4B-5410E18CA148}"/>
              </c:ext>
            </c:extLst>
          </c:dPt>
          <c:dPt>
            <c:idx val="16"/>
            <c:invertIfNegative val="0"/>
            <c:bubble3D val="0"/>
            <c:spPr>
              <a:solidFill>
                <a:sysClr val="window" lastClr="FFFFFF">
                  <a:lumMod val="75000"/>
                </a:sysClr>
              </a:solidFill>
              <a:ln>
                <a:noFill/>
              </a:ln>
              <a:effectLst/>
            </c:spPr>
            <c:extLst>
              <c:ext xmlns:c16="http://schemas.microsoft.com/office/drawing/2014/chart" uri="{C3380CC4-5D6E-409C-BE32-E72D297353CC}">
                <c16:uniqueId val="{00000005-F1CB-42BB-9C4B-5410E18CA148}"/>
              </c:ext>
            </c:extLst>
          </c:dPt>
          <c:dPt>
            <c:idx val="17"/>
            <c:invertIfNegative val="0"/>
            <c:bubble3D val="0"/>
            <c:spPr>
              <a:solidFill>
                <a:sysClr val="window" lastClr="FFFFFF">
                  <a:lumMod val="75000"/>
                </a:sysClr>
              </a:solidFill>
              <a:ln>
                <a:noFill/>
              </a:ln>
              <a:effectLst/>
            </c:spPr>
            <c:extLst>
              <c:ext xmlns:c16="http://schemas.microsoft.com/office/drawing/2014/chart" uri="{C3380CC4-5D6E-409C-BE32-E72D297353CC}">
                <c16:uniqueId val="{00000007-F1CB-42BB-9C4B-5410E18CA148}"/>
              </c:ext>
            </c:extLst>
          </c:dPt>
          <c:dPt>
            <c:idx val="20"/>
            <c:invertIfNegative val="0"/>
            <c:bubble3D val="0"/>
            <c:spPr>
              <a:solidFill>
                <a:srgbClr val="176F8B"/>
              </a:solidFill>
              <a:ln>
                <a:noFill/>
              </a:ln>
              <a:effectLst/>
            </c:spPr>
            <c:extLst>
              <c:ext xmlns:c16="http://schemas.microsoft.com/office/drawing/2014/chart" uri="{C3380CC4-5D6E-409C-BE32-E72D297353CC}">
                <c16:uniqueId val="{00000009-F1CB-42BB-9C4B-5410E18CA148}"/>
              </c:ext>
            </c:extLst>
          </c:dPt>
          <c:dLbls>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CB-42BB-9C4B-5410E18CA148}"/>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solidFill>
                      <a:latin typeface="Myriad Pro" panose="020B0503030403020204" pitchFamily="34" charset="0"/>
                      <a:ea typeface="+mn-ea"/>
                      <a:cs typeface="+mn-cs"/>
                    </a:defRPr>
                  </a:pPr>
                  <a:endParaRPr lang="sl-SI"/>
                </a:p>
              </c:txPr>
              <c:dLblPos val="outEnd"/>
              <c:showLegendKey val="0"/>
              <c:showVal val="0"/>
              <c:showCatName val="0"/>
              <c:showSerName val="0"/>
              <c:showPercent val="0"/>
              <c:showBubbleSize val="0"/>
              <c:extLst>
                <c:ext xmlns:c16="http://schemas.microsoft.com/office/drawing/2014/chart" uri="{C3380CC4-5D6E-409C-BE32-E72D297353CC}">
                  <c16:uniqueId val="{00000003-F1CB-42BB-9C4B-5410E18CA148}"/>
                </c:ext>
              </c:extLst>
            </c:dLbl>
            <c:dLbl>
              <c:idx val="16"/>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solidFill>
                      <a:latin typeface="Myriad Pro" panose="020B0503030403020204" pitchFamily="34" charset="0"/>
                      <a:ea typeface="+mn-ea"/>
                      <a:cs typeface="+mn-cs"/>
                    </a:defRPr>
                  </a:pPr>
                  <a:endParaRPr lang="sl-SI"/>
                </a:p>
              </c:txPr>
              <c:dLblPos val="outEnd"/>
              <c:showLegendKey val="0"/>
              <c:showVal val="0"/>
              <c:showCatName val="0"/>
              <c:showSerName val="0"/>
              <c:showPercent val="0"/>
              <c:showBubbleSize val="0"/>
              <c:extLst>
                <c:ext xmlns:c16="http://schemas.microsoft.com/office/drawing/2014/chart" uri="{C3380CC4-5D6E-409C-BE32-E72D297353CC}">
                  <c16:uniqueId val="{00000005-F1CB-42BB-9C4B-5410E18CA148}"/>
                </c:ext>
              </c:extLst>
            </c:dLbl>
            <c:dLbl>
              <c:idx val="2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1CB-42BB-9C4B-5410E18CA14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yriad Pro" panose="020B0503030403020204" pitchFamily="34" charset="0"/>
                    <a:ea typeface="+mn-ea"/>
                    <a:cs typeface="+mn-cs"/>
                  </a:defRPr>
                </a:pPr>
                <a:endParaRPr lang="sl-SI"/>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('2021'!$G$2:$G$4,'2021'!$G$6:$G$28)</c:f>
              <c:strCache>
                <c:ptCount val="26"/>
                <c:pt idx="0">
                  <c:v>Danska</c:v>
                </c:pt>
                <c:pt idx="1">
                  <c:v>Slovenija</c:v>
                </c:pt>
                <c:pt idx="2">
                  <c:v>Finska</c:v>
                </c:pt>
                <c:pt idx="3">
                  <c:v> Francija</c:v>
                </c:pt>
                <c:pt idx="4">
                  <c:v> Ciper</c:v>
                </c:pt>
                <c:pt idx="5">
                  <c:v>Švedska</c:v>
                </c:pt>
                <c:pt idx="6">
                  <c:v>Grčija</c:v>
                </c:pt>
                <c:pt idx="7">
                  <c:v> Hrvaška</c:v>
                </c:pt>
                <c:pt idx="8">
                  <c:v>Španija</c:v>
                </c:pt>
                <c:pt idx="9">
                  <c:v>Malta</c:v>
                </c:pt>
                <c:pt idx="10">
                  <c:v>Portugalska</c:v>
                </c:pt>
                <c:pt idx="11">
                  <c:v>Latvia</c:v>
                </c:pt>
                <c:pt idx="12">
                  <c:v>Slovaška</c:v>
                </c:pt>
                <c:pt idx="13">
                  <c:v>Bolgarija</c:v>
                </c:pt>
                <c:pt idx="14">
                  <c:v>Češka</c:v>
                </c:pt>
                <c:pt idx="15">
                  <c:v> Romunija</c:v>
                </c:pt>
                <c:pt idx="16">
                  <c:v>Avstrija</c:v>
                </c:pt>
                <c:pt idx="17">
                  <c:v> Estonija</c:v>
                </c:pt>
                <c:pt idx="18">
                  <c:v>Litva</c:v>
                </c:pt>
                <c:pt idx="19">
                  <c:v>Madžarska</c:v>
                </c:pt>
                <c:pt idx="20">
                  <c:v>EU</c:v>
                </c:pt>
                <c:pt idx="21">
                  <c:v> Poljska</c:v>
                </c:pt>
                <c:pt idx="22">
                  <c:v> Luksmeburg</c:v>
                </c:pt>
                <c:pt idx="23">
                  <c:v>Italija</c:v>
                </c:pt>
                <c:pt idx="24">
                  <c:v>Nemčija</c:v>
                </c:pt>
                <c:pt idx="25">
                  <c:v>Irska</c:v>
                </c:pt>
              </c:strCache>
              <c:extLst/>
            </c:strRef>
          </c:cat>
          <c:val>
            <c:numRef>
              <c:f>('2021'!$F$2:$F$4,'2021'!$F$6:$F$28)</c:f>
              <c:numCache>
                <c:formatCode>0.0</c:formatCode>
                <c:ptCount val="26"/>
                <c:pt idx="0">
                  <c:v>14.9</c:v>
                </c:pt>
                <c:pt idx="1">
                  <c:v>12.7</c:v>
                </c:pt>
                <c:pt idx="2">
                  <c:v>12.7</c:v>
                </c:pt>
                <c:pt idx="3">
                  <c:v>12.5</c:v>
                </c:pt>
                <c:pt idx="4">
                  <c:v>12.5</c:v>
                </c:pt>
                <c:pt idx="5">
                  <c:v>12.5</c:v>
                </c:pt>
                <c:pt idx="6">
                  <c:v>12.4</c:v>
                </c:pt>
                <c:pt idx="7">
                  <c:v>12.4</c:v>
                </c:pt>
                <c:pt idx="8">
                  <c:v>12.2</c:v>
                </c:pt>
                <c:pt idx="9">
                  <c:v>12</c:v>
                </c:pt>
                <c:pt idx="10">
                  <c:v>11.6</c:v>
                </c:pt>
                <c:pt idx="11">
                  <c:v>11.5</c:v>
                </c:pt>
                <c:pt idx="12">
                  <c:v>11.5</c:v>
                </c:pt>
                <c:pt idx="13">
                  <c:v>11.1</c:v>
                </c:pt>
                <c:pt idx="14">
                  <c:v>11.1</c:v>
                </c:pt>
                <c:pt idx="15">
                  <c:v>11.1</c:v>
                </c:pt>
                <c:pt idx="16">
                  <c:v>11</c:v>
                </c:pt>
                <c:pt idx="17">
                  <c:v>10.9</c:v>
                </c:pt>
                <c:pt idx="18">
                  <c:v>10.7</c:v>
                </c:pt>
                <c:pt idx="19">
                  <c:v>10.6</c:v>
                </c:pt>
                <c:pt idx="20">
                  <c:v>10.5</c:v>
                </c:pt>
                <c:pt idx="21">
                  <c:v>10.5</c:v>
                </c:pt>
                <c:pt idx="22">
                  <c:v>10.199999999999999</c:v>
                </c:pt>
                <c:pt idx="23">
                  <c:v>9.9</c:v>
                </c:pt>
                <c:pt idx="24">
                  <c:v>8.2000000000000011</c:v>
                </c:pt>
                <c:pt idx="25">
                  <c:v>6.2</c:v>
                </c:pt>
              </c:numCache>
              <c:extLst/>
            </c:numRef>
          </c:val>
          <c:extLst>
            <c:ext xmlns:c16="http://schemas.microsoft.com/office/drawing/2014/chart" uri="{C3380CC4-5D6E-409C-BE32-E72D297353CC}">
              <c16:uniqueId val="{0000000A-F1CB-42BB-9C4B-5410E18CA148}"/>
            </c:ext>
          </c:extLst>
        </c:ser>
        <c:dLbls>
          <c:showLegendKey val="0"/>
          <c:showVal val="0"/>
          <c:showCatName val="0"/>
          <c:showSerName val="0"/>
          <c:showPercent val="0"/>
          <c:showBubbleSize val="0"/>
        </c:dLbls>
        <c:gapWidth val="43"/>
        <c:axId val="1306516111"/>
        <c:axId val="1306949167"/>
      </c:barChart>
      <c:catAx>
        <c:axId val="1306516111"/>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5400000" spcFirstLastPara="1" vertOverflow="ellipsis" wrap="square" anchor="ctr" anchorCtr="1"/>
          <a:lstStyle/>
          <a:p>
            <a:pPr>
              <a:defRPr sz="1000" b="0" i="0" u="none" strike="noStrike" kern="1200" baseline="0">
                <a:solidFill>
                  <a:sysClr val="windowText" lastClr="000000"/>
                </a:solidFill>
                <a:latin typeface="Myriad Pro" panose="020B0503030403020204" pitchFamily="34" charset="0"/>
                <a:ea typeface="+mn-ea"/>
                <a:cs typeface="+mn-cs"/>
              </a:defRPr>
            </a:pPr>
            <a:endParaRPr lang="sl-SI"/>
          </a:p>
        </c:txPr>
        <c:crossAx val="1306949167"/>
        <c:crosses val="autoZero"/>
        <c:auto val="1"/>
        <c:lblAlgn val="ctr"/>
        <c:lblOffset val="100"/>
        <c:noMultiLvlLbl val="0"/>
      </c:catAx>
      <c:valAx>
        <c:axId val="1306949167"/>
        <c:scaling>
          <c:orientation val="minMax"/>
        </c:scaling>
        <c:delete val="0"/>
        <c:axPos val="l"/>
        <c:majorGridlines>
          <c:spPr>
            <a:ln w="9525" cap="flat" cmpd="sng" algn="ctr">
              <a:solidFill>
                <a:sysClr val="window" lastClr="FFFFFF">
                  <a:lumMod val="65000"/>
                </a:sys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yriad Pro" panose="020B0503030403020204" pitchFamily="34" charset="0"/>
                <a:ea typeface="+mn-ea"/>
                <a:cs typeface="+mn-cs"/>
              </a:defRPr>
            </a:pPr>
            <a:endParaRPr lang="sl-SI"/>
          </a:p>
        </c:txPr>
        <c:crossAx val="1306516111"/>
        <c:crosses val="autoZero"/>
        <c:crossBetween val="between"/>
      </c:valAx>
      <c:spPr>
        <a:noFill/>
        <a:ln>
          <a:solidFill>
            <a:sysClr val="window" lastClr="FFFFFF">
              <a:lumMod val="65000"/>
            </a:sysClr>
          </a:solid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Myriad Pro" panose="020B0503030403020204" pitchFamily="34" charset="0"/>
        </a:defRPr>
      </a:pPr>
      <a:endParaRPr lang="sl-SI"/>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56095313543387"/>
          <c:y val="0.14579208282667383"/>
          <c:w val="0.76451997041151454"/>
          <c:h val="0.79178407501082182"/>
        </c:manualLayout>
      </c:layout>
      <c:barChart>
        <c:barDir val="bar"/>
        <c:grouping val="clustered"/>
        <c:varyColors val="0"/>
        <c:ser>
          <c:idx val="0"/>
          <c:order val="0"/>
          <c:tx>
            <c:strRef>
              <c:f>List1!$B$1</c:f>
              <c:strCache>
                <c:ptCount val="1"/>
                <c:pt idx="0">
                  <c:v>Razlika  med povprečnim plačnim razredom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List1!$A$2:$A$29</c:f>
              <c:strCache>
                <c:ptCount val="28"/>
                <c:pt idx="0">
                  <c:v>A4 – Funkcionarji v drugih državnih organih</c:v>
                </c:pt>
                <c:pt idx="1">
                  <c:v>A3 – Funkcionarji sodne oblasti</c:v>
                </c:pt>
                <c:pt idx="2">
                  <c:v>B1 – Ravnatelji, direktorji in tajniki</c:v>
                </c:pt>
                <c:pt idx="3">
                  <c:v>E1 – Zdravniki in zobozdravniki</c:v>
                </c:pt>
                <c:pt idx="4">
                  <c:v>H2 – Strokovni sodelavci</c:v>
                </c:pt>
                <c:pt idx="5">
                  <c:v>H1 – Raziskovalci</c:v>
                </c:pt>
                <c:pt idx="6">
                  <c:v>D3 – Vzgojitelji in ostali strokovni delavci v vrtcih</c:v>
                </c:pt>
                <c:pt idx="7">
                  <c:v>E2 – Farmacevtski delavci</c:v>
                </c:pt>
                <c:pt idx="8">
                  <c:v>C3 – Policisti</c:v>
                </c:pt>
                <c:pt idx="9">
                  <c:v>C2 – Uradniki v državni upravi, upravah pravosodnih organov in upravah lokalnih skupnosti</c:v>
                </c:pt>
                <c:pt idx="10">
                  <c:v>E4 – Zdravstveni delavci in zdravstveni sodelavc</c:v>
                </c:pt>
                <c:pt idx="11">
                  <c:v>G2 – Drugi poklici na področju kulture in informiranja</c:v>
                </c:pt>
                <c:pt idx="12">
                  <c:v>C5 – Uradniki finančne uprave</c:v>
                </c:pt>
                <c:pt idx="13">
                  <c:v>C6 – Inšpektorji, pravosodni policisti in drugi uradniki s posebnimi pooblastili</c:v>
                </c:pt>
                <c:pt idx="14">
                  <c:v>J1 – Strokovni delavci</c:v>
                </c:pt>
                <c:pt idx="15">
                  <c:v>D2 – Predavatelji višjih strokovnih šol, srednješolski in osnovnošolski učitelji in drugi strokovni delavci</c:v>
                </c:pt>
                <c:pt idx="16">
                  <c:v>C7 – Diplomati</c:v>
                </c:pt>
                <c:pt idx="17">
                  <c:v>C1 – Uradniki v drugih državnih organih</c:v>
                </c:pt>
                <c:pt idx="18">
                  <c:v>F1 – Strokovni delavci</c:v>
                </c:pt>
                <c:pt idx="19">
                  <c:v>J2 – Administrativni delavci</c:v>
                </c:pt>
                <c:pt idx="20">
                  <c:v>I1 – Strokovni delavci</c:v>
                </c:pt>
                <c:pt idx="21">
                  <c:v>D1 – Visokošolski učitelji in visokošolski sodelavci</c:v>
                </c:pt>
                <c:pt idx="22">
                  <c:v>C4 – Vojaki</c:v>
                </c:pt>
                <c:pt idx="23">
                  <c:v>F2 – Strokovni sodelavci</c:v>
                </c:pt>
                <c:pt idx="24">
                  <c:v>G1 – Umetniški poklici</c:v>
                </c:pt>
                <c:pt idx="25">
                  <c:v>E3 – Medicinske sestre in babice</c:v>
                </c:pt>
                <c:pt idx="26">
                  <c:v>E3* – Medicinske sestre in babice, VII/1</c:v>
                </c:pt>
                <c:pt idx="27">
                  <c:v>J3 – Ostali strokovno tehnični delavci</c:v>
                </c:pt>
              </c:strCache>
            </c:strRef>
          </c:cat>
          <c:val>
            <c:numRef>
              <c:f>List1!$B$2:$B$29</c:f>
              <c:numCache>
                <c:formatCode>0.0</c:formatCode>
                <c:ptCount val="28"/>
                <c:pt idx="0">
                  <c:v>-7.7731092436970073E-2</c:v>
                </c:pt>
                <c:pt idx="1">
                  <c:v>0</c:v>
                </c:pt>
                <c:pt idx="2">
                  <c:v>2.313132976282489</c:v>
                </c:pt>
                <c:pt idx="3">
                  <c:v>2.4651457047467531</c:v>
                </c:pt>
                <c:pt idx="4">
                  <c:v>2.6993817990127909</c:v>
                </c:pt>
                <c:pt idx="5">
                  <c:v>3.0349257882898009</c:v>
                </c:pt>
                <c:pt idx="6">
                  <c:v>3.1176667223800791</c:v>
                </c:pt>
                <c:pt idx="7">
                  <c:v>3.2047222875160557</c:v>
                </c:pt>
                <c:pt idx="8">
                  <c:v>3.2207842831527245</c:v>
                </c:pt>
                <c:pt idx="9">
                  <c:v>3.4489063058737059</c:v>
                </c:pt>
                <c:pt idx="10">
                  <c:v>3.453633883447381</c:v>
                </c:pt>
                <c:pt idx="11">
                  <c:v>3.5205500559368232</c:v>
                </c:pt>
                <c:pt idx="12">
                  <c:v>3.593738418218976</c:v>
                </c:pt>
                <c:pt idx="13">
                  <c:v>3.6156101966780554</c:v>
                </c:pt>
                <c:pt idx="14">
                  <c:v>3.6551909007710961</c:v>
                </c:pt>
                <c:pt idx="15">
                  <c:v>3.711542175343844</c:v>
                </c:pt>
                <c:pt idx="16">
                  <c:v>3.9162438544739402</c:v>
                </c:pt>
                <c:pt idx="17">
                  <c:v>4.1046132857110038</c:v>
                </c:pt>
                <c:pt idx="18">
                  <c:v>4.2642227991950676</c:v>
                </c:pt>
                <c:pt idx="19">
                  <c:v>4.3403844385174324</c:v>
                </c:pt>
                <c:pt idx="20">
                  <c:v>4.3523422315142639</c:v>
                </c:pt>
                <c:pt idx="21">
                  <c:v>4.5215739054706674</c:v>
                </c:pt>
                <c:pt idx="22">
                  <c:v>4.5602718823692641</c:v>
                </c:pt>
                <c:pt idx="23">
                  <c:v>4.9137988640160373</c:v>
                </c:pt>
                <c:pt idx="24">
                  <c:v>5.0090859797470557</c:v>
                </c:pt>
                <c:pt idx="25">
                  <c:v>6.5303602058319044</c:v>
                </c:pt>
                <c:pt idx="26">
                  <c:v>7.2</c:v>
                </c:pt>
                <c:pt idx="27">
                  <c:v>7.8148148148148167</c:v>
                </c:pt>
              </c:numCache>
            </c:numRef>
          </c:val>
          <c:extLst>
            <c:ext xmlns:c16="http://schemas.microsoft.com/office/drawing/2014/chart" uri="{C3380CC4-5D6E-409C-BE32-E72D297353CC}">
              <c16:uniqueId val="{00000000-F384-4AAC-904B-AF5D6F17808E}"/>
            </c:ext>
          </c:extLst>
        </c:ser>
        <c:dLbls>
          <c:showLegendKey val="0"/>
          <c:showVal val="0"/>
          <c:showCatName val="0"/>
          <c:showSerName val="0"/>
          <c:showPercent val="0"/>
          <c:showBubbleSize val="0"/>
        </c:dLbls>
        <c:gapWidth val="182"/>
        <c:axId val="992268544"/>
        <c:axId val="992263952"/>
      </c:barChart>
      <c:catAx>
        <c:axId val="992268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992263952"/>
        <c:crosses val="autoZero"/>
        <c:auto val="1"/>
        <c:lblAlgn val="ctr"/>
        <c:lblOffset val="100"/>
        <c:noMultiLvlLbl val="0"/>
      </c:catAx>
      <c:valAx>
        <c:axId val="99226395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992268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List2!$B$1</c:f>
              <c:strCache>
                <c:ptCount val="1"/>
                <c:pt idx="0">
                  <c:v>Razlika  med povprečnim plačnim razredom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List2!$A$2:$A$19</c:f>
              <c:strCache>
                <c:ptCount val="18"/>
                <c:pt idx="0">
                  <c:v>C3 – Policisti**</c:v>
                </c:pt>
                <c:pt idx="1">
                  <c:v>G1 – Umetniški poklici</c:v>
                </c:pt>
                <c:pt idx="2">
                  <c:v>E4 – Zdravstveni delavci in zdravstveni sodelavci*</c:v>
                </c:pt>
                <c:pt idx="3">
                  <c:v>G2 – Drugi poklici na področju kulture in informiranja</c:v>
                </c:pt>
                <c:pt idx="4">
                  <c:v>J3 – Ostali strokovno tehnični delavci</c:v>
                </c:pt>
                <c:pt idx="5">
                  <c:v>D2 – Predavatelji višjih strokovnih šol, srednješolski in osnovnošolski učitelji in drugi strokovni delavci</c:v>
                </c:pt>
                <c:pt idx="6">
                  <c:v>E2 – Farmacevtski delavci</c:v>
                </c:pt>
                <c:pt idx="7">
                  <c:v>J1 – Strokovni delavci</c:v>
                </c:pt>
                <c:pt idx="8">
                  <c:v>D3 – Vzgojitelji in ostali strokovni delavci v vrtcih</c:v>
                </c:pt>
                <c:pt idx="9">
                  <c:v>I1 – Strokovni delavci</c:v>
                </c:pt>
                <c:pt idx="10">
                  <c:v>C2 – Uradniki v državni upravi, upravah pravosodnih organov in upravah lokalnih skupnosti</c:v>
                </c:pt>
                <c:pt idx="11">
                  <c:v>J2 – Administrativni delavci</c:v>
                </c:pt>
                <c:pt idx="12">
                  <c:v>C4 – Vojaki</c:v>
                </c:pt>
                <c:pt idx="13">
                  <c:v>C5 – Uradniki finančne uprave</c:v>
                </c:pt>
                <c:pt idx="14">
                  <c:v>C6 – Inšpektorji, pravosodni policisti in drugi uradniki s posebnimi pooblastili</c:v>
                </c:pt>
                <c:pt idx="15">
                  <c:v>E3 – Medicinske sestre in babice</c:v>
                </c:pt>
                <c:pt idx="16">
                  <c:v>F2 – Strokovni sodelavci</c:v>
                </c:pt>
                <c:pt idx="17">
                  <c:v>C1 – Uradniki v drugih državnih organih</c:v>
                </c:pt>
              </c:strCache>
            </c:strRef>
          </c:cat>
          <c:val>
            <c:numRef>
              <c:f>List2!$B$2:$B$19</c:f>
              <c:numCache>
                <c:formatCode>0.0</c:formatCode>
                <c:ptCount val="18"/>
                <c:pt idx="0">
                  <c:v>0.12325307250650752</c:v>
                </c:pt>
                <c:pt idx="1">
                  <c:v>1.8666666666666671</c:v>
                </c:pt>
                <c:pt idx="2">
                  <c:v>3.0683568001450077</c:v>
                </c:pt>
                <c:pt idx="3">
                  <c:v>3.1516843694678727</c:v>
                </c:pt>
                <c:pt idx="4">
                  <c:v>3.3520983079897242</c:v>
                </c:pt>
                <c:pt idx="5">
                  <c:v>3.7309428693035436</c:v>
                </c:pt>
                <c:pt idx="6">
                  <c:v>3.7559738918799326</c:v>
                </c:pt>
                <c:pt idx="7">
                  <c:v>4.1226101044721339</c:v>
                </c:pt>
                <c:pt idx="8">
                  <c:v>4.5475326388178594</c:v>
                </c:pt>
                <c:pt idx="9">
                  <c:v>4.5574539511219037</c:v>
                </c:pt>
                <c:pt idx="10">
                  <c:v>4.7195808182427896</c:v>
                </c:pt>
                <c:pt idx="11">
                  <c:v>4.7872153092548722</c:v>
                </c:pt>
                <c:pt idx="12">
                  <c:v>5.0975713228325965</c:v>
                </c:pt>
                <c:pt idx="13">
                  <c:v>5.2343414494488734</c:v>
                </c:pt>
                <c:pt idx="14">
                  <c:v>5.2513551462904928</c:v>
                </c:pt>
                <c:pt idx="15">
                  <c:v>6.6731561653688765</c:v>
                </c:pt>
                <c:pt idx="16">
                  <c:v>7.1051590797720401</c:v>
                </c:pt>
                <c:pt idx="17">
                  <c:v>7.5626535626535585</c:v>
                </c:pt>
              </c:numCache>
            </c:numRef>
          </c:val>
          <c:extLst>
            <c:ext xmlns:c16="http://schemas.microsoft.com/office/drawing/2014/chart" uri="{C3380CC4-5D6E-409C-BE32-E72D297353CC}">
              <c16:uniqueId val="{00000000-AA4D-4C58-B527-A03CB536BE8C}"/>
            </c:ext>
          </c:extLst>
        </c:ser>
        <c:dLbls>
          <c:dLblPos val="outEnd"/>
          <c:showLegendKey val="0"/>
          <c:showVal val="1"/>
          <c:showCatName val="0"/>
          <c:showSerName val="0"/>
          <c:showPercent val="0"/>
          <c:showBubbleSize val="0"/>
        </c:dLbls>
        <c:gapWidth val="182"/>
        <c:axId val="649666800"/>
        <c:axId val="649670080"/>
      </c:barChart>
      <c:catAx>
        <c:axId val="649666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49670080"/>
        <c:crosses val="autoZero"/>
        <c:auto val="1"/>
        <c:lblAlgn val="ctr"/>
        <c:lblOffset val="100"/>
        <c:noMultiLvlLbl val="0"/>
      </c:catAx>
      <c:valAx>
        <c:axId val="64967008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49666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'pov pl ind-08'!$B$11</c:f>
              <c:strCache>
                <c:ptCount val="1"/>
                <c:pt idx="0">
                  <c:v>povprečna plača (v eur)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'pov pl ind-08'!$A$12:$A$26</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'pov pl ind-08'!$B$12:$B$26</c:f>
              <c:numCache>
                <c:formatCode>#,##0</c:formatCode>
                <c:ptCount val="15"/>
                <c:pt idx="0">
                  <c:v>1698.5</c:v>
                </c:pt>
                <c:pt idx="1">
                  <c:v>1824.25</c:v>
                </c:pt>
                <c:pt idx="2">
                  <c:v>1825.9166666666667</c:v>
                </c:pt>
                <c:pt idx="3">
                  <c:v>1826.9166666666667</c:v>
                </c:pt>
                <c:pt idx="4">
                  <c:v>1786.75</c:v>
                </c:pt>
                <c:pt idx="5">
                  <c:v>1739.0833333333333</c:v>
                </c:pt>
                <c:pt idx="6">
                  <c:v>1744.0833333333333</c:v>
                </c:pt>
                <c:pt idx="7">
                  <c:v>1756.0416666666667</c:v>
                </c:pt>
                <c:pt idx="8">
                  <c:v>1818.7366666666667</c:v>
                </c:pt>
                <c:pt idx="9">
                  <c:v>1864.8016666666667</c:v>
                </c:pt>
                <c:pt idx="10">
                  <c:v>1913.1166666666668</c:v>
                </c:pt>
                <c:pt idx="11">
                  <c:v>2035.4825000000001</c:v>
                </c:pt>
                <c:pt idx="12">
                  <c:v>2226.6616666666669</c:v>
                </c:pt>
                <c:pt idx="13">
                  <c:v>2382.8525</c:v>
                </c:pt>
                <c:pt idx="14">
                  <c:v>2264.4028571428598</c:v>
                </c:pt>
              </c:numCache>
            </c:numRef>
          </c:val>
          <c:extLst>
            <c:ext xmlns:c16="http://schemas.microsoft.com/office/drawing/2014/chart" uri="{C3380CC4-5D6E-409C-BE32-E72D297353CC}">
              <c16:uniqueId val="{00000000-B0BB-4AF7-80FF-E7DD5D81E783}"/>
            </c:ext>
          </c:extLst>
        </c:ser>
        <c:dLbls>
          <c:showLegendKey val="0"/>
          <c:showVal val="0"/>
          <c:showCatName val="0"/>
          <c:showSerName val="0"/>
          <c:showPercent val="0"/>
          <c:showBubbleSize val="0"/>
        </c:dLbls>
        <c:gapWidth val="219"/>
        <c:overlap val="-27"/>
        <c:axId val="201613352"/>
        <c:axId val="201613680"/>
      </c:barChart>
      <c:lineChart>
        <c:grouping val="standard"/>
        <c:varyColors val="0"/>
        <c:ser>
          <c:idx val="1"/>
          <c:order val="1"/>
          <c:tx>
            <c:strRef>
              <c:f>'pov pl ind-08'!$C$11</c:f>
              <c:strCache>
                <c:ptCount val="1"/>
                <c:pt idx="0">
                  <c:v>indeks na 2008</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'pov pl ind-08'!$A$12:$A$26</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'pov pl ind-08'!$C$12:$C$26</c:f>
              <c:numCache>
                <c:formatCode>#,##0</c:formatCode>
                <c:ptCount val="15"/>
                <c:pt idx="0">
                  <c:v>100</c:v>
                </c:pt>
                <c:pt idx="1">
                  <c:v>107.40359140418016</c:v>
                </c:pt>
                <c:pt idx="2">
                  <c:v>107.50171720145228</c:v>
                </c:pt>
                <c:pt idx="3">
                  <c:v>107.56059267981553</c:v>
                </c:pt>
                <c:pt idx="4">
                  <c:v>105.19576096555785</c:v>
                </c:pt>
                <c:pt idx="5">
                  <c:v>102.38936316357569</c:v>
                </c:pt>
                <c:pt idx="6">
                  <c:v>102.68374055539201</c:v>
                </c:pt>
                <c:pt idx="7">
                  <c:v>103.38779315081936</c:v>
                </c:pt>
                <c:pt idx="8">
                  <c:v>107.07899126680405</c:v>
                </c:pt>
                <c:pt idx="9">
                  <c:v>109.79109017760769</c:v>
                </c:pt>
                <c:pt idx="10">
                  <c:v>112.63565891472868</c:v>
                </c:pt>
                <c:pt idx="11">
                  <c:v>119.84000588754785</c:v>
                </c:pt>
                <c:pt idx="12">
                  <c:v>131.09577077813759</c:v>
                </c:pt>
                <c:pt idx="13">
                  <c:v>140.29158080659406</c:v>
                </c:pt>
                <c:pt idx="14">
                  <c:v>133.31780142142242</c:v>
                </c:pt>
              </c:numCache>
            </c:numRef>
          </c:val>
          <c:smooth val="0"/>
          <c:extLst>
            <c:ext xmlns:c16="http://schemas.microsoft.com/office/drawing/2014/chart" uri="{C3380CC4-5D6E-409C-BE32-E72D297353CC}">
              <c16:uniqueId val="{00000001-B0BB-4AF7-80FF-E7DD5D81E783}"/>
            </c:ext>
          </c:extLst>
        </c:ser>
        <c:dLbls>
          <c:showLegendKey val="0"/>
          <c:showVal val="0"/>
          <c:showCatName val="0"/>
          <c:showSerName val="0"/>
          <c:showPercent val="0"/>
          <c:showBubbleSize val="0"/>
        </c:dLbls>
        <c:marker val="1"/>
        <c:smooth val="0"/>
        <c:axId val="658942008"/>
        <c:axId val="658940040"/>
      </c:lineChart>
      <c:catAx>
        <c:axId val="201613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01613680"/>
        <c:crosses val="autoZero"/>
        <c:auto val="1"/>
        <c:lblAlgn val="ctr"/>
        <c:lblOffset val="100"/>
        <c:noMultiLvlLbl val="0"/>
      </c:catAx>
      <c:valAx>
        <c:axId val="201613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01613352"/>
        <c:crosses val="autoZero"/>
        <c:crossBetween val="between"/>
      </c:valAx>
      <c:valAx>
        <c:axId val="658940040"/>
        <c:scaling>
          <c:orientation val="minMax"/>
          <c:min val="10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58942008"/>
        <c:crosses val="max"/>
        <c:crossBetween val="between"/>
      </c:valAx>
      <c:catAx>
        <c:axId val="658942008"/>
        <c:scaling>
          <c:orientation val="minMax"/>
        </c:scaling>
        <c:delete val="1"/>
        <c:axPos val="b"/>
        <c:numFmt formatCode="General" sourceLinked="1"/>
        <c:majorTickMark val="out"/>
        <c:minorTickMark val="none"/>
        <c:tickLblPos val="nextTo"/>
        <c:crossAx val="6589400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UMAR barve 2">
    <a:dk1>
      <a:sysClr val="windowText" lastClr="000000"/>
    </a:dk1>
    <a:lt1>
      <a:sysClr val="window" lastClr="FFFFFF"/>
    </a:lt1>
    <a:dk2>
      <a:srgbClr val="44546A"/>
    </a:dk2>
    <a:lt2>
      <a:srgbClr val="DBDBDB"/>
    </a:lt2>
    <a:accent1>
      <a:srgbClr val="9E001A"/>
    </a:accent1>
    <a:accent2>
      <a:srgbClr val="D99694"/>
    </a:accent2>
    <a:accent3>
      <a:srgbClr val="949494"/>
    </a:accent3>
    <a:accent4>
      <a:srgbClr val="535353"/>
    </a:accent4>
    <a:accent5>
      <a:srgbClr val="3F8B94"/>
    </a:accent5>
    <a:accent6>
      <a:srgbClr val="9FCDAB"/>
    </a:accent6>
    <a:hlink>
      <a:srgbClr val="0563C1"/>
    </a:hlink>
    <a:folHlink>
      <a:srgbClr val="954F72"/>
    </a:folHlink>
  </a:clrScheme>
  <a:fontScheme name="UMAR pisav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UMAR barve 2">
    <a:dk1>
      <a:sysClr val="windowText" lastClr="000000"/>
    </a:dk1>
    <a:lt1>
      <a:sysClr val="window" lastClr="FFFFFF"/>
    </a:lt1>
    <a:dk2>
      <a:srgbClr val="44546A"/>
    </a:dk2>
    <a:lt2>
      <a:srgbClr val="DBDBDB"/>
    </a:lt2>
    <a:accent1>
      <a:srgbClr val="9E001A"/>
    </a:accent1>
    <a:accent2>
      <a:srgbClr val="D99694"/>
    </a:accent2>
    <a:accent3>
      <a:srgbClr val="949494"/>
    </a:accent3>
    <a:accent4>
      <a:srgbClr val="535353"/>
    </a:accent4>
    <a:accent5>
      <a:srgbClr val="3F8B94"/>
    </a:accent5>
    <a:accent6>
      <a:srgbClr val="9FCDAB"/>
    </a:accent6>
    <a:hlink>
      <a:srgbClr val="0563C1"/>
    </a:hlink>
    <a:folHlink>
      <a:srgbClr val="954F72"/>
    </a:folHlink>
  </a:clrScheme>
  <a:fontScheme name="UMAR pisav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UMAR barve 2">
    <a:dk1>
      <a:sysClr val="windowText" lastClr="000000"/>
    </a:dk1>
    <a:lt1>
      <a:sysClr val="window" lastClr="FFFFFF"/>
    </a:lt1>
    <a:dk2>
      <a:srgbClr val="44546A"/>
    </a:dk2>
    <a:lt2>
      <a:srgbClr val="DBDBDB"/>
    </a:lt2>
    <a:accent1>
      <a:srgbClr val="9E001A"/>
    </a:accent1>
    <a:accent2>
      <a:srgbClr val="D99694"/>
    </a:accent2>
    <a:accent3>
      <a:srgbClr val="949494"/>
    </a:accent3>
    <a:accent4>
      <a:srgbClr val="535353"/>
    </a:accent4>
    <a:accent5>
      <a:srgbClr val="3F8B94"/>
    </a:accent5>
    <a:accent6>
      <a:srgbClr val="9FCDAB"/>
    </a:accent6>
    <a:hlink>
      <a:srgbClr val="0563C1"/>
    </a:hlink>
    <a:folHlink>
      <a:srgbClr val="954F72"/>
    </a:folHlink>
  </a:clrScheme>
  <a:fontScheme name="UMAR pisav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UMAR barve 2">
    <a:dk1>
      <a:sysClr val="windowText" lastClr="000000"/>
    </a:dk1>
    <a:lt1>
      <a:sysClr val="window" lastClr="FFFFFF"/>
    </a:lt1>
    <a:dk2>
      <a:srgbClr val="44546A"/>
    </a:dk2>
    <a:lt2>
      <a:srgbClr val="DBDBDB"/>
    </a:lt2>
    <a:accent1>
      <a:srgbClr val="9E001A"/>
    </a:accent1>
    <a:accent2>
      <a:srgbClr val="D99694"/>
    </a:accent2>
    <a:accent3>
      <a:srgbClr val="949494"/>
    </a:accent3>
    <a:accent4>
      <a:srgbClr val="535353"/>
    </a:accent4>
    <a:accent5>
      <a:srgbClr val="3F8B94"/>
    </a:accent5>
    <a:accent6>
      <a:srgbClr val="9FCDAB"/>
    </a:accent6>
    <a:hlink>
      <a:srgbClr val="0563C1"/>
    </a:hlink>
    <a:folHlink>
      <a:srgbClr val="954F72"/>
    </a:folHlink>
  </a:clrScheme>
  <a:fontScheme name="UMAR pisav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UMAR barve 2">
    <a:dk1>
      <a:sysClr val="windowText" lastClr="000000"/>
    </a:dk1>
    <a:lt1>
      <a:sysClr val="window" lastClr="FFFFFF"/>
    </a:lt1>
    <a:dk2>
      <a:srgbClr val="44546A"/>
    </a:dk2>
    <a:lt2>
      <a:srgbClr val="DBDBDB"/>
    </a:lt2>
    <a:accent1>
      <a:srgbClr val="9E001A"/>
    </a:accent1>
    <a:accent2>
      <a:srgbClr val="D99694"/>
    </a:accent2>
    <a:accent3>
      <a:srgbClr val="949494"/>
    </a:accent3>
    <a:accent4>
      <a:srgbClr val="535353"/>
    </a:accent4>
    <a:accent5>
      <a:srgbClr val="3F8B94"/>
    </a:accent5>
    <a:accent6>
      <a:srgbClr val="9FCDAB"/>
    </a:accent6>
    <a:hlink>
      <a:srgbClr val="0563C1"/>
    </a:hlink>
    <a:folHlink>
      <a:srgbClr val="954F72"/>
    </a:folHlink>
  </a:clrScheme>
  <a:fontScheme name="UMAR pisav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UMAR barve 2">
    <a:dk1>
      <a:sysClr val="windowText" lastClr="000000"/>
    </a:dk1>
    <a:lt1>
      <a:sysClr val="window" lastClr="FFFFFF"/>
    </a:lt1>
    <a:dk2>
      <a:srgbClr val="44546A"/>
    </a:dk2>
    <a:lt2>
      <a:srgbClr val="DBDBDB"/>
    </a:lt2>
    <a:accent1>
      <a:srgbClr val="9E001A"/>
    </a:accent1>
    <a:accent2>
      <a:srgbClr val="D99694"/>
    </a:accent2>
    <a:accent3>
      <a:srgbClr val="949494"/>
    </a:accent3>
    <a:accent4>
      <a:srgbClr val="535353"/>
    </a:accent4>
    <a:accent5>
      <a:srgbClr val="3F8B94"/>
    </a:accent5>
    <a:accent6>
      <a:srgbClr val="9FCDAB"/>
    </a:accent6>
    <a:hlink>
      <a:srgbClr val="0563C1"/>
    </a:hlink>
    <a:folHlink>
      <a:srgbClr val="954F72"/>
    </a:folHlink>
  </a:clrScheme>
  <a:fontScheme name="UMAR pisav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45E2E3-D8F9-48A9-9891-C0AAF7DA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31</Pages>
  <Words>7924</Words>
  <Characters>45171</Characters>
  <Application>Microsoft Office Word</Application>
  <DocSecurity>0</DocSecurity>
  <Lines>376</Lines>
  <Paragraphs>105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Knez</dc:creator>
  <cp:keywords/>
  <dc:description/>
  <cp:lastModifiedBy>Mojca Kustec</cp:lastModifiedBy>
  <cp:revision>4</cp:revision>
  <cp:lastPrinted>2023-01-26T13:53:00Z</cp:lastPrinted>
  <dcterms:created xsi:type="dcterms:W3CDTF">2023-02-15T12:37:00Z</dcterms:created>
  <dcterms:modified xsi:type="dcterms:W3CDTF">2023-02-15T13:19:00Z</dcterms:modified>
</cp:coreProperties>
</file>