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Pr="00681AED" w:rsidRDefault="00674066" w:rsidP="00681AED">
      <w:pPr>
        <w:spacing w:after="0" w:line="260" w:lineRule="atLeast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681AED">
        <w:rPr>
          <w:b/>
          <w:sz w:val="20"/>
          <w:szCs w:val="20"/>
          <w:u w:val="single"/>
        </w:rPr>
        <w:t>Mesečni pogled na izplačane bruto plače in število zapos</w:t>
      </w:r>
      <w:r w:rsidR="00C44A31" w:rsidRPr="00681AED">
        <w:rPr>
          <w:b/>
          <w:sz w:val="20"/>
          <w:szCs w:val="20"/>
          <w:u w:val="single"/>
        </w:rPr>
        <w:t>l</w:t>
      </w:r>
      <w:r w:rsidR="008C433E" w:rsidRPr="00681AED">
        <w:rPr>
          <w:b/>
          <w:sz w:val="20"/>
          <w:szCs w:val="20"/>
          <w:u w:val="single"/>
        </w:rPr>
        <w:t>eni</w:t>
      </w:r>
      <w:r w:rsidR="00BE005F" w:rsidRPr="00681AED">
        <w:rPr>
          <w:b/>
          <w:sz w:val="20"/>
          <w:szCs w:val="20"/>
          <w:u w:val="single"/>
        </w:rPr>
        <w:t xml:space="preserve">h v javnem sektorju  – </w:t>
      </w:r>
      <w:r w:rsidR="00066BAE" w:rsidRPr="00681AED">
        <w:rPr>
          <w:b/>
          <w:sz w:val="20"/>
          <w:szCs w:val="20"/>
          <w:u w:val="single"/>
        </w:rPr>
        <w:t>april</w:t>
      </w:r>
    </w:p>
    <w:p w:rsidR="00674066" w:rsidRPr="00681AED" w:rsidRDefault="007A7FCD" w:rsidP="00681AED">
      <w:pPr>
        <w:spacing w:after="0" w:line="260" w:lineRule="atLeast"/>
        <w:jc w:val="center"/>
        <w:rPr>
          <w:b/>
          <w:sz w:val="20"/>
          <w:szCs w:val="20"/>
          <w:u w:val="single"/>
        </w:rPr>
      </w:pPr>
      <w:r w:rsidRPr="00681AED">
        <w:rPr>
          <w:b/>
          <w:sz w:val="20"/>
          <w:szCs w:val="20"/>
          <w:u w:val="single"/>
        </w:rPr>
        <w:t>20</w:t>
      </w:r>
      <w:r w:rsidR="000A2BC0" w:rsidRPr="00681AED">
        <w:rPr>
          <w:b/>
          <w:sz w:val="20"/>
          <w:szCs w:val="20"/>
          <w:u w:val="single"/>
        </w:rPr>
        <w:t>20</w:t>
      </w:r>
    </w:p>
    <w:p w:rsidR="000A2BC0" w:rsidRPr="003377F8" w:rsidRDefault="000A2BC0" w:rsidP="007F273B"/>
    <w:p w:rsidR="00674066" w:rsidRDefault="00674066" w:rsidP="007F273B"/>
    <w:p w:rsidR="00674066" w:rsidRDefault="00674066" w:rsidP="007F273B"/>
    <w:p w:rsidR="005C3E0C" w:rsidRDefault="005C3E0C" w:rsidP="007F273B"/>
    <w:p w:rsidR="005C3E0C" w:rsidRDefault="005C3E0C" w:rsidP="007F273B"/>
    <w:p w:rsidR="00674066" w:rsidRPr="00681AED" w:rsidRDefault="00674066" w:rsidP="00681AED">
      <w:pPr>
        <w:spacing w:after="0" w:line="260" w:lineRule="atLeast"/>
        <w:rPr>
          <w:sz w:val="20"/>
          <w:szCs w:val="20"/>
          <w:u w:val="single"/>
        </w:rPr>
      </w:pPr>
      <w:r w:rsidRPr="00681AED">
        <w:rPr>
          <w:sz w:val="20"/>
          <w:szCs w:val="20"/>
          <w:u w:val="single"/>
        </w:rPr>
        <w:t xml:space="preserve">1 Masa bruto plač </w:t>
      </w:r>
    </w:p>
    <w:p w:rsidR="00B634C3" w:rsidRDefault="00B634C3" w:rsidP="007F273B"/>
    <w:p w:rsidR="00674066" w:rsidRPr="00681AED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Tabela 1: Struktura mase bruto plač</w:t>
      </w:r>
    </w:p>
    <w:p w:rsidR="00674066" w:rsidRDefault="00674066" w:rsidP="007F273B"/>
    <w:tbl>
      <w:tblPr>
        <w:tblW w:w="9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233"/>
        <w:gridCol w:w="1134"/>
        <w:gridCol w:w="1065"/>
        <w:gridCol w:w="1134"/>
        <w:gridCol w:w="1320"/>
      </w:tblGrid>
      <w:tr w:rsidR="00C21FBE" w:rsidRPr="00EE1A35" w:rsidTr="00C21FBE">
        <w:trPr>
          <w:trHeight w:val="255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Struktura mase bruto plač in nadomestil plače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v €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Sprememba, v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Sprememba, v €</w:t>
            </w:r>
          </w:p>
        </w:tc>
      </w:tr>
      <w:tr w:rsidR="00C21FBE" w:rsidRPr="00EE1A35" w:rsidTr="00C21FBE">
        <w:trPr>
          <w:trHeight w:val="225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FBE" w:rsidRPr="00EE1A35" w:rsidRDefault="00C21FBE" w:rsidP="007F273B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III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IV 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IV 20 / IV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IV 20 / III 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IV 20 - III 20</w:t>
            </w:r>
          </w:p>
        </w:tc>
      </w:tr>
      <w:tr w:rsidR="00C21FBE" w:rsidRPr="00EE1A35" w:rsidTr="00681AED">
        <w:trPr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681AED">
            <w:pPr>
              <w:spacing w:after="0" w:line="240" w:lineRule="auto"/>
              <w:jc w:val="center"/>
            </w:pPr>
            <w:r w:rsidRPr="00EE1A35">
              <w:t xml:space="preserve">Redno </w:t>
            </w:r>
            <w:r w:rsidRPr="00EE1A35">
              <w:rPr>
                <w:color w:val="auto"/>
              </w:rPr>
              <w:t>delo</w:t>
            </w:r>
            <w:r w:rsidRPr="00EE1A35">
              <w:t xml:space="preserve"> z nadomestili (dopusti, prazniki)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288.459.834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267.770.498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-20.689.337</w:t>
            </w:r>
          </w:p>
        </w:tc>
      </w:tr>
      <w:tr w:rsidR="00C21FBE" w:rsidRPr="00EE1A35" w:rsidTr="00681AED">
        <w:trPr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Dodatki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43.946.272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74.520.518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30.574.246</w:t>
            </w:r>
          </w:p>
        </w:tc>
      </w:tr>
      <w:tr w:rsidR="00C21FBE" w:rsidRPr="00EE1A35" w:rsidTr="00681AED">
        <w:trPr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Vse vrste delovne uspešnosti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9.864.467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7.539.526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-2.324.940</w:t>
            </w:r>
          </w:p>
        </w:tc>
      </w:tr>
      <w:tr w:rsidR="00C21FBE" w:rsidRPr="00EE1A35" w:rsidTr="00681AED">
        <w:trPr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Delo preko polnega delovnega časa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9.441.903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9.203.048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-238.854</w:t>
            </w:r>
          </w:p>
        </w:tc>
      </w:tr>
      <w:tr w:rsidR="00C21FBE" w:rsidRPr="00EE1A35" w:rsidTr="00681AED">
        <w:trPr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Dežurno delo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1.354.862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1.349.569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-5.293</w:t>
            </w:r>
          </w:p>
        </w:tc>
      </w:tr>
      <w:tr w:rsidR="00C21FBE" w:rsidRPr="00EE1A35" w:rsidTr="00681AED">
        <w:trPr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Nadomestila v breme delodajalca-boleznine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19.410.416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44.237.492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24.827.076</w:t>
            </w:r>
          </w:p>
        </w:tc>
      </w:tr>
      <w:tr w:rsidR="00C21FBE" w:rsidRPr="00EE1A35" w:rsidTr="00681AED">
        <w:trPr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Skupaj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372.477.754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404.620.651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32.142.897</w:t>
            </w:r>
          </w:p>
        </w:tc>
      </w:tr>
    </w:tbl>
    <w:p w:rsidR="00674066" w:rsidRDefault="00674066" w:rsidP="007F273B">
      <w:r w:rsidRPr="002A52D4">
        <w:t>Vir: ISPAP</w:t>
      </w:r>
      <w:r w:rsidR="0019591A">
        <w:t>.</w:t>
      </w:r>
    </w:p>
    <w:p w:rsidR="006A4900" w:rsidRDefault="006A4900" w:rsidP="007F273B">
      <w:pPr>
        <w:pStyle w:val="Odstavekseznama"/>
        <w:numPr>
          <w:ilvl w:val="0"/>
          <w:numId w:val="3"/>
        </w:numPr>
      </w:pPr>
      <w:bookmarkStart w:id="1" w:name="_Hlk515526294"/>
      <w:bookmarkStart w:id="2" w:name="_Hlk34135540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C21FBE">
        <w:t>februarja</w:t>
      </w:r>
      <w:r>
        <w:t xml:space="preserve"> 20</w:t>
      </w:r>
      <w:bookmarkEnd w:id="1"/>
      <w:r w:rsidR="0003461A">
        <w:t>20</w:t>
      </w:r>
    </w:p>
    <w:bookmarkEnd w:id="2"/>
    <w:p w:rsidR="0053505B" w:rsidRPr="002A52D4" w:rsidRDefault="00E238D2" w:rsidP="007F273B">
      <w:r>
        <w:t>V mesecu aprilu se je močno spremenila struktura mase plač. Razlog je iskati v ukrepih vlade</w:t>
      </w:r>
      <w:r w:rsidR="00A753C4">
        <w:t xml:space="preserve"> za omilitev posledic </w:t>
      </w:r>
      <w:r w:rsidR="00A753C4" w:rsidRPr="00A753C4">
        <w:t xml:space="preserve">razglasitve epidemije </w:t>
      </w:r>
      <w:proofErr w:type="spellStart"/>
      <w:r w:rsidR="00A753C4" w:rsidRPr="00A753C4">
        <w:t>koronavirusne</w:t>
      </w:r>
      <w:proofErr w:type="spellEnd"/>
      <w:r w:rsidR="00A753C4" w:rsidRPr="00A753C4">
        <w:t xml:space="preserve"> bolezni na območju Republike Slovenije</w:t>
      </w:r>
      <w:r w:rsidR="00A753C4">
        <w:t>.</w:t>
      </w:r>
      <w:r w:rsidR="00A753C4" w:rsidRPr="00A753C4">
        <w:t xml:space="preserve">  </w:t>
      </w:r>
      <w:r w:rsidR="00A753C4">
        <w:t>Na spremembo strukture mase plač so najizraziteje vplivali dodatki in nadomestila v breme delodajalcev. Obseg rednega dela se je zmanjšal na račun nadomestil</w:t>
      </w:r>
      <w:r w:rsidR="00EE1A35">
        <w:t xml:space="preserve"> plače</w:t>
      </w:r>
      <w:r w:rsidR="00A753C4">
        <w:t xml:space="preserve">, ki so jih zaposleni prejeli </w:t>
      </w:r>
      <w:r w:rsidR="004A4E4F">
        <w:t>v višini 38 mio. EUR</w:t>
      </w:r>
      <w:r w:rsidR="00153A18">
        <w:t>, in sicer predvsem za čakanje na delo doma</w:t>
      </w:r>
      <w:r w:rsidR="004A4E4F">
        <w:t xml:space="preserve"> in za </w:t>
      </w:r>
      <w:r w:rsidR="00153A18">
        <w:t>odrejen</w:t>
      </w:r>
      <w:r w:rsidR="004A4E4F">
        <w:t>o</w:t>
      </w:r>
      <w:r w:rsidR="00153A18">
        <w:t xml:space="preserve"> karanten</w:t>
      </w:r>
      <w:r w:rsidR="004A4E4F">
        <w:t>o. Dodatki so višji zaradi dveh dodatkov, ki sta znašala 45 mio. EUR</w:t>
      </w:r>
      <w:r w:rsidR="00230014">
        <w:t xml:space="preserve"> (dodatek za delo v rizičnih razmerah in </w:t>
      </w:r>
      <w:r w:rsidR="00230014" w:rsidRPr="00230014">
        <w:t>nov</w:t>
      </w:r>
      <w:r w:rsidR="00230014">
        <w:t>i</w:t>
      </w:r>
      <w:r w:rsidR="00230014" w:rsidRPr="00230014">
        <w:t xml:space="preserve"> dodat</w:t>
      </w:r>
      <w:r w:rsidR="00230014">
        <w:t>e</w:t>
      </w:r>
      <w:r w:rsidR="00230014" w:rsidRPr="00230014">
        <w:t>k za nevarnost in posebn</w:t>
      </w:r>
      <w:r w:rsidR="00230014">
        <w:t>e</w:t>
      </w:r>
      <w:r w:rsidR="00230014" w:rsidRPr="00230014">
        <w:t xml:space="preserve"> obremenitve v času epidemije</w:t>
      </w:r>
      <w:r w:rsidR="00230014">
        <w:t>).</w:t>
      </w:r>
    </w:p>
    <w:p w:rsidR="00EE1A35" w:rsidRDefault="00EE1A35" w:rsidP="00681AED">
      <w:pPr>
        <w:spacing w:after="0" w:line="260" w:lineRule="atLeast"/>
        <w:rPr>
          <w:sz w:val="20"/>
          <w:szCs w:val="20"/>
        </w:rPr>
      </w:pPr>
    </w:p>
    <w:p w:rsidR="00674066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Slika 1: Stru</w:t>
      </w:r>
      <w:r w:rsidR="0019591A" w:rsidRPr="00681AED">
        <w:rPr>
          <w:sz w:val="20"/>
          <w:szCs w:val="20"/>
        </w:rPr>
        <w:t xml:space="preserve">ktura mase bruto plač v % </w:t>
      </w:r>
    </w:p>
    <w:p w:rsidR="00681AED" w:rsidRPr="00681AED" w:rsidRDefault="00681AED" w:rsidP="00681AED">
      <w:pPr>
        <w:spacing w:after="0" w:line="260" w:lineRule="atLeast"/>
        <w:rPr>
          <w:sz w:val="20"/>
          <w:szCs w:val="20"/>
        </w:rPr>
      </w:pPr>
    </w:p>
    <w:p w:rsidR="002115BF" w:rsidRDefault="007F273B" w:rsidP="007F273B">
      <w:r>
        <w:rPr>
          <w:noProof/>
        </w:rPr>
        <w:drawing>
          <wp:inline distT="0" distB="0" distL="0" distR="0" wp14:anchorId="0F26B9AF">
            <wp:extent cx="5547360" cy="34137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63" cy="3482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4C3" w:rsidRDefault="00674066" w:rsidP="00681AED">
      <w:pPr>
        <w:spacing w:after="0" w:line="260" w:lineRule="atLeast"/>
        <w:rPr>
          <w:sz w:val="20"/>
          <w:szCs w:val="20"/>
          <w:u w:val="single"/>
        </w:rPr>
      </w:pPr>
      <w:r w:rsidRPr="00681AED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681AED" w:rsidRPr="00681AED" w:rsidRDefault="00681AED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674066" w:rsidP="00681AED">
      <w:pPr>
        <w:spacing w:after="0" w:line="260" w:lineRule="atLeast"/>
        <w:rPr>
          <w:sz w:val="20"/>
          <w:szCs w:val="20"/>
        </w:rPr>
      </w:pPr>
      <w:r w:rsidRPr="00EE1A35">
        <w:rPr>
          <w:sz w:val="20"/>
          <w:szCs w:val="20"/>
        </w:rPr>
        <w:t>Tabela 2: Masa bruto plač po plačnih podskupinah, v €</w:t>
      </w:r>
    </w:p>
    <w:p w:rsidR="00E81CF9" w:rsidRPr="00EE1A35" w:rsidRDefault="00E81CF9" w:rsidP="00681AED">
      <w:pPr>
        <w:spacing w:after="0" w:line="260" w:lineRule="atLeast"/>
        <w:rPr>
          <w:sz w:val="20"/>
          <w:szCs w:val="20"/>
        </w:rPr>
      </w:pPr>
    </w:p>
    <w:tbl>
      <w:tblPr>
        <w:tblW w:w="9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354"/>
        <w:gridCol w:w="1201"/>
        <w:gridCol w:w="1201"/>
        <w:gridCol w:w="960"/>
        <w:gridCol w:w="941"/>
      </w:tblGrid>
      <w:tr w:rsidR="00C21FBE" w:rsidRPr="00EE1A35" w:rsidTr="00681AED">
        <w:trPr>
          <w:trHeight w:val="435"/>
          <w:tblHeader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FBE" w:rsidRPr="00EE1A35" w:rsidRDefault="00C21FBE" w:rsidP="007F273B">
            <w:r w:rsidRPr="00EE1A35">
              <w:t>Plačne podskupine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EE1A35" w:rsidRDefault="00C21FBE" w:rsidP="007F273B">
            <w:r w:rsidRPr="00EE1A35">
              <w:t xml:space="preserve"> Masa bruto plač €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EE1A35" w:rsidRDefault="00C21FBE" w:rsidP="007F273B">
            <w:r w:rsidRPr="00EE1A35">
              <w:t>Sprememba, v %</w:t>
            </w:r>
          </w:p>
        </w:tc>
      </w:tr>
      <w:tr w:rsidR="00C21FBE" w:rsidRPr="00EE1A35" w:rsidTr="00681AED">
        <w:trPr>
          <w:trHeight w:val="104"/>
          <w:tblHeader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FBE" w:rsidRPr="00EE1A35" w:rsidRDefault="00C21FBE" w:rsidP="007F273B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center"/>
            </w:pPr>
            <w:r w:rsidRPr="00EE1A35">
              <w:t>IV 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center"/>
            </w:pPr>
            <w:r w:rsidRPr="00EE1A35">
              <w:t>III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IV 20 / VI 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7F273B">
            <w:r w:rsidRPr="00EE1A35">
              <w:t>IV 20 / III 20</w:t>
            </w:r>
          </w:p>
        </w:tc>
      </w:tr>
      <w:tr w:rsidR="00C21FBE" w:rsidRPr="00EE1A35" w:rsidTr="00681AED">
        <w:trPr>
          <w:trHeight w:val="450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Predsednik republike in funkcionarji izvršilne oblasti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A1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374.986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289.047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29,7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Funkcionarji zakonodajne oblasti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A2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412.102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405.690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1,6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Funkcionarji sodne oblasti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A3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3.369.617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3.382.536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-0,4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Funkcionarji v drugih državnih organih (tožilstvo)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A4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1.125.797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1.077.692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4,5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Funkcionarji v lokalnih skupnostih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A5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604.683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583.247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3,7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Ravnatelji, direktorji in tajniki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B1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8.558.906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8.013.342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6,8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Uradniki v drugih državnih organih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C1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1.883.127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1.824.153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3,2</w:t>
            </w:r>
          </w:p>
        </w:tc>
      </w:tr>
      <w:tr w:rsidR="00C21FBE" w:rsidRPr="00EE1A35" w:rsidTr="00681AED">
        <w:trPr>
          <w:trHeight w:val="450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Uradniki v državni upravi, upravah pravosodnih organov in upravah lokalnih skupnosti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C2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29.665.828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28.840.523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2,9</w:t>
            </w:r>
          </w:p>
        </w:tc>
      </w:tr>
      <w:tr w:rsidR="00C21FBE" w:rsidRPr="00EE1A35" w:rsidTr="00681AED">
        <w:trPr>
          <w:trHeight w:val="184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Policisti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C3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21.182.834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16.605.029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27,6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Vojaki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C4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14.379.558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12.725.427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13,0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Uradniki finančne uprave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C5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6.377.308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6.323.798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0,8</w:t>
            </w:r>
          </w:p>
        </w:tc>
      </w:tr>
      <w:tr w:rsidR="00C21FBE" w:rsidRPr="00EE1A35" w:rsidTr="00681AED">
        <w:trPr>
          <w:trHeight w:val="240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Inšpektorji, pravosodni policisti in drugi uradniki s posebnimi pooblastili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C6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4.929.327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4.433.304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11,2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Diplomati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C7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741.029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728.270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1,8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Visokošolski učitelji in visokošolski sodelavci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D1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13.340.361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13.320.535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0,1</w:t>
            </w:r>
          </w:p>
        </w:tc>
      </w:tr>
      <w:tr w:rsidR="00C21FBE" w:rsidRPr="00EE1A35" w:rsidTr="00681AED">
        <w:trPr>
          <w:trHeight w:val="450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Predavatelji višjih strokovnih šol, srednješolski in osnovnošolski učitelji in drugi strokovni 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D2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65.622.305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66.757.161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-1,7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Vzgojitelji in ostali strokovni delavci v vrtcih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D3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15.109.462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17.163.932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-12,0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Zdravniki in zobozdravniki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E1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36.725.797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29.472.780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24,6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Farmacevtski 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E2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5.414.622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4.437.653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22,0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Medicinske sestre in babice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E3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47.351.383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36.770.093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28,8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Zdravstveni delavci in zdravstveni sodelavci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E4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14.668.547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12.502.614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17,3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Strokovni 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F1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3.594.672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3.430.294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4,8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Strokovni sodelavci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F2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14.916.017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12.162.160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22,6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Umetniški poklici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G1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2.201.951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2.452.208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-10,2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Drugi poklici na področju kulture in informiranja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G2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8.563.233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8.645.774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-1,0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Raziskovalci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H1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7.384.923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7.343.397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0,6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Strokovni sodelavci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H2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672.943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681.833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-1,3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Strokovni 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I1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10.840.093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10.770.107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0,6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Strokovni delavci-Spremljajoča delovna mesta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J1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23.907.169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22.632.255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5,6</w:t>
            </w:r>
          </w:p>
        </w:tc>
      </w:tr>
      <w:tr w:rsidR="00C21FBE" w:rsidRPr="00EE1A35" w:rsidTr="00681AED">
        <w:trPr>
          <w:trHeight w:val="450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Administrativni delavci-Spremljajoča delovna mesta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J2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9.610.503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8.933.680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7,6</w:t>
            </w:r>
          </w:p>
        </w:tc>
      </w:tr>
      <w:tr w:rsidR="00C21FBE" w:rsidRPr="00EE1A35" w:rsidTr="00681AED">
        <w:trPr>
          <w:trHeight w:val="450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Ostali strokovno tehnični delavci-Spremljajoča delovna mesta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J3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26.041.841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25.014.639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4,1</w:t>
            </w:r>
          </w:p>
        </w:tc>
      </w:tr>
      <w:tr w:rsidR="00C21FBE" w:rsidRPr="00EE1A35" w:rsidTr="00681AED">
        <w:trPr>
          <w:trHeight w:val="255"/>
        </w:trPr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FBE" w:rsidRPr="00EE1A35" w:rsidRDefault="00C21FBE" w:rsidP="007F273B">
            <w:r w:rsidRPr="00EE1A35">
              <w:t>Strokovni delavci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EE1A35" w:rsidRDefault="00C21FBE" w:rsidP="007F273B">
            <w:r w:rsidRPr="00EE1A35">
              <w:t>K1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5.049.726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4.754.578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6,2</w:t>
            </w:r>
          </w:p>
        </w:tc>
      </w:tr>
      <w:tr w:rsidR="00C21FBE" w:rsidRPr="00EE1A35" w:rsidTr="00681AED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FBE" w:rsidRPr="00EE1A35" w:rsidRDefault="00C21FBE" w:rsidP="007F273B">
            <w:r w:rsidRPr="00EE1A35">
              <w:t>Skupaj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404.620.651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372.477.754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8,6</w:t>
            </w:r>
          </w:p>
        </w:tc>
      </w:tr>
    </w:tbl>
    <w:p w:rsidR="00674066" w:rsidRDefault="0053505B" w:rsidP="007F273B">
      <w:r w:rsidRPr="0053505B">
        <w:t>Vir: ISPAP</w:t>
      </w:r>
      <w:r w:rsidR="0019591A">
        <w:t>.</w:t>
      </w:r>
    </w:p>
    <w:p w:rsidR="00EF40A8" w:rsidRDefault="00AA23BE" w:rsidP="00E533FA">
      <w:pPr>
        <w:pStyle w:val="Odstavekseznama"/>
        <w:numPr>
          <w:ilvl w:val="0"/>
          <w:numId w:val="3"/>
        </w:numPr>
      </w:pPr>
      <w:bookmarkStart w:id="3" w:name="_Hlk34135612"/>
      <w:r>
        <w:lastRenderedPageBreak/>
        <w:t xml:space="preserve">V masi bruto plač so upoštevana tudi zaostala izplačila – izplačila starejša od </w:t>
      </w:r>
      <w:r w:rsidR="00C21FBE">
        <w:t>februarja</w:t>
      </w:r>
      <w:r w:rsidR="0003461A">
        <w:t xml:space="preserve"> 2020</w:t>
      </w:r>
      <w:r w:rsidR="00EE1A35">
        <w:t xml:space="preserve">. </w:t>
      </w:r>
      <w:bookmarkEnd w:id="3"/>
      <w:r w:rsidR="007F273B">
        <w:t>V</w:t>
      </w:r>
      <w:r w:rsidR="007F273B" w:rsidRPr="007F273B">
        <w:t xml:space="preserve"> času epidemije </w:t>
      </w:r>
      <w:r w:rsidR="007F273B">
        <w:t>so bila n</w:t>
      </w:r>
      <w:r w:rsidR="00230014">
        <w:t xml:space="preserve">ajbolj izpostavljena delovna mesta </w:t>
      </w:r>
      <w:r w:rsidR="00C81994">
        <w:t>plačni</w:t>
      </w:r>
      <w:r w:rsidR="007F273B">
        <w:t>h</w:t>
      </w:r>
      <w:r w:rsidR="00C81994">
        <w:t xml:space="preserve"> podskupin E3, F2, E1 in C3. Masa plač </w:t>
      </w:r>
      <w:r w:rsidR="00EE1A35">
        <w:t xml:space="preserve">navedenih plačnih podskupin </w:t>
      </w:r>
      <w:r w:rsidR="00C81994">
        <w:t xml:space="preserve">se je močno povečala zaradi dodatkov za delo v rizičnih razmerah. </w:t>
      </w:r>
    </w:p>
    <w:p w:rsidR="0025584A" w:rsidRDefault="0025584A" w:rsidP="00681AED">
      <w:pPr>
        <w:spacing w:after="0" w:line="260" w:lineRule="atLeast"/>
        <w:rPr>
          <w:sz w:val="20"/>
          <w:szCs w:val="20"/>
        </w:rPr>
      </w:pPr>
    </w:p>
    <w:p w:rsidR="0025584A" w:rsidRDefault="0025584A" w:rsidP="00681AED">
      <w:pPr>
        <w:spacing w:after="0" w:line="260" w:lineRule="atLeast"/>
        <w:rPr>
          <w:sz w:val="20"/>
          <w:szCs w:val="20"/>
        </w:rPr>
      </w:pPr>
    </w:p>
    <w:p w:rsidR="004963F4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Tabela 3: Masa bruto plač za organe državne uprave in javne zavode</w:t>
      </w:r>
    </w:p>
    <w:p w:rsidR="0025584A" w:rsidRPr="00681AED" w:rsidRDefault="0025584A" w:rsidP="00681AED">
      <w:pPr>
        <w:spacing w:after="0" w:line="260" w:lineRule="atLeast"/>
        <w:rPr>
          <w:sz w:val="20"/>
          <w:szCs w:val="20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130"/>
        <w:gridCol w:w="1130"/>
        <w:gridCol w:w="1069"/>
        <w:gridCol w:w="1091"/>
        <w:gridCol w:w="1060"/>
      </w:tblGrid>
      <w:tr w:rsidR="00C21FBE" w:rsidRPr="0025584A" w:rsidTr="0025584A">
        <w:trPr>
          <w:trHeight w:val="433"/>
          <w:tblHeader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25584A" w:rsidRDefault="00C21FBE" w:rsidP="007F273B">
            <w:r w:rsidRPr="0025584A">
              <w:t xml:space="preserve">Področja JS / obdobje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25584A" w:rsidRDefault="00C21FBE" w:rsidP="007F273B">
            <w:r w:rsidRPr="0025584A">
              <w:t xml:space="preserve"> Masa bruto plač, v €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25584A" w:rsidRDefault="00C21FBE" w:rsidP="007F273B">
            <w:r w:rsidRPr="0025584A">
              <w:t xml:space="preserve"> Sprememba, v %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25584A" w:rsidRDefault="00C21FBE" w:rsidP="007F273B">
            <w:r w:rsidRPr="0025584A">
              <w:t xml:space="preserve"> Sprememba, v € </w:t>
            </w:r>
          </w:p>
        </w:tc>
      </w:tr>
      <w:tr w:rsidR="00C21FBE" w:rsidRPr="0025584A" w:rsidTr="0025584A">
        <w:trPr>
          <w:trHeight w:val="231"/>
          <w:tblHeader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BE" w:rsidRPr="0025584A" w:rsidRDefault="00C21FBE" w:rsidP="007F273B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7F273B">
            <w:r w:rsidRPr="0025584A">
              <w:t>IV 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7F273B">
            <w:r w:rsidRPr="0025584A">
              <w:t>III 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7F273B">
            <w:r w:rsidRPr="0025584A">
              <w:t>IV 20 / III 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7F273B">
            <w:r w:rsidRPr="0025584A">
              <w:t>IV 20 / IV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7F273B">
            <w:r w:rsidRPr="0025584A">
              <w:t>IV 20 - III 20</w:t>
            </w:r>
          </w:p>
        </w:tc>
      </w:tr>
      <w:tr w:rsidR="00C21FBE" w:rsidRPr="0025584A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25584A" w:rsidRDefault="00C21FBE" w:rsidP="007F273B">
            <w:r w:rsidRPr="0025584A">
              <w:t xml:space="preserve"> Organi državne uprave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75.515.399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67.306.280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12,20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16,09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8.209.119</w:t>
            </w:r>
          </w:p>
        </w:tc>
      </w:tr>
      <w:tr w:rsidR="00C21FBE" w:rsidRPr="0025584A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1.2.1. VLADNE SLUŽBE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2.212.455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2.131.253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3,81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81.202</w:t>
            </w:r>
          </w:p>
        </w:tc>
      </w:tr>
      <w:tr w:rsidR="00C21FBE" w:rsidRPr="0025584A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1.2.2. MINISTRSTVA IN ORGANI V SESTAVI MINISTRSTEV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69.182.426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61.156.404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13,12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17,08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8.026.022</w:t>
            </w:r>
          </w:p>
        </w:tc>
      </w:tr>
      <w:tr w:rsidR="00C21FBE" w:rsidRPr="0025584A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1.2.3. UPRAVNE ENOTE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4.120.517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4.018.623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101.894</w:t>
            </w:r>
          </w:p>
        </w:tc>
      </w:tr>
      <w:tr w:rsidR="00C21FBE" w:rsidRPr="0025584A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BE" w:rsidRPr="0025584A" w:rsidRDefault="00C21FBE" w:rsidP="007F273B">
            <w:r w:rsidRPr="0025584A">
              <w:t xml:space="preserve"> Javni zavodi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294.992.372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271.713.572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23.278.799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3.1. JAVNI ZAVODI IN DRUGI IZVAJALCI JAVNIH SLUŽB S PODROČJA VZGOJE, IZOBRAŽEVANJA IN ŠPORTA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122.446.001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126.902.004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-3,51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0,73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-4.456.003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3.10. JAVNI ZAVODI IN DRUGI IZVAJALCI JAVNIH SLUŽB S PODROČJA MALEGA GOSPODARSTVA IN TURIZMA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509.949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494.000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3,23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15.949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3.11. JAVNI ZAVODI IN DRUGI IZVAJALCI JAVNIH SLUŽB S PODROČJA JAVNEGA REDA IN VARNOSTI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1.532.735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1.503.290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1,96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29.445</w:t>
            </w:r>
          </w:p>
        </w:tc>
      </w:tr>
      <w:tr w:rsidR="00C21FBE" w:rsidRPr="0025584A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3.2. JAVNI ZAVODI IN DRUGI IZVAJALCI JAVNIH SLUŽB S PODROČJA ZDRAVSTVA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119.083.220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95.374.384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24,86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42,87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23.708.836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3.3. JAVNI ZAVODI IN DRUGI IZVAJALCI JAVNIH SLUŽB S PODROČJA SOCIALNEGA VARSTVA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26.343.713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21.880.706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20,40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4.463.007</w:t>
            </w:r>
          </w:p>
        </w:tc>
      </w:tr>
      <w:tr w:rsidR="00C21FBE" w:rsidRPr="0025584A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3.4. JAVNI ZAVODI IN DRUGI IZVAJALCI JAVNIH SLUŽB S PODROČJA KULTURE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14.029.681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14.472.079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-3,06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-442.398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3.5. JAVNI ZAVODI IN DRUGI IZVAJALCI JAVNIH SLUŽB S PODROČJA RAZISKOVALNE DEJAVNOSTI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7.134.999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7.156.725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-0,30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-21.726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3.6. JAVNI ZAVODI IN DRUGI IZVAJALCI JAVNIH SLUŽB S PODROČJA KMETIJSTVA IN GOZDARSTVA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2.891.072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2.912.025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-0,72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-20.952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3.7. JAVNI ZAVODI IN DRUGI IZVAJALCI JAVNIH SLUŽB S PODROČJA OKOLJA IN PROSTORA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557.433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563.920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-1,15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-6.486</w:t>
            </w:r>
          </w:p>
        </w:tc>
      </w:tr>
      <w:tr w:rsidR="00C21FBE" w:rsidRPr="0025584A" w:rsidTr="00C71B7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E" w:rsidRPr="0025584A" w:rsidRDefault="00C21FBE" w:rsidP="007F273B">
            <w:r w:rsidRPr="0025584A">
              <w:t xml:space="preserve"> 3.9. JAVNI ZAVODI IN DRUGI IZVAJALCI JAVNIH SLUŽB S PODROČJA GOSPODARSKIH DEJAVNOSTI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463.568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454.441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9.126</w:t>
            </w:r>
          </w:p>
        </w:tc>
      </w:tr>
    </w:tbl>
    <w:p w:rsidR="0053505B" w:rsidRDefault="0053505B" w:rsidP="007F273B">
      <w:r w:rsidRPr="0053505B">
        <w:t>Vir: ISPAP</w:t>
      </w:r>
      <w:r w:rsidR="0019591A">
        <w:t>.</w:t>
      </w:r>
    </w:p>
    <w:p w:rsidR="00C81994" w:rsidRDefault="00AA23BE" w:rsidP="007F273B">
      <w:pPr>
        <w:pStyle w:val="Odstavekseznama"/>
        <w:numPr>
          <w:ilvl w:val="0"/>
          <w:numId w:val="3"/>
        </w:numPr>
      </w:pPr>
      <w:r>
        <w:t xml:space="preserve">V masi bruto plač so upoštevana tudi zaostala izplačila – izplačila starejša od </w:t>
      </w:r>
      <w:r w:rsidR="002610B1">
        <w:t>februarja</w:t>
      </w:r>
      <w:r w:rsidR="0003461A">
        <w:t xml:space="preserve"> 2020</w:t>
      </w:r>
      <w:r w:rsidR="00EE1A35">
        <w:t>.</w:t>
      </w:r>
    </w:p>
    <w:p w:rsidR="002115BF" w:rsidRDefault="00C81994" w:rsidP="007F273B">
      <w:pPr>
        <w:rPr>
          <w:sz w:val="20"/>
          <w:szCs w:val="20"/>
          <w:u w:val="single"/>
        </w:rPr>
      </w:pPr>
      <w:r w:rsidRPr="00C81994">
        <w:t>Na min</w:t>
      </w:r>
      <w:r>
        <w:t>i</w:t>
      </w:r>
      <w:r w:rsidRPr="00C81994">
        <w:t>strstvih in organih v sestavi ministrstev se je masa plač povečala zaradi dodatkov za delo v rizičnih razmerah, in sicer najizraziteje v Policiji</w:t>
      </w:r>
      <w:r>
        <w:t>. Med javnimi zavodi pa najbolj izstopa področje zdravstva in socialnega v</w:t>
      </w:r>
      <w:r w:rsidR="007F273B">
        <w:t>a</w:t>
      </w:r>
      <w:r>
        <w:t>rstva</w:t>
      </w:r>
      <w:r w:rsidR="007F273B">
        <w:t>, kar je razumljivo zaradi narave dela v času epidemije.</w:t>
      </w:r>
    </w:p>
    <w:p w:rsidR="0025584A" w:rsidRDefault="0025584A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53505B" w:rsidRDefault="00674066" w:rsidP="00681AED">
      <w:pPr>
        <w:spacing w:after="0" w:line="260" w:lineRule="atLeast"/>
        <w:rPr>
          <w:sz w:val="20"/>
          <w:szCs w:val="20"/>
          <w:u w:val="single"/>
        </w:rPr>
      </w:pPr>
      <w:r w:rsidRPr="00681AED">
        <w:rPr>
          <w:sz w:val="20"/>
          <w:szCs w:val="20"/>
          <w:u w:val="single"/>
        </w:rPr>
        <w:lastRenderedPageBreak/>
        <w:t>3 Povprečne plače</w:t>
      </w:r>
    </w:p>
    <w:p w:rsidR="0025584A" w:rsidRPr="00681AED" w:rsidRDefault="0025584A" w:rsidP="00681AED">
      <w:pPr>
        <w:spacing w:after="0" w:line="260" w:lineRule="atLeast"/>
        <w:rPr>
          <w:sz w:val="20"/>
          <w:szCs w:val="20"/>
          <w:u w:val="single"/>
        </w:rPr>
      </w:pPr>
    </w:p>
    <w:p w:rsidR="00837EB6" w:rsidRPr="0025584A" w:rsidRDefault="00674066" w:rsidP="00681AED">
      <w:pPr>
        <w:spacing w:after="0" w:line="260" w:lineRule="atLeast"/>
        <w:rPr>
          <w:sz w:val="20"/>
          <w:szCs w:val="20"/>
        </w:rPr>
      </w:pPr>
      <w:r w:rsidRPr="0025584A">
        <w:rPr>
          <w:sz w:val="20"/>
          <w:szCs w:val="20"/>
        </w:rPr>
        <w:t>T</w:t>
      </w:r>
      <w:r w:rsidR="00A427E3" w:rsidRPr="0025584A">
        <w:rPr>
          <w:sz w:val="20"/>
          <w:szCs w:val="20"/>
        </w:rPr>
        <w:t>abela 4</w:t>
      </w:r>
      <w:r w:rsidRPr="0025584A">
        <w:rPr>
          <w:sz w:val="20"/>
          <w:szCs w:val="20"/>
        </w:rPr>
        <w:t>: Povprečna pla</w:t>
      </w:r>
      <w:r w:rsidR="001071C1" w:rsidRPr="0025584A">
        <w:rPr>
          <w:sz w:val="20"/>
          <w:szCs w:val="20"/>
        </w:rPr>
        <w:t>ča po plačnih podskupinah</w:t>
      </w:r>
    </w:p>
    <w:p w:rsidR="0025584A" w:rsidRPr="00681AED" w:rsidRDefault="0025584A" w:rsidP="00681AED">
      <w:pPr>
        <w:spacing w:after="0" w:line="260" w:lineRule="atLeast"/>
        <w:rPr>
          <w:sz w:val="20"/>
          <w:szCs w:val="20"/>
          <w:u w:val="single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6"/>
        <w:gridCol w:w="354"/>
        <w:gridCol w:w="790"/>
        <w:gridCol w:w="1024"/>
        <w:gridCol w:w="1418"/>
        <w:gridCol w:w="1040"/>
        <w:gridCol w:w="1369"/>
      </w:tblGrid>
      <w:tr w:rsidR="002610B1" w:rsidRPr="002610B1" w:rsidTr="0025584A">
        <w:trPr>
          <w:trHeight w:val="435"/>
          <w:tblHeader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0B1" w:rsidRPr="002610B1" w:rsidRDefault="002610B1" w:rsidP="007F273B">
            <w:r w:rsidRPr="002610B1">
              <w:t> 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0B1" w:rsidRPr="002610B1" w:rsidRDefault="002610B1" w:rsidP="007F273B">
            <w:r w:rsidRPr="002610B1">
              <w:t>Povprečna plača, v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Sprememba , v 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Sprememba , v %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Sprememba , v €</w:t>
            </w:r>
          </w:p>
        </w:tc>
      </w:tr>
      <w:tr w:rsidR="002610B1" w:rsidRPr="002610B1" w:rsidTr="0025584A">
        <w:trPr>
          <w:trHeight w:val="255"/>
          <w:tblHeader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0B1" w:rsidRPr="002610B1" w:rsidRDefault="002610B1" w:rsidP="007F273B">
            <w:r w:rsidRPr="002610B1">
              <w:t>Plačne podskupine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III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 / III 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 / IV 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20 - III 20</w:t>
            </w:r>
          </w:p>
        </w:tc>
      </w:tr>
      <w:tr w:rsidR="002610B1" w:rsidRPr="002610B1" w:rsidTr="00C71B7F">
        <w:trPr>
          <w:trHeight w:val="450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Predsednik republike in funkcionarji izvršilne oblasti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5.173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-0,02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8,72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zakonodajne oblasti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4.353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-1,52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-1,13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-67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sodne oblasti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4.002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-2,57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2,15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-106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v drugih državnih organih (tožilstvo)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4.073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0,37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0,20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15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v lokalnih skupnostih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3.446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5,22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5,46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171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Ravnatelji, direktorji in tajniki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B1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3.782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7,56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9,37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266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Uradniki v drugih državnih organih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2,30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8,44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68</w:t>
            </w:r>
          </w:p>
        </w:tc>
      </w:tr>
      <w:tr w:rsidR="002610B1" w:rsidRPr="002610B1" w:rsidTr="00C71B7F">
        <w:trPr>
          <w:trHeight w:val="450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Uradniki v državni upravi, upravah pravosodnih organov in upravah lokalnih skupnosti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2.629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10,31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14,11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246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Policisti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3.094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27,74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31,75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672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Vojaki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16,45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24,76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389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Uradniki finančne uprave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21,57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23,25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516</w:t>
            </w:r>
          </w:p>
        </w:tc>
      </w:tr>
      <w:tr w:rsidR="002610B1" w:rsidRPr="002610B1" w:rsidTr="00C71B7F">
        <w:trPr>
          <w:trHeight w:val="240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Inšpektorji, pravosodni policisti in drugi uradniki s posebnimi pooblastili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13,31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16,36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327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Diplomati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3.692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14,04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13,80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455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Visokošolski učitelji in visokošolski sodelavci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D1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3.434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0,11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5,09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</w:t>
            </w:r>
          </w:p>
        </w:tc>
      </w:tr>
      <w:tr w:rsidR="002610B1" w:rsidRPr="002610B1" w:rsidTr="00C71B7F">
        <w:trPr>
          <w:trHeight w:val="450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Predavatelji višjih strokovnih šol, srednješolski in osnovnošolski učitelji in drugi strokovni 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D2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-0,79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4,60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-18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Vzgojitelji in ostali strokovni delavci v vrtcih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D3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3.772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100,02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141,98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1.886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Zdravniki in zobozdravniki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5.953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35,30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56,97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1.553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Farmacevtski 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3.335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28,32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43,76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736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Medicinske sestre in babice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3.128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38,41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67,41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868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Zdravstveni delavci in zdravstveni sodelavci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3.292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39,44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63,76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931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F1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2.549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12,37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25,40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281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F2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28,62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54,52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507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Umetniški poklici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G1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40,95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47,25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1.107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Drugi poklici na področju kulture in informiranja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G2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20,63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36,35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466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Raziskovalci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H1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0,34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2,79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H2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1.916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0,62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1,40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12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I1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9,22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15,12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203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delavci-Spremljajoča delovna mesta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J1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11,71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19,75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230</w:t>
            </w:r>
          </w:p>
        </w:tc>
      </w:tr>
      <w:tr w:rsidR="002610B1" w:rsidRPr="002610B1" w:rsidTr="00C71B7F">
        <w:trPr>
          <w:trHeight w:val="450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Administrativni delavci-Spremljajoča delovna mesta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J2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21,80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28,88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314</w:t>
            </w:r>
          </w:p>
        </w:tc>
      </w:tr>
      <w:tr w:rsidR="002610B1" w:rsidRPr="002610B1" w:rsidTr="00C71B7F">
        <w:trPr>
          <w:trHeight w:val="450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Ostali strokovno tehnični delavci-Spremljajoča delovna mesta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J3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37,15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60,06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477</w:t>
            </w:r>
          </w:p>
        </w:tc>
      </w:tr>
      <w:tr w:rsidR="002610B1" w:rsidRPr="002610B1" w:rsidTr="00C71B7F">
        <w:trPr>
          <w:trHeight w:val="25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K1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10,22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23,20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225</w:t>
            </w:r>
          </w:p>
        </w:tc>
      </w:tr>
      <w:tr w:rsidR="002610B1" w:rsidRPr="002610B1" w:rsidTr="00C71B7F">
        <w:trPr>
          <w:trHeight w:val="2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0B1" w:rsidRPr="002610B1" w:rsidRDefault="002610B1" w:rsidP="007F273B">
            <w:r w:rsidRPr="002610B1">
              <w:t>Skupaj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21,49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34,21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483</w:t>
            </w:r>
          </w:p>
        </w:tc>
      </w:tr>
    </w:tbl>
    <w:p w:rsidR="0053505B" w:rsidRDefault="0053505B" w:rsidP="007F273B">
      <w:r w:rsidRPr="0053505B">
        <w:t>V</w:t>
      </w:r>
      <w:r w:rsidR="002115BF">
        <w:t>ir: ISPAP</w:t>
      </w:r>
      <w:r w:rsidR="0019591A">
        <w:t>.</w:t>
      </w:r>
    </w:p>
    <w:p w:rsidR="0025584A" w:rsidRDefault="006A4900" w:rsidP="00E81CF9">
      <w:pPr>
        <w:pStyle w:val="Odstavekseznama"/>
        <w:numPr>
          <w:ilvl w:val="0"/>
          <w:numId w:val="3"/>
        </w:numPr>
      </w:pPr>
      <w:bookmarkStart w:id="4" w:name="_Hlk515526396"/>
      <w:r>
        <w:lastRenderedPageBreak/>
        <w:t>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2610B1">
        <w:t>februarja</w:t>
      </w:r>
      <w:r>
        <w:t xml:space="preserve"> 20</w:t>
      </w:r>
      <w:r w:rsidR="00D01D1D">
        <w:t>20</w:t>
      </w:r>
      <w:r>
        <w:t xml:space="preserve"> niso upoštevana)</w:t>
      </w:r>
      <w:r w:rsidR="009326D8">
        <w:t>.</w:t>
      </w:r>
      <w:r w:rsidR="00EF40A8">
        <w:t xml:space="preserve"> </w:t>
      </w:r>
    </w:p>
    <w:p w:rsidR="00A944E2" w:rsidRDefault="001643FE" w:rsidP="007F273B">
      <w:r>
        <w:t xml:space="preserve">Na izrazit skok povprečne plače v javnem sektorju </w:t>
      </w:r>
      <w:r w:rsidR="0025584A">
        <w:t>s</w:t>
      </w:r>
      <w:r w:rsidR="00892CDF">
        <w:t>ta</w:t>
      </w:r>
      <w:r>
        <w:t xml:space="preserve"> vplival</w:t>
      </w:r>
      <w:r w:rsidR="00892CDF">
        <w:t>i</w:t>
      </w:r>
      <w:r>
        <w:t xml:space="preserve"> </w:t>
      </w:r>
      <w:r w:rsidR="00C71B7F">
        <w:t>nadomestil</w:t>
      </w:r>
      <w:r w:rsidR="00892CDF">
        <w:t>i</w:t>
      </w:r>
      <w:r w:rsidR="0025584A">
        <w:t xml:space="preserve"> plač</w:t>
      </w:r>
      <w:r w:rsidR="00C71B7F">
        <w:t xml:space="preserve"> </w:t>
      </w:r>
      <w:r w:rsidR="00C71B7F" w:rsidRPr="00C71B7F">
        <w:t>zaradi čakanja na delo in za odrejeno karanteno</w:t>
      </w:r>
      <w:r w:rsidR="00C71B7F">
        <w:t>, katerih ure se po m</w:t>
      </w:r>
      <w:r>
        <w:t xml:space="preserve">etodologiji </w:t>
      </w:r>
      <w:r w:rsidR="0025584A">
        <w:t xml:space="preserve">izračuna števila zaposlenih ne upoštevajo </w:t>
      </w:r>
      <w:r w:rsidR="00892CDF">
        <w:t>pri</w:t>
      </w:r>
      <w:r>
        <w:t xml:space="preserve"> izračun</w:t>
      </w:r>
      <w:r w:rsidR="00892CDF">
        <w:t>u</w:t>
      </w:r>
      <w:r>
        <w:t xml:space="preserve"> števila zaposlenih</w:t>
      </w:r>
      <w:r w:rsidR="00C71B7F">
        <w:t xml:space="preserve"> </w:t>
      </w:r>
      <w:r w:rsidR="0025584A">
        <w:t xml:space="preserve">na podlagi opravljenih ur </w:t>
      </w:r>
      <w:r w:rsidR="00C71B7F">
        <w:t xml:space="preserve">in pa </w:t>
      </w:r>
      <w:r w:rsidR="00892CDF">
        <w:t>veliko zvišanje</w:t>
      </w:r>
      <w:r w:rsidR="00C71B7F">
        <w:t xml:space="preserve"> dodatkov</w:t>
      </w:r>
      <w:r w:rsidR="00892CDF">
        <w:t xml:space="preserve"> (</w:t>
      </w:r>
      <w:r w:rsidR="00C71B7F">
        <w:t xml:space="preserve"> za delo v rizičnih razmerah</w:t>
      </w:r>
      <w:r w:rsidR="00892CDF">
        <w:t>)</w:t>
      </w:r>
      <w:r w:rsidR="00C71B7F">
        <w:t>.</w:t>
      </w:r>
    </w:p>
    <w:bookmarkEnd w:id="4"/>
    <w:p w:rsidR="002115BF" w:rsidRPr="00A944E2" w:rsidRDefault="002115BF" w:rsidP="007F273B"/>
    <w:p w:rsidR="00674066" w:rsidRPr="00681AED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S</w:t>
      </w:r>
      <w:r w:rsidR="000118A1" w:rsidRPr="00681AED">
        <w:rPr>
          <w:sz w:val="20"/>
          <w:szCs w:val="20"/>
        </w:rPr>
        <w:t>lika 2</w:t>
      </w:r>
      <w:r w:rsidRPr="00681AED">
        <w:rPr>
          <w:sz w:val="20"/>
          <w:szCs w:val="20"/>
        </w:rPr>
        <w:t xml:space="preserve">: Povprečne </w:t>
      </w:r>
      <w:r w:rsidR="00091A06" w:rsidRPr="00681AED">
        <w:rPr>
          <w:sz w:val="20"/>
          <w:szCs w:val="20"/>
        </w:rPr>
        <w:t xml:space="preserve">bruto </w:t>
      </w:r>
      <w:r w:rsidRPr="00681AED">
        <w:rPr>
          <w:sz w:val="20"/>
          <w:szCs w:val="20"/>
        </w:rPr>
        <w:t>pla</w:t>
      </w:r>
      <w:r w:rsidR="001071C1" w:rsidRPr="00681AED">
        <w:rPr>
          <w:sz w:val="20"/>
          <w:szCs w:val="20"/>
        </w:rPr>
        <w:t>če po plačnih podskupinah</w:t>
      </w:r>
    </w:p>
    <w:p w:rsidR="004F60F2" w:rsidRDefault="004F60F2" w:rsidP="007F273B"/>
    <w:p w:rsidR="004F60F2" w:rsidRDefault="00C71B7F" w:rsidP="007F273B">
      <w:r>
        <w:rPr>
          <w:noProof/>
        </w:rPr>
        <w:drawing>
          <wp:inline distT="0" distB="0" distL="0" distR="0" wp14:anchorId="6E3F3B35" wp14:editId="0ACF57D6">
            <wp:extent cx="6210935" cy="360108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60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F2" w:rsidRDefault="004F60F2" w:rsidP="007F273B"/>
    <w:p w:rsidR="00B634C3" w:rsidRPr="0025584A" w:rsidRDefault="00674066" w:rsidP="0025584A">
      <w:r w:rsidRPr="00681AED">
        <w:rPr>
          <w:sz w:val="20"/>
          <w:szCs w:val="20"/>
          <w:u w:val="single"/>
        </w:rPr>
        <w:t>4 Zaposlenost</w:t>
      </w:r>
    </w:p>
    <w:p w:rsidR="00E81CF9" w:rsidRDefault="00E81CF9" w:rsidP="00681AED">
      <w:pPr>
        <w:spacing w:after="0" w:line="260" w:lineRule="atLeast"/>
        <w:rPr>
          <w:sz w:val="20"/>
          <w:szCs w:val="20"/>
        </w:rPr>
      </w:pPr>
    </w:p>
    <w:p w:rsidR="0025584A" w:rsidRDefault="00674066" w:rsidP="00681AED">
      <w:pPr>
        <w:spacing w:after="0" w:line="260" w:lineRule="atLeast"/>
        <w:rPr>
          <w:sz w:val="20"/>
          <w:szCs w:val="20"/>
        </w:rPr>
      </w:pPr>
      <w:r w:rsidRPr="0025584A">
        <w:rPr>
          <w:sz w:val="20"/>
          <w:szCs w:val="20"/>
        </w:rPr>
        <w:t>T</w:t>
      </w:r>
      <w:r w:rsidR="00A427E3" w:rsidRPr="0025584A">
        <w:rPr>
          <w:sz w:val="20"/>
          <w:szCs w:val="20"/>
        </w:rPr>
        <w:t>abela 5</w:t>
      </w:r>
      <w:r w:rsidRPr="0025584A">
        <w:rPr>
          <w:sz w:val="20"/>
          <w:szCs w:val="20"/>
        </w:rPr>
        <w:t>: Število zaposlenih</w:t>
      </w:r>
      <w:r w:rsidR="007B439D" w:rsidRPr="0025584A">
        <w:rPr>
          <w:sz w:val="20"/>
          <w:szCs w:val="20"/>
        </w:rPr>
        <w:t>, ki so prejeli plačo,</w:t>
      </w:r>
      <w:r w:rsidRPr="0025584A">
        <w:rPr>
          <w:sz w:val="20"/>
          <w:szCs w:val="20"/>
        </w:rPr>
        <w:t xml:space="preserve"> na podlagi opravljenih ur po plačnih podskupinah</w:t>
      </w:r>
    </w:p>
    <w:p w:rsidR="00EE1A35" w:rsidRPr="0025584A" w:rsidRDefault="00EE1A35" w:rsidP="00681AED">
      <w:pPr>
        <w:spacing w:after="0" w:line="260" w:lineRule="atLeast"/>
        <w:rPr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60"/>
        <w:gridCol w:w="941"/>
        <w:gridCol w:w="960"/>
        <w:gridCol w:w="1017"/>
        <w:gridCol w:w="1003"/>
        <w:gridCol w:w="1056"/>
        <w:gridCol w:w="940"/>
      </w:tblGrid>
      <w:tr w:rsidR="002610B1" w:rsidRPr="002610B1" w:rsidTr="00EE1A35">
        <w:trPr>
          <w:trHeight w:val="435"/>
          <w:tblHeader/>
        </w:trPr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Plačne podskupine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Število zaposlenih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Sprememba, v 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Sprememba,  v številu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Delež zaposlenih</w:t>
            </w:r>
          </w:p>
        </w:tc>
      </w:tr>
      <w:tr w:rsidR="002610B1" w:rsidRPr="002610B1" w:rsidTr="00EE1A35">
        <w:trPr>
          <w:trHeight w:val="255"/>
          <w:tblHeader/>
        </w:trPr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0B1" w:rsidRPr="002610B1" w:rsidRDefault="002610B1" w:rsidP="007F273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III 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 / IV 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 / III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IV 20 - III 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%</w:t>
            </w:r>
          </w:p>
        </w:tc>
      </w:tr>
      <w:tr w:rsidR="002610B1" w:rsidRPr="002610B1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Predsednik republike in funkcionarji izvršilne oblasti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56,36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-10,23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0,04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zakonodajne oblasti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91,77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0,07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sodne oblasti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848,69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862,07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0,59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v drugih državnih organih (tožilstvo)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268,02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265,59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-4,68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0,19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Funkcionarji v lokalnih skupnostih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A5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175,47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178,09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0,12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Ravnatelji, direktorji in tajniki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B1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2.258,54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2.279,06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-20,52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1,58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Uradniki v drugih državnih organih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628,42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622,58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0,44</w:t>
            </w:r>
          </w:p>
        </w:tc>
      </w:tr>
      <w:tr w:rsidR="002610B1" w:rsidRPr="002610B1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Uradniki v državni upravi, upravah pravosodnih organov in upravah lokalnih skupnosti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11.247,24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12.111,84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7,88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Policisti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6.846,45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6.855,10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4,80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Vojaki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5.218,01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5.372,90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-154,89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3,66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Uradniki finančne uprave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2.194,36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2.648,84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-15,88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-17,16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-454,48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1,54</w:t>
            </w:r>
          </w:p>
        </w:tc>
      </w:tr>
      <w:tr w:rsidR="002610B1" w:rsidRPr="002610B1" w:rsidTr="00C71B7F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lastRenderedPageBreak/>
              <w:t>Inšpektorji, pravosodni policisti in drugi uradniki s posebnimi pooblastili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1.765,98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1.806,36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1,24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Diplomati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C7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200,45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225,56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-11,13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0,14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Visokošolski učitelji in visokošolski sodelavci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D1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3.883,85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3.883,14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2,72</w:t>
            </w:r>
          </w:p>
        </w:tc>
      </w:tr>
      <w:tr w:rsidR="002610B1" w:rsidRPr="002610B1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Predavatelji višjih strokovnih šol, srednješolski in osnovnošolski učitelji in drugi strokovni 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D2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28.126,45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28.564,69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-438,24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19,71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Vzgojitelji in ostali strokovni delavci v vrtcih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D3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2.247,92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9.096,89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-79,58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-75,29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-6.848,97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1,58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Zdravniki in zobozdravniki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6.135,01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6.697,65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-11,10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-562,64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4,30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Farmacevtski 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1.617,88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1.705,96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-4,68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-5,16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-88,08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1,13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Medicinske sestre in babice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15.065,80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16.260,15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-10,11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-1.194,35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10,56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Zdravstveni delavci in zdravstveni sodelavci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E4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4.341,20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5.296,18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-21,52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-18,03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-954,97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3,04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F1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1.385,41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1.511,41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-12,30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0,97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F2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6.468,53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6.856,82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-5,66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-388,29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4,53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Umetniški poklici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G1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479,80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907,24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-46,43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-47,12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0,34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Drugi poklici na področju kulture in informiranja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G2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2.931,75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3.830,38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-28,39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-898,62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2,05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Raziskovalci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H1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2.973,49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2.970,15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6,15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2,08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H2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350,30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358,13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0,25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I1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4.445,98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4.894,70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-448,73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3,12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delavci-Spremljajoča delovna mesta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J1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10.755,24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11.521,19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-765,95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7,54</w:t>
            </w:r>
          </w:p>
        </w:tc>
      </w:tr>
      <w:tr w:rsidR="002610B1" w:rsidRPr="002610B1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Administrativni delavci-Spremljajoča delovna mesta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J2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5.418,35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6.209,36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-14,69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-12,74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-791,01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3,80</w:t>
            </w:r>
          </w:p>
        </w:tc>
      </w:tr>
      <w:tr w:rsidR="002610B1" w:rsidRPr="002610B1" w:rsidTr="00C71B7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Ostali strokovno tehnični delavci-Spremljajoča delovna mesta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J3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12.224,23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19.433,14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-41,16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-37,10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-7.208,90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8,57</w:t>
            </w:r>
          </w:p>
        </w:tc>
      </w:tr>
      <w:tr w:rsidR="002610B1" w:rsidRPr="002610B1" w:rsidTr="00C71B7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0B1" w:rsidRPr="002610B1" w:rsidRDefault="002610B1" w:rsidP="007F273B">
            <w:r w:rsidRPr="002610B1">
              <w:t>K1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2.017,48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2.156,53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-11,82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-139,05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1,41</w:t>
            </w:r>
          </w:p>
        </w:tc>
      </w:tr>
      <w:tr w:rsidR="002610B1" w:rsidRPr="002610B1" w:rsidTr="00C71B7F">
        <w:trPr>
          <w:trHeight w:val="25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7F273B">
            <w:r w:rsidRPr="002610B1">
              <w:t>Skupaj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142.669,17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165.529,86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-16,06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-13,81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-22.860,69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100</w:t>
            </w:r>
          </w:p>
        </w:tc>
      </w:tr>
    </w:tbl>
    <w:p w:rsidR="00F75FB9" w:rsidRDefault="005C3A7E" w:rsidP="007F273B">
      <w:r w:rsidRPr="005C3A7E">
        <w:t>Vir: ISPAP</w:t>
      </w:r>
      <w:r w:rsidR="0019591A">
        <w:t>.</w:t>
      </w:r>
    </w:p>
    <w:p w:rsidR="00C71B7F" w:rsidRDefault="00C71B7F" w:rsidP="007F273B">
      <w:r>
        <w:t>Število zaposlenih na podlagi opravljenih ur se je močno zmanjšalo zaradi manjš</w:t>
      </w:r>
      <w:r w:rsidR="00892CDF">
        <w:t>ega</w:t>
      </w:r>
      <w:r>
        <w:t xml:space="preserve"> obsega opravljenih ur dela, kar je posledica čakanja dela doma in odrejene karantene</w:t>
      </w:r>
      <w:r w:rsidR="00892CDF">
        <w:t xml:space="preserve"> zaposlenih.</w:t>
      </w:r>
    </w:p>
    <w:sectPr w:rsidR="00C71B7F" w:rsidSect="00EF40A8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3461A"/>
    <w:rsid w:val="00040241"/>
    <w:rsid w:val="00063D27"/>
    <w:rsid w:val="00066BAE"/>
    <w:rsid w:val="00066BCE"/>
    <w:rsid w:val="00080EA1"/>
    <w:rsid w:val="00087CE0"/>
    <w:rsid w:val="00091A06"/>
    <w:rsid w:val="000A2293"/>
    <w:rsid w:val="000A2BC0"/>
    <w:rsid w:val="000B7ECC"/>
    <w:rsid w:val="000E216F"/>
    <w:rsid w:val="000E5259"/>
    <w:rsid w:val="001071C1"/>
    <w:rsid w:val="00135D51"/>
    <w:rsid w:val="00136DE3"/>
    <w:rsid w:val="00153A18"/>
    <w:rsid w:val="001643FE"/>
    <w:rsid w:val="001712DC"/>
    <w:rsid w:val="00195197"/>
    <w:rsid w:val="0019591A"/>
    <w:rsid w:val="001D2AA7"/>
    <w:rsid w:val="002115BF"/>
    <w:rsid w:val="002256D5"/>
    <w:rsid w:val="00230014"/>
    <w:rsid w:val="00235059"/>
    <w:rsid w:val="00247FB7"/>
    <w:rsid w:val="0025584A"/>
    <w:rsid w:val="002610B1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A4E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81AED"/>
    <w:rsid w:val="006A4900"/>
    <w:rsid w:val="006A766C"/>
    <w:rsid w:val="006B6C65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273B"/>
    <w:rsid w:val="007F5CB0"/>
    <w:rsid w:val="00805CFF"/>
    <w:rsid w:val="00813D21"/>
    <w:rsid w:val="00837EB6"/>
    <w:rsid w:val="00845149"/>
    <w:rsid w:val="008478A2"/>
    <w:rsid w:val="00855927"/>
    <w:rsid w:val="00892CDF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753C4"/>
    <w:rsid w:val="00A91DF2"/>
    <w:rsid w:val="00A944E2"/>
    <w:rsid w:val="00A949A3"/>
    <w:rsid w:val="00AA23BE"/>
    <w:rsid w:val="00AC0A8F"/>
    <w:rsid w:val="00AC31C2"/>
    <w:rsid w:val="00AF547D"/>
    <w:rsid w:val="00B11248"/>
    <w:rsid w:val="00B17DAB"/>
    <w:rsid w:val="00B53317"/>
    <w:rsid w:val="00B54C3F"/>
    <w:rsid w:val="00B634C3"/>
    <w:rsid w:val="00B74F36"/>
    <w:rsid w:val="00B978AD"/>
    <w:rsid w:val="00BA1A99"/>
    <w:rsid w:val="00BB79A7"/>
    <w:rsid w:val="00BD1EE7"/>
    <w:rsid w:val="00BE005F"/>
    <w:rsid w:val="00BE74B3"/>
    <w:rsid w:val="00BF34AF"/>
    <w:rsid w:val="00C1684B"/>
    <w:rsid w:val="00C1798D"/>
    <w:rsid w:val="00C21FBE"/>
    <w:rsid w:val="00C31258"/>
    <w:rsid w:val="00C33C7B"/>
    <w:rsid w:val="00C44A31"/>
    <w:rsid w:val="00C4788B"/>
    <w:rsid w:val="00C56C77"/>
    <w:rsid w:val="00C66338"/>
    <w:rsid w:val="00C71B7F"/>
    <w:rsid w:val="00C75A8E"/>
    <w:rsid w:val="00C81994"/>
    <w:rsid w:val="00C96047"/>
    <w:rsid w:val="00CC174B"/>
    <w:rsid w:val="00CC7EE9"/>
    <w:rsid w:val="00CD33EB"/>
    <w:rsid w:val="00CE455A"/>
    <w:rsid w:val="00CE5099"/>
    <w:rsid w:val="00CE74A6"/>
    <w:rsid w:val="00CF7C94"/>
    <w:rsid w:val="00D01D1D"/>
    <w:rsid w:val="00D054C5"/>
    <w:rsid w:val="00D14997"/>
    <w:rsid w:val="00D40AA8"/>
    <w:rsid w:val="00D64337"/>
    <w:rsid w:val="00D65B29"/>
    <w:rsid w:val="00D814C5"/>
    <w:rsid w:val="00DB5A38"/>
    <w:rsid w:val="00DD51D9"/>
    <w:rsid w:val="00DD6EE7"/>
    <w:rsid w:val="00DE3DE8"/>
    <w:rsid w:val="00E011F5"/>
    <w:rsid w:val="00E200BB"/>
    <w:rsid w:val="00E238D2"/>
    <w:rsid w:val="00E56419"/>
    <w:rsid w:val="00E81CF9"/>
    <w:rsid w:val="00E90DA7"/>
    <w:rsid w:val="00EB3A5F"/>
    <w:rsid w:val="00EE1A35"/>
    <w:rsid w:val="00EF40A8"/>
    <w:rsid w:val="00F2775C"/>
    <w:rsid w:val="00F36A12"/>
    <w:rsid w:val="00F425F2"/>
    <w:rsid w:val="00F5767E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7F273B"/>
    <w:pPr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10670</Characters>
  <Application>Microsoft Office Word</Application>
  <DocSecurity>4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2</cp:revision>
  <cp:lastPrinted>2018-05-31T08:39:00Z</cp:lastPrinted>
  <dcterms:created xsi:type="dcterms:W3CDTF">2020-10-02T10:37:00Z</dcterms:created>
  <dcterms:modified xsi:type="dcterms:W3CDTF">2020-10-02T10:37:00Z</dcterms:modified>
</cp:coreProperties>
</file>