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47C" w:rsidRPr="00902ABF" w:rsidRDefault="001F263A" w:rsidP="0072047C">
      <w:pPr>
        <w:pStyle w:val="datumtevilka"/>
      </w:pPr>
      <w:r w:rsidRPr="00902ABF">
        <w:rPr>
          <w:noProof/>
        </w:rPr>
        <mc:AlternateContent>
          <mc:Choice Requires="wps">
            <w:drawing>
              <wp:anchor distT="360045" distB="540385" distL="0" distR="0" simplePos="0" relativeHeight="251657728" behindDoc="0" locked="0" layoutInCell="1" allowOverlap="0">
                <wp:simplePos x="0" y="0"/>
                <wp:positionH relativeFrom="page">
                  <wp:posOffset>1080135</wp:posOffset>
                </wp:positionH>
                <wp:positionV relativeFrom="page">
                  <wp:posOffset>2160270</wp:posOffset>
                </wp:positionV>
                <wp:extent cx="4149725" cy="4331970"/>
                <wp:effectExtent l="3810" t="0" r="0" b="3810"/>
                <wp:wrapTopAndBottom/>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433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5CC" w:rsidRPr="000F38EC" w:rsidRDefault="00F405CC" w:rsidP="00F405CC">
                            <w:pPr>
                              <w:jc w:val="both"/>
                              <w:rPr>
                                <w:b/>
                                <w:color w:val="000000"/>
                              </w:rPr>
                            </w:pPr>
                            <w:r w:rsidRPr="000F38EC">
                              <w:rPr>
                                <w:b/>
                                <w:color w:val="000000"/>
                              </w:rPr>
                              <w:t>URAD PREDSEDNIKA REPUBLIKE</w:t>
                            </w:r>
                          </w:p>
                          <w:p w:rsidR="00F405CC" w:rsidRPr="000F38EC" w:rsidRDefault="00F405CC" w:rsidP="00F405CC">
                            <w:pPr>
                              <w:jc w:val="both"/>
                              <w:rPr>
                                <w:b/>
                                <w:color w:val="000000"/>
                              </w:rPr>
                            </w:pPr>
                            <w:r w:rsidRPr="000F38EC">
                              <w:rPr>
                                <w:b/>
                                <w:color w:val="000000"/>
                              </w:rPr>
                              <w:t>DRŽAVNI ZBOR REPUBLIKE SLOVENIJE</w:t>
                            </w:r>
                          </w:p>
                          <w:p w:rsidR="00F405CC" w:rsidRPr="000F38EC" w:rsidRDefault="00F405CC" w:rsidP="00F405CC">
                            <w:pPr>
                              <w:jc w:val="both"/>
                              <w:rPr>
                                <w:b/>
                                <w:color w:val="000000"/>
                              </w:rPr>
                            </w:pPr>
                            <w:r w:rsidRPr="000F38EC">
                              <w:rPr>
                                <w:b/>
                                <w:color w:val="000000"/>
                              </w:rPr>
                              <w:t>DRŽAVNI SVET REPUBLIKE SLOVENIJE</w:t>
                            </w:r>
                          </w:p>
                          <w:p w:rsidR="00F405CC" w:rsidRPr="000F38EC" w:rsidRDefault="00F405CC" w:rsidP="00F405CC">
                            <w:pPr>
                              <w:jc w:val="both"/>
                              <w:rPr>
                                <w:b/>
                                <w:color w:val="000000"/>
                              </w:rPr>
                            </w:pPr>
                            <w:r w:rsidRPr="000F38EC">
                              <w:rPr>
                                <w:b/>
                                <w:color w:val="000000"/>
                              </w:rPr>
                              <w:t>USTAVNO SODIŠČE REPUBLIKE SLOVENIJE</w:t>
                            </w:r>
                          </w:p>
                          <w:p w:rsidR="00F405CC" w:rsidRPr="000F38EC" w:rsidRDefault="00F405CC" w:rsidP="00F405CC">
                            <w:pPr>
                              <w:jc w:val="both"/>
                              <w:rPr>
                                <w:b/>
                                <w:color w:val="000000"/>
                              </w:rPr>
                            </w:pPr>
                            <w:r w:rsidRPr="000F38EC">
                              <w:rPr>
                                <w:b/>
                                <w:color w:val="000000"/>
                              </w:rPr>
                              <w:t>RAČUNSKO SODIŠČE REPUBLIKE SLOVENIJE</w:t>
                            </w:r>
                          </w:p>
                          <w:p w:rsidR="00F405CC" w:rsidRPr="000F38EC" w:rsidRDefault="00F405CC" w:rsidP="00F405CC">
                            <w:pPr>
                              <w:jc w:val="both"/>
                              <w:rPr>
                                <w:b/>
                                <w:color w:val="000000"/>
                              </w:rPr>
                            </w:pPr>
                            <w:r w:rsidRPr="000F38EC">
                              <w:rPr>
                                <w:b/>
                                <w:color w:val="000000"/>
                              </w:rPr>
                              <w:t>VARUH ČLOVEKOVIH PRAVIC REPUBLIKE SLOVENIJE</w:t>
                            </w:r>
                          </w:p>
                          <w:p w:rsidR="00F405CC" w:rsidRPr="000F38EC" w:rsidRDefault="00F405CC" w:rsidP="00F405CC">
                            <w:pPr>
                              <w:jc w:val="both"/>
                              <w:rPr>
                                <w:b/>
                                <w:color w:val="000000"/>
                              </w:rPr>
                            </w:pPr>
                            <w:r w:rsidRPr="000F38EC">
                              <w:rPr>
                                <w:b/>
                                <w:color w:val="000000"/>
                              </w:rPr>
                              <w:t>DRŽAVNA REVIZIJSKA KOMISIJA REPUBLIKE SLOVENIJE</w:t>
                            </w:r>
                          </w:p>
                          <w:p w:rsidR="00F405CC" w:rsidRPr="000F38EC" w:rsidRDefault="00F405CC" w:rsidP="00F405CC">
                            <w:pPr>
                              <w:jc w:val="both"/>
                              <w:rPr>
                                <w:b/>
                                <w:color w:val="000000"/>
                              </w:rPr>
                            </w:pPr>
                            <w:r w:rsidRPr="000F38EC">
                              <w:rPr>
                                <w:b/>
                                <w:color w:val="000000"/>
                              </w:rPr>
                              <w:t>INFORMACIJSKI POOBLAŠČENEC REPUBLIKE SLOVENIJE</w:t>
                            </w:r>
                          </w:p>
                          <w:p w:rsidR="00F405CC" w:rsidRPr="006B2F93" w:rsidRDefault="00F405CC" w:rsidP="00F405CC">
                            <w:pPr>
                              <w:jc w:val="both"/>
                              <w:rPr>
                                <w:b/>
                                <w:color w:val="000000"/>
                                <w:lang w:val="pt-BR"/>
                              </w:rPr>
                            </w:pPr>
                            <w:r w:rsidRPr="006B2F93">
                              <w:rPr>
                                <w:b/>
                                <w:color w:val="000000"/>
                                <w:lang w:val="pt-BR"/>
                              </w:rPr>
                              <w:t>KOMISIJA ZA PREPREČEVANJE KORUPCIJE REPUBLIKE SLOVENIJE</w:t>
                            </w:r>
                          </w:p>
                          <w:p w:rsidR="00F405CC" w:rsidRPr="006B2F93" w:rsidRDefault="00F405CC" w:rsidP="00F405CC">
                            <w:pPr>
                              <w:jc w:val="both"/>
                              <w:rPr>
                                <w:b/>
                                <w:color w:val="000000"/>
                                <w:lang w:val="pt-BR"/>
                              </w:rPr>
                            </w:pPr>
                            <w:r w:rsidRPr="006B2F93">
                              <w:rPr>
                                <w:b/>
                                <w:color w:val="000000"/>
                                <w:lang w:val="pt-BR"/>
                              </w:rPr>
                              <w:t>DRŽAVNA VOLILNA KOMISIJA</w:t>
                            </w:r>
                          </w:p>
                          <w:p w:rsidR="00F405CC" w:rsidRPr="006B2F93" w:rsidRDefault="00F405CC" w:rsidP="00F405CC">
                            <w:pPr>
                              <w:jc w:val="both"/>
                              <w:rPr>
                                <w:b/>
                                <w:color w:val="000000"/>
                                <w:lang w:val="pt-BR"/>
                              </w:rPr>
                            </w:pPr>
                            <w:r w:rsidRPr="006B2F93">
                              <w:rPr>
                                <w:b/>
                                <w:color w:val="000000"/>
                                <w:lang w:val="pt-BR"/>
                              </w:rPr>
                              <w:t>SLOVENSKA AKADEMIJA ZNANOSTI IN UMETNOSTI</w:t>
                            </w:r>
                          </w:p>
                          <w:p w:rsidR="00F405CC" w:rsidRDefault="00F405CC" w:rsidP="008A3332">
                            <w:pPr>
                              <w:jc w:val="both"/>
                              <w:rPr>
                                <w:b/>
                                <w:lang w:val="pt-BR"/>
                              </w:rPr>
                            </w:pPr>
                          </w:p>
                          <w:p w:rsidR="008A3332" w:rsidRPr="00F405CC" w:rsidRDefault="008A3332" w:rsidP="008A3332">
                            <w:pPr>
                              <w:jc w:val="both"/>
                              <w:rPr>
                                <w:b/>
                                <w:lang w:val="pt-BR"/>
                              </w:rPr>
                            </w:pPr>
                            <w:r w:rsidRPr="00F405CC">
                              <w:rPr>
                                <w:b/>
                                <w:lang w:val="pt-BR"/>
                              </w:rPr>
                              <w:t>VRHOVNO SODIŠČE REPUBLIKE SLOVENIJE</w:t>
                            </w:r>
                          </w:p>
                          <w:p w:rsidR="008A3332" w:rsidRPr="00F405CC" w:rsidRDefault="008A3332" w:rsidP="008A3332">
                            <w:pPr>
                              <w:jc w:val="both"/>
                              <w:rPr>
                                <w:b/>
                                <w:lang w:val="pt-BR"/>
                              </w:rPr>
                            </w:pPr>
                            <w:r w:rsidRPr="00F405CC">
                              <w:rPr>
                                <w:b/>
                                <w:lang w:val="pt-BR"/>
                              </w:rPr>
                              <w:t>VRHOVNO DRŽAVNO TOŽILSTVO</w:t>
                            </w:r>
                          </w:p>
                          <w:p w:rsidR="008A3332" w:rsidRPr="00F405CC" w:rsidRDefault="008A3332" w:rsidP="008A3332">
                            <w:pPr>
                              <w:jc w:val="both"/>
                              <w:rPr>
                                <w:b/>
                                <w:lang w:val="pt-BR"/>
                              </w:rPr>
                            </w:pPr>
                            <w:r w:rsidRPr="00F405CC">
                              <w:rPr>
                                <w:b/>
                                <w:lang w:val="pt-BR"/>
                              </w:rPr>
                              <w:t>DRŽAVNO PRAVOBRANILSTVO</w:t>
                            </w:r>
                          </w:p>
                          <w:p w:rsidR="008A3332" w:rsidRPr="006B2F93" w:rsidRDefault="008A3332" w:rsidP="008A3332">
                            <w:pPr>
                              <w:rPr>
                                <w:b/>
                                <w:lang w:val="pt-BR"/>
                              </w:rPr>
                            </w:pPr>
                            <w:bookmarkStart w:id="0" w:name="_GoBack"/>
                            <w:bookmarkEnd w:id="0"/>
                          </w:p>
                          <w:p w:rsidR="008A3332" w:rsidRPr="006B2F93" w:rsidRDefault="008A3332" w:rsidP="008A3332">
                            <w:pPr>
                              <w:jc w:val="both"/>
                              <w:rPr>
                                <w:b/>
                                <w:lang w:val="pt-BR"/>
                              </w:rPr>
                            </w:pPr>
                            <w:r w:rsidRPr="006B2F93">
                              <w:rPr>
                                <w:b/>
                                <w:lang w:val="pt-BR"/>
                              </w:rPr>
                              <w:t>OBČINE</w:t>
                            </w:r>
                          </w:p>
                          <w:p w:rsidR="008A3332" w:rsidRPr="006B2F93" w:rsidRDefault="008A3332" w:rsidP="008A3332">
                            <w:pPr>
                              <w:jc w:val="both"/>
                              <w:rPr>
                                <w:b/>
                                <w:lang w:val="pt-BR"/>
                              </w:rPr>
                            </w:pPr>
                            <w:r w:rsidRPr="006B2F93">
                              <w:rPr>
                                <w:b/>
                                <w:lang w:val="pt-BR"/>
                              </w:rPr>
                              <w:t>ZDRUŽENJE OBČIN SLOVENIJE</w:t>
                            </w:r>
                          </w:p>
                          <w:p w:rsidR="008A3332" w:rsidRPr="006B2F93" w:rsidRDefault="008A3332" w:rsidP="008A3332">
                            <w:pPr>
                              <w:jc w:val="both"/>
                              <w:rPr>
                                <w:b/>
                                <w:lang w:val="pt-BR"/>
                              </w:rPr>
                            </w:pPr>
                            <w:r w:rsidRPr="006B2F93">
                              <w:rPr>
                                <w:b/>
                                <w:lang w:val="pt-BR"/>
                              </w:rPr>
                              <w:t>SKUPNOST OBČIN SLOVENIJE</w:t>
                            </w:r>
                          </w:p>
                          <w:p w:rsidR="008A3332" w:rsidRPr="006B2F93" w:rsidRDefault="008A3332" w:rsidP="008A3332">
                            <w:pPr>
                              <w:jc w:val="both"/>
                              <w:rPr>
                                <w:b/>
                                <w:lang w:val="pt-BR"/>
                              </w:rPr>
                            </w:pPr>
                            <w:r w:rsidRPr="006B2F93">
                              <w:rPr>
                                <w:b/>
                                <w:lang w:val="pt-BR"/>
                              </w:rPr>
                              <w:t>ZDRUŽENJE MESTNIH OBČIN SLOVENIJE</w:t>
                            </w:r>
                          </w:p>
                          <w:p w:rsidR="008A3332" w:rsidRPr="006B2F93" w:rsidRDefault="008A3332" w:rsidP="008A3332">
                            <w:pPr>
                              <w:rPr>
                                <w:b/>
                                <w:lang w:val="pt-BR"/>
                              </w:rPr>
                            </w:pPr>
                          </w:p>
                          <w:p w:rsidR="008A3332" w:rsidRPr="006B2F93" w:rsidRDefault="008A3332" w:rsidP="008A3332">
                            <w:pPr>
                              <w:rPr>
                                <w:b/>
                                <w:lang w:val="pt-BR"/>
                              </w:rPr>
                            </w:pPr>
                            <w:r w:rsidRPr="006B2F93">
                              <w:rPr>
                                <w:b/>
                                <w:lang w:val="pt-BR"/>
                              </w:rPr>
                              <w:t>MINISTRSTVA</w:t>
                            </w:r>
                          </w:p>
                          <w:p w:rsidR="008A3332" w:rsidRPr="006B2F93" w:rsidRDefault="008A3332" w:rsidP="008A3332">
                            <w:pPr>
                              <w:rPr>
                                <w:b/>
                                <w:lang w:val="pt-BR"/>
                              </w:rPr>
                            </w:pPr>
                            <w:r w:rsidRPr="006B2F93">
                              <w:rPr>
                                <w:b/>
                                <w:lang w:val="pt-BR"/>
                              </w:rPr>
                              <w:t>ORGANI V SESTAVI MINISTRSTEV</w:t>
                            </w:r>
                          </w:p>
                          <w:p w:rsidR="008A3332" w:rsidRPr="00F405CC" w:rsidRDefault="008A3332" w:rsidP="008A3332">
                            <w:pPr>
                              <w:rPr>
                                <w:b/>
                                <w:lang w:val="pt-BR"/>
                              </w:rPr>
                            </w:pPr>
                            <w:r w:rsidRPr="00F405CC">
                              <w:rPr>
                                <w:b/>
                                <w:lang w:val="pt-BR"/>
                              </w:rPr>
                              <w:t>VLADNE SLUŽBE</w:t>
                            </w:r>
                          </w:p>
                          <w:p w:rsidR="0072047C" w:rsidRDefault="008A3332" w:rsidP="0072047C">
                            <w:pPr>
                              <w:rPr>
                                <w:rFonts w:cs="Arial"/>
                                <w:color w:val="000000"/>
                                <w:szCs w:val="20"/>
                                <w:lang w:eastAsia="sl-SI"/>
                              </w:rPr>
                            </w:pPr>
                            <w:r w:rsidRPr="000F38EC">
                              <w:rPr>
                                <w:b/>
                              </w:rPr>
                              <w:t>UPRAVNE ENOTE</w:t>
                            </w:r>
                          </w:p>
                          <w:p w:rsidR="0072047C" w:rsidRDefault="0072047C" w:rsidP="0072047C">
                            <w:pPr>
                              <w:rPr>
                                <w:rFonts w:cs="Arial"/>
                                <w:color w:val="000000"/>
                                <w:szCs w:val="20"/>
                                <w:lang w:eastAsia="sl-SI"/>
                              </w:rPr>
                            </w:pPr>
                          </w:p>
                          <w:p w:rsidR="0072047C" w:rsidRDefault="0072047C" w:rsidP="0072047C">
                            <w:pPr>
                              <w:rPr>
                                <w:rFonts w:cs="Arial"/>
                                <w:color w:val="000000"/>
                                <w:szCs w:val="20"/>
                                <w:lang w:eastAsia="sl-SI"/>
                              </w:rPr>
                            </w:pPr>
                          </w:p>
                          <w:p w:rsidR="0072047C" w:rsidRDefault="0072047C" w:rsidP="0072047C">
                            <w:pPr>
                              <w:rPr>
                                <w:rFonts w:cs="Arial"/>
                                <w:color w:val="000000"/>
                                <w:szCs w:val="20"/>
                                <w:lang w:eastAsia="sl-SI"/>
                              </w:rPr>
                            </w:pPr>
                          </w:p>
                          <w:p w:rsidR="0072047C" w:rsidRDefault="0072047C" w:rsidP="0072047C">
                            <w:pPr>
                              <w:rPr>
                                <w:rFonts w:cs="Arial"/>
                                <w:color w:val="000000"/>
                                <w:szCs w:val="20"/>
                                <w:lang w:eastAsia="sl-SI"/>
                              </w:rPr>
                            </w:pPr>
                          </w:p>
                          <w:p w:rsidR="0072047C" w:rsidRPr="002C6A47" w:rsidRDefault="0072047C" w:rsidP="0072047C">
                            <w:pPr>
                              <w:rPr>
                                <w:rFonts w:cs="Arial"/>
                                <w:color w:val="000000"/>
                                <w:szCs w:val="20"/>
                                <w:lang w:eastAsia="sl-SI"/>
                              </w:rPr>
                            </w:pPr>
                          </w:p>
                          <w:p w:rsidR="0072047C" w:rsidRDefault="0072047C" w:rsidP="0072047C">
                            <w:pPr>
                              <w:rPr>
                                <w:rFonts w:cs="Arial"/>
                                <w:color w:val="000000"/>
                                <w:szCs w:val="20"/>
                                <w:lang w:eastAsia="sl-SI"/>
                              </w:rPr>
                            </w:pPr>
                          </w:p>
                          <w:p w:rsidR="0072047C" w:rsidRPr="002C6A47" w:rsidRDefault="0072047C" w:rsidP="007204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05pt;margin-top:170.1pt;width:326.75pt;height:341.1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Wx6wEAALcDAAAOAAAAZHJzL2Uyb0RvYy54bWysU9tu2zAMfR+wfxD0vjhxs3U14hRdiw4D&#10;ugvQ7gMYWbaF2aJGKbGzrx8lx1m3vQ17EWiKPDo8PN5cj30nDpq8QVvK1WIphbYKK2ObUn59un/1&#10;VgofwFbQodWlPGovr7cvX2wGV+gcW+wqTYJBrC8GV8o2BFdkmVet7sEv0GnLlzVSD4E/qckqgoHR&#10;+y7Ll8s32YBUOUKlvefs3XQptwm/rrUKn+va6yC6UjK3kE5K5y6e2XYDRUPgWqNONOAfWPRgLD96&#10;hrqDAGJP5i+o3ihCj3VYKOwzrGujdJqBp1kt/5jmsQWn0ywsjndnmfz/g1WfDl9ImKqUuRQWel7R&#10;kx6DeIejyKM6g/MFFz06Lgsjp3nLaVLvHlB988LibQu20TdEOLQaKma3ip3Zs9YJx0eQ3fARK34G&#10;9gET0FhTH6VjMQSj85aO581EKoqT69X66jJ/LYXiu/XFxerqMu0ug2Jud+TDe429iEEpiVef4OHw&#10;4EOkA8VcEl+zeG+6Lq2/s78luDBmEv3IeOIext14kmOH1ZEHIZzcxO7noEX6IcXATiql/74H0lJ0&#10;HyyLEW03BzQHuzkAq7i1lEGKKbwNkz33jkzTMvIkt8UbFqw2aZSo7MTixJPdkSY8OTna7/l3qvr1&#10;v21/AgAA//8DAFBLAwQUAAYACAAAACEAJkUEL+AAAAAMAQAADwAAAGRycy9kb3ducmV2LnhtbEyP&#10;wU7DMBBE70j8g7VI3KhdtwolxKkqBCckRBoOHJ3YTazG6xC7bfh7lhMcR/M0+7bYzn5gZztFF1DB&#10;ciGAWWyDcdgp+Khf7jbAYtJo9BDQKvi2Ebbl9VWhcxMuWNnzPnWMRjDmWkGf0phzHtveeh0XYbRI&#10;3SFMXieKU8fNpC807gcuhci41w7pQq9H+9Tb9rg/eQW7T6ye3ddb814dKlfXDwJfs6NStzfz7hFY&#10;snP6g+FXn9ShJKcmnNBENlC+F0tCFazWQgIjYiNXGbCGKiHlGnhZ8P9PlD8AAAD//wMAUEsBAi0A&#10;FAAGAAgAAAAhALaDOJL+AAAA4QEAABMAAAAAAAAAAAAAAAAAAAAAAFtDb250ZW50X1R5cGVzXS54&#10;bWxQSwECLQAUAAYACAAAACEAOP0h/9YAAACUAQAACwAAAAAAAAAAAAAAAAAvAQAAX3JlbHMvLnJl&#10;bHNQSwECLQAUAAYACAAAACEACJGFsesBAAC3AwAADgAAAAAAAAAAAAAAAAAuAgAAZHJzL2Uyb0Rv&#10;Yy54bWxQSwECLQAUAAYACAAAACEAJkUEL+AAAAAMAQAADwAAAAAAAAAAAAAAAABFBAAAZHJzL2Rv&#10;d25yZXYueG1sUEsFBgAAAAAEAAQA8wAAAFIFAAAAAA==&#10;" o:allowoverlap="f" filled="f" stroked="f">
                <v:textbox inset="0,0,0,0">
                  <w:txbxContent>
                    <w:p w:rsidR="00F405CC" w:rsidRPr="000F38EC" w:rsidRDefault="00F405CC" w:rsidP="00F405CC">
                      <w:pPr>
                        <w:jc w:val="both"/>
                        <w:rPr>
                          <w:b/>
                          <w:color w:val="000000"/>
                        </w:rPr>
                      </w:pPr>
                      <w:r w:rsidRPr="000F38EC">
                        <w:rPr>
                          <w:b/>
                          <w:color w:val="000000"/>
                        </w:rPr>
                        <w:t>URAD PREDSEDNIKA REPUBLIKE</w:t>
                      </w:r>
                    </w:p>
                    <w:p w:rsidR="00F405CC" w:rsidRPr="000F38EC" w:rsidRDefault="00F405CC" w:rsidP="00F405CC">
                      <w:pPr>
                        <w:jc w:val="both"/>
                        <w:rPr>
                          <w:b/>
                          <w:color w:val="000000"/>
                        </w:rPr>
                      </w:pPr>
                      <w:r w:rsidRPr="000F38EC">
                        <w:rPr>
                          <w:b/>
                          <w:color w:val="000000"/>
                        </w:rPr>
                        <w:t>DRŽAVNI ZBOR REPUBLIKE SLOVENIJE</w:t>
                      </w:r>
                    </w:p>
                    <w:p w:rsidR="00F405CC" w:rsidRPr="000F38EC" w:rsidRDefault="00F405CC" w:rsidP="00F405CC">
                      <w:pPr>
                        <w:jc w:val="both"/>
                        <w:rPr>
                          <w:b/>
                          <w:color w:val="000000"/>
                        </w:rPr>
                      </w:pPr>
                      <w:r w:rsidRPr="000F38EC">
                        <w:rPr>
                          <w:b/>
                          <w:color w:val="000000"/>
                        </w:rPr>
                        <w:t>DRŽAVNI SVET REPUBLIKE SLOVENIJE</w:t>
                      </w:r>
                    </w:p>
                    <w:p w:rsidR="00F405CC" w:rsidRPr="000F38EC" w:rsidRDefault="00F405CC" w:rsidP="00F405CC">
                      <w:pPr>
                        <w:jc w:val="both"/>
                        <w:rPr>
                          <w:b/>
                          <w:color w:val="000000"/>
                        </w:rPr>
                      </w:pPr>
                      <w:r w:rsidRPr="000F38EC">
                        <w:rPr>
                          <w:b/>
                          <w:color w:val="000000"/>
                        </w:rPr>
                        <w:t>USTAVNO SODIŠČE REPUBLIKE SLOVENIJE</w:t>
                      </w:r>
                    </w:p>
                    <w:p w:rsidR="00F405CC" w:rsidRPr="000F38EC" w:rsidRDefault="00F405CC" w:rsidP="00F405CC">
                      <w:pPr>
                        <w:jc w:val="both"/>
                        <w:rPr>
                          <w:b/>
                          <w:color w:val="000000"/>
                        </w:rPr>
                      </w:pPr>
                      <w:r w:rsidRPr="000F38EC">
                        <w:rPr>
                          <w:b/>
                          <w:color w:val="000000"/>
                        </w:rPr>
                        <w:t>RAČUNSKO SODIŠČE REPUBLIKE SLOVENIJE</w:t>
                      </w:r>
                    </w:p>
                    <w:p w:rsidR="00F405CC" w:rsidRPr="000F38EC" w:rsidRDefault="00F405CC" w:rsidP="00F405CC">
                      <w:pPr>
                        <w:jc w:val="both"/>
                        <w:rPr>
                          <w:b/>
                          <w:color w:val="000000"/>
                        </w:rPr>
                      </w:pPr>
                      <w:r w:rsidRPr="000F38EC">
                        <w:rPr>
                          <w:b/>
                          <w:color w:val="000000"/>
                        </w:rPr>
                        <w:t>VARUH ČLOVEKOVIH PRAVIC REPUBLIKE SLOVENIJE</w:t>
                      </w:r>
                    </w:p>
                    <w:p w:rsidR="00F405CC" w:rsidRPr="000F38EC" w:rsidRDefault="00F405CC" w:rsidP="00F405CC">
                      <w:pPr>
                        <w:jc w:val="both"/>
                        <w:rPr>
                          <w:b/>
                          <w:color w:val="000000"/>
                        </w:rPr>
                      </w:pPr>
                      <w:r w:rsidRPr="000F38EC">
                        <w:rPr>
                          <w:b/>
                          <w:color w:val="000000"/>
                        </w:rPr>
                        <w:t>DRŽAVNA REVIZIJSKA KOMISIJA REPUBLIKE SLOVENIJE</w:t>
                      </w:r>
                    </w:p>
                    <w:p w:rsidR="00F405CC" w:rsidRPr="000F38EC" w:rsidRDefault="00F405CC" w:rsidP="00F405CC">
                      <w:pPr>
                        <w:jc w:val="both"/>
                        <w:rPr>
                          <w:b/>
                          <w:color w:val="000000"/>
                        </w:rPr>
                      </w:pPr>
                      <w:r w:rsidRPr="000F38EC">
                        <w:rPr>
                          <w:b/>
                          <w:color w:val="000000"/>
                        </w:rPr>
                        <w:t>INFORMACIJSKI POOBLAŠČENEC REPUBLIKE SLOVENIJE</w:t>
                      </w:r>
                    </w:p>
                    <w:p w:rsidR="00F405CC" w:rsidRPr="006B2F93" w:rsidRDefault="00F405CC" w:rsidP="00F405CC">
                      <w:pPr>
                        <w:jc w:val="both"/>
                        <w:rPr>
                          <w:b/>
                          <w:color w:val="000000"/>
                          <w:lang w:val="pt-BR"/>
                        </w:rPr>
                      </w:pPr>
                      <w:r w:rsidRPr="006B2F93">
                        <w:rPr>
                          <w:b/>
                          <w:color w:val="000000"/>
                          <w:lang w:val="pt-BR"/>
                        </w:rPr>
                        <w:t>KOMISIJA ZA PREPREČEVANJE KORUPCIJE REPUBLIKE SLOVENIJE</w:t>
                      </w:r>
                    </w:p>
                    <w:p w:rsidR="00F405CC" w:rsidRPr="006B2F93" w:rsidRDefault="00F405CC" w:rsidP="00F405CC">
                      <w:pPr>
                        <w:jc w:val="both"/>
                        <w:rPr>
                          <w:b/>
                          <w:color w:val="000000"/>
                          <w:lang w:val="pt-BR"/>
                        </w:rPr>
                      </w:pPr>
                      <w:r w:rsidRPr="006B2F93">
                        <w:rPr>
                          <w:b/>
                          <w:color w:val="000000"/>
                          <w:lang w:val="pt-BR"/>
                        </w:rPr>
                        <w:t>DRŽAVNA VOLILNA KOMISIJA</w:t>
                      </w:r>
                    </w:p>
                    <w:p w:rsidR="00F405CC" w:rsidRPr="006B2F93" w:rsidRDefault="00F405CC" w:rsidP="00F405CC">
                      <w:pPr>
                        <w:jc w:val="both"/>
                        <w:rPr>
                          <w:b/>
                          <w:color w:val="000000"/>
                          <w:lang w:val="pt-BR"/>
                        </w:rPr>
                      </w:pPr>
                      <w:r w:rsidRPr="006B2F93">
                        <w:rPr>
                          <w:b/>
                          <w:color w:val="000000"/>
                          <w:lang w:val="pt-BR"/>
                        </w:rPr>
                        <w:t>SLOVENSKA AKADEMIJA ZNANOSTI IN UMETNOSTI</w:t>
                      </w:r>
                    </w:p>
                    <w:p w:rsidR="00F405CC" w:rsidRDefault="00F405CC" w:rsidP="008A3332">
                      <w:pPr>
                        <w:jc w:val="both"/>
                        <w:rPr>
                          <w:b/>
                          <w:lang w:val="pt-BR"/>
                        </w:rPr>
                      </w:pPr>
                    </w:p>
                    <w:p w:rsidR="008A3332" w:rsidRPr="00F405CC" w:rsidRDefault="008A3332" w:rsidP="008A3332">
                      <w:pPr>
                        <w:jc w:val="both"/>
                        <w:rPr>
                          <w:b/>
                          <w:lang w:val="pt-BR"/>
                        </w:rPr>
                      </w:pPr>
                      <w:r w:rsidRPr="00F405CC">
                        <w:rPr>
                          <w:b/>
                          <w:lang w:val="pt-BR"/>
                        </w:rPr>
                        <w:t>VRHOVNO SODIŠČE REPUBLIKE SLOVENIJE</w:t>
                      </w:r>
                    </w:p>
                    <w:p w:rsidR="008A3332" w:rsidRPr="00F405CC" w:rsidRDefault="008A3332" w:rsidP="008A3332">
                      <w:pPr>
                        <w:jc w:val="both"/>
                        <w:rPr>
                          <w:b/>
                          <w:lang w:val="pt-BR"/>
                        </w:rPr>
                      </w:pPr>
                      <w:r w:rsidRPr="00F405CC">
                        <w:rPr>
                          <w:b/>
                          <w:lang w:val="pt-BR"/>
                        </w:rPr>
                        <w:t>VRHOVNO DRŽAVNO TOŽILSTVO</w:t>
                      </w:r>
                    </w:p>
                    <w:p w:rsidR="008A3332" w:rsidRPr="00F405CC" w:rsidRDefault="008A3332" w:rsidP="008A3332">
                      <w:pPr>
                        <w:jc w:val="both"/>
                        <w:rPr>
                          <w:b/>
                          <w:lang w:val="pt-BR"/>
                        </w:rPr>
                      </w:pPr>
                      <w:r w:rsidRPr="00F405CC">
                        <w:rPr>
                          <w:b/>
                          <w:lang w:val="pt-BR"/>
                        </w:rPr>
                        <w:t>DRŽAVNO PRAVOBRANILSTVO</w:t>
                      </w:r>
                    </w:p>
                    <w:p w:rsidR="008A3332" w:rsidRPr="006B2F93" w:rsidRDefault="008A3332" w:rsidP="008A3332">
                      <w:pPr>
                        <w:rPr>
                          <w:b/>
                          <w:lang w:val="pt-BR"/>
                        </w:rPr>
                      </w:pPr>
                      <w:bookmarkStart w:id="1" w:name="_GoBack"/>
                      <w:bookmarkEnd w:id="1"/>
                    </w:p>
                    <w:p w:rsidR="008A3332" w:rsidRPr="006B2F93" w:rsidRDefault="008A3332" w:rsidP="008A3332">
                      <w:pPr>
                        <w:jc w:val="both"/>
                        <w:rPr>
                          <w:b/>
                          <w:lang w:val="pt-BR"/>
                        </w:rPr>
                      </w:pPr>
                      <w:r w:rsidRPr="006B2F93">
                        <w:rPr>
                          <w:b/>
                          <w:lang w:val="pt-BR"/>
                        </w:rPr>
                        <w:t>OBČINE</w:t>
                      </w:r>
                    </w:p>
                    <w:p w:rsidR="008A3332" w:rsidRPr="006B2F93" w:rsidRDefault="008A3332" w:rsidP="008A3332">
                      <w:pPr>
                        <w:jc w:val="both"/>
                        <w:rPr>
                          <w:b/>
                          <w:lang w:val="pt-BR"/>
                        </w:rPr>
                      </w:pPr>
                      <w:r w:rsidRPr="006B2F93">
                        <w:rPr>
                          <w:b/>
                          <w:lang w:val="pt-BR"/>
                        </w:rPr>
                        <w:t>ZDRUŽENJE OBČIN SLOVENIJE</w:t>
                      </w:r>
                    </w:p>
                    <w:p w:rsidR="008A3332" w:rsidRPr="006B2F93" w:rsidRDefault="008A3332" w:rsidP="008A3332">
                      <w:pPr>
                        <w:jc w:val="both"/>
                        <w:rPr>
                          <w:b/>
                          <w:lang w:val="pt-BR"/>
                        </w:rPr>
                      </w:pPr>
                      <w:r w:rsidRPr="006B2F93">
                        <w:rPr>
                          <w:b/>
                          <w:lang w:val="pt-BR"/>
                        </w:rPr>
                        <w:t>SKUPNOST OBČIN SLOVENIJE</w:t>
                      </w:r>
                    </w:p>
                    <w:p w:rsidR="008A3332" w:rsidRPr="006B2F93" w:rsidRDefault="008A3332" w:rsidP="008A3332">
                      <w:pPr>
                        <w:jc w:val="both"/>
                        <w:rPr>
                          <w:b/>
                          <w:lang w:val="pt-BR"/>
                        </w:rPr>
                      </w:pPr>
                      <w:r w:rsidRPr="006B2F93">
                        <w:rPr>
                          <w:b/>
                          <w:lang w:val="pt-BR"/>
                        </w:rPr>
                        <w:t>ZDRUŽENJE MESTNIH OBČIN SLOVENIJE</w:t>
                      </w:r>
                    </w:p>
                    <w:p w:rsidR="008A3332" w:rsidRPr="006B2F93" w:rsidRDefault="008A3332" w:rsidP="008A3332">
                      <w:pPr>
                        <w:rPr>
                          <w:b/>
                          <w:lang w:val="pt-BR"/>
                        </w:rPr>
                      </w:pPr>
                    </w:p>
                    <w:p w:rsidR="008A3332" w:rsidRPr="006B2F93" w:rsidRDefault="008A3332" w:rsidP="008A3332">
                      <w:pPr>
                        <w:rPr>
                          <w:b/>
                          <w:lang w:val="pt-BR"/>
                        </w:rPr>
                      </w:pPr>
                      <w:r w:rsidRPr="006B2F93">
                        <w:rPr>
                          <w:b/>
                          <w:lang w:val="pt-BR"/>
                        </w:rPr>
                        <w:t>MINISTRSTVA</w:t>
                      </w:r>
                    </w:p>
                    <w:p w:rsidR="008A3332" w:rsidRPr="006B2F93" w:rsidRDefault="008A3332" w:rsidP="008A3332">
                      <w:pPr>
                        <w:rPr>
                          <w:b/>
                          <w:lang w:val="pt-BR"/>
                        </w:rPr>
                      </w:pPr>
                      <w:r w:rsidRPr="006B2F93">
                        <w:rPr>
                          <w:b/>
                          <w:lang w:val="pt-BR"/>
                        </w:rPr>
                        <w:t>ORGANI V SESTAVI MINISTRSTEV</w:t>
                      </w:r>
                    </w:p>
                    <w:p w:rsidR="008A3332" w:rsidRPr="00F405CC" w:rsidRDefault="008A3332" w:rsidP="008A3332">
                      <w:pPr>
                        <w:rPr>
                          <w:b/>
                          <w:lang w:val="pt-BR"/>
                        </w:rPr>
                      </w:pPr>
                      <w:r w:rsidRPr="00F405CC">
                        <w:rPr>
                          <w:b/>
                          <w:lang w:val="pt-BR"/>
                        </w:rPr>
                        <w:t>VLADNE SLUŽBE</w:t>
                      </w:r>
                    </w:p>
                    <w:p w:rsidR="0072047C" w:rsidRDefault="008A3332" w:rsidP="0072047C">
                      <w:pPr>
                        <w:rPr>
                          <w:rFonts w:cs="Arial"/>
                          <w:color w:val="000000"/>
                          <w:szCs w:val="20"/>
                          <w:lang w:eastAsia="sl-SI"/>
                        </w:rPr>
                      </w:pPr>
                      <w:r w:rsidRPr="000F38EC">
                        <w:rPr>
                          <w:b/>
                        </w:rPr>
                        <w:t>UPRAVNE ENOTE</w:t>
                      </w:r>
                    </w:p>
                    <w:p w:rsidR="0072047C" w:rsidRDefault="0072047C" w:rsidP="0072047C">
                      <w:pPr>
                        <w:rPr>
                          <w:rFonts w:cs="Arial"/>
                          <w:color w:val="000000"/>
                          <w:szCs w:val="20"/>
                          <w:lang w:eastAsia="sl-SI"/>
                        </w:rPr>
                      </w:pPr>
                    </w:p>
                    <w:p w:rsidR="0072047C" w:rsidRDefault="0072047C" w:rsidP="0072047C">
                      <w:pPr>
                        <w:rPr>
                          <w:rFonts w:cs="Arial"/>
                          <w:color w:val="000000"/>
                          <w:szCs w:val="20"/>
                          <w:lang w:eastAsia="sl-SI"/>
                        </w:rPr>
                      </w:pPr>
                    </w:p>
                    <w:p w:rsidR="0072047C" w:rsidRDefault="0072047C" w:rsidP="0072047C">
                      <w:pPr>
                        <w:rPr>
                          <w:rFonts w:cs="Arial"/>
                          <w:color w:val="000000"/>
                          <w:szCs w:val="20"/>
                          <w:lang w:eastAsia="sl-SI"/>
                        </w:rPr>
                      </w:pPr>
                    </w:p>
                    <w:p w:rsidR="0072047C" w:rsidRDefault="0072047C" w:rsidP="0072047C">
                      <w:pPr>
                        <w:rPr>
                          <w:rFonts w:cs="Arial"/>
                          <w:color w:val="000000"/>
                          <w:szCs w:val="20"/>
                          <w:lang w:eastAsia="sl-SI"/>
                        </w:rPr>
                      </w:pPr>
                    </w:p>
                    <w:p w:rsidR="0072047C" w:rsidRPr="002C6A47" w:rsidRDefault="0072047C" w:rsidP="0072047C">
                      <w:pPr>
                        <w:rPr>
                          <w:rFonts w:cs="Arial"/>
                          <w:color w:val="000000"/>
                          <w:szCs w:val="20"/>
                          <w:lang w:eastAsia="sl-SI"/>
                        </w:rPr>
                      </w:pPr>
                    </w:p>
                    <w:p w:rsidR="0072047C" w:rsidRDefault="0072047C" w:rsidP="0072047C">
                      <w:pPr>
                        <w:rPr>
                          <w:rFonts w:cs="Arial"/>
                          <w:color w:val="000000"/>
                          <w:szCs w:val="20"/>
                          <w:lang w:eastAsia="sl-SI"/>
                        </w:rPr>
                      </w:pPr>
                    </w:p>
                    <w:p w:rsidR="0072047C" w:rsidRPr="002C6A47" w:rsidRDefault="0072047C" w:rsidP="0072047C"/>
                  </w:txbxContent>
                </v:textbox>
                <w10:wrap type="topAndBottom" anchorx="page" anchory="page"/>
              </v:shape>
            </w:pict>
          </mc:Fallback>
        </mc:AlternateContent>
      </w:r>
      <w:r w:rsidR="0072047C" w:rsidRPr="00902ABF">
        <w:t xml:space="preserve">Številka: </w:t>
      </w:r>
      <w:r w:rsidR="0072047C" w:rsidRPr="00902ABF">
        <w:tab/>
        <w:t>1000-</w:t>
      </w:r>
      <w:r w:rsidR="00902ABF" w:rsidRPr="00902ABF">
        <w:t>350</w:t>
      </w:r>
      <w:r w:rsidR="0072047C" w:rsidRPr="00902ABF">
        <w:t>/201</w:t>
      </w:r>
      <w:r w:rsidR="00BA52DB" w:rsidRPr="00902ABF">
        <w:t>2</w:t>
      </w:r>
      <w:r w:rsidR="0072047C" w:rsidRPr="00902ABF">
        <w:t>/</w:t>
      </w:r>
      <w:r w:rsidR="005D040A" w:rsidRPr="00902ABF">
        <w:t>1</w:t>
      </w:r>
    </w:p>
    <w:p w:rsidR="0072047C" w:rsidRPr="00202A77" w:rsidRDefault="0072047C" w:rsidP="0072047C">
      <w:pPr>
        <w:pStyle w:val="datumtevilka"/>
      </w:pPr>
      <w:r w:rsidRPr="00202A77">
        <w:t xml:space="preserve">Datum: </w:t>
      </w:r>
      <w:r w:rsidRPr="00202A77">
        <w:tab/>
      </w:r>
      <w:r w:rsidR="00D07145">
        <w:t>2</w:t>
      </w:r>
      <w:r w:rsidR="00902ABF">
        <w:t>8</w:t>
      </w:r>
      <w:r>
        <w:t>.0</w:t>
      </w:r>
      <w:r w:rsidR="008A3332">
        <w:t>6</w:t>
      </w:r>
      <w:r>
        <w:t>.2012</w:t>
      </w:r>
    </w:p>
    <w:p w:rsidR="0072047C" w:rsidRDefault="0072047C" w:rsidP="0072047C"/>
    <w:p w:rsidR="0072047C" w:rsidRDefault="0072047C" w:rsidP="0072047C"/>
    <w:p w:rsidR="0072047C" w:rsidRPr="00640131" w:rsidRDefault="0072047C" w:rsidP="00640131">
      <w:pPr>
        <w:pStyle w:val="Naslov1"/>
      </w:pPr>
      <w:r w:rsidRPr="00640131">
        <w:t xml:space="preserve">Zadeva: </w:t>
      </w:r>
      <w:r w:rsidRPr="00640131">
        <w:tab/>
      </w:r>
      <w:r w:rsidR="00B24426" w:rsidRPr="00640131">
        <w:t>Uveljavitev ukrepov na področju plač</w:t>
      </w:r>
      <w:r w:rsidR="00092955" w:rsidRPr="00640131">
        <w:t xml:space="preserve"> </w:t>
      </w:r>
      <w:r w:rsidR="00B24426" w:rsidRPr="00640131">
        <w:t>v javnem sektorju za uravnoteženje javnih financ</w:t>
      </w:r>
      <w:r w:rsidRPr="00640131">
        <w:t xml:space="preserve"> </w:t>
      </w:r>
    </w:p>
    <w:p w:rsidR="0072047C" w:rsidRDefault="0072047C" w:rsidP="0072047C"/>
    <w:p w:rsidR="0072047C" w:rsidRDefault="0072047C" w:rsidP="0072047C">
      <w:r>
        <w:t>Spoštovani</w:t>
      </w:r>
      <w:r w:rsidR="00431D2A">
        <w:t>,</w:t>
      </w:r>
    </w:p>
    <w:p w:rsidR="0072047C" w:rsidRDefault="0072047C" w:rsidP="0072047C"/>
    <w:p w:rsidR="00DF5641" w:rsidRPr="008C7FCA" w:rsidRDefault="00431D2A" w:rsidP="00092955">
      <w:pPr>
        <w:jc w:val="both"/>
        <w:rPr>
          <w:rFonts w:cs="Arial"/>
          <w:szCs w:val="20"/>
        </w:rPr>
      </w:pPr>
      <w:r w:rsidRPr="008C7FCA">
        <w:rPr>
          <w:rFonts w:cs="Arial"/>
          <w:szCs w:val="20"/>
        </w:rPr>
        <w:t>v</w:t>
      </w:r>
      <w:r w:rsidR="00DF5641" w:rsidRPr="008C7FCA">
        <w:rPr>
          <w:rFonts w:cs="Arial"/>
          <w:szCs w:val="20"/>
        </w:rPr>
        <w:t xml:space="preserve"> Uradnem listu</w:t>
      </w:r>
      <w:r w:rsidR="00A4390C" w:rsidRPr="008C7FCA">
        <w:rPr>
          <w:rFonts w:cs="Arial"/>
          <w:szCs w:val="20"/>
        </w:rPr>
        <w:t xml:space="preserve"> RS</w:t>
      </w:r>
      <w:r w:rsidR="00DF5641" w:rsidRPr="008C7FCA">
        <w:rPr>
          <w:rFonts w:cs="Arial"/>
          <w:szCs w:val="20"/>
        </w:rPr>
        <w:t xml:space="preserve"> št. 40/12 </w:t>
      </w:r>
      <w:r w:rsidR="00092955">
        <w:rPr>
          <w:rFonts w:cs="Arial"/>
          <w:szCs w:val="20"/>
        </w:rPr>
        <w:t>s</w:t>
      </w:r>
      <w:r w:rsidR="00E4439F">
        <w:rPr>
          <w:rFonts w:cs="Arial"/>
          <w:szCs w:val="20"/>
        </w:rPr>
        <w:t>ta</w:t>
      </w:r>
      <w:r w:rsidR="00092955">
        <w:rPr>
          <w:rFonts w:cs="Arial"/>
          <w:szCs w:val="20"/>
        </w:rPr>
        <w:t xml:space="preserve"> </w:t>
      </w:r>
      <w:r w:rsidR="00E273C3">
        <w:rPr>
          <w:rFonts w:cs="Arial"/>
          <w:szCs w:val="20"/>
        </w:rPr>
        <w:t>poleg</w:t>
      </w:r>
      <w:r w:rsidR="00092955">
        <w:rPr>
          <w:rFonts w:cs="Arial"/>
          <w:szCs w:val="20"/>
        </w:rPr>
        <w:t xml:space="preserve"> aneks</w:t>
      </w:r>
      <w:r w:rsidR="00E273C3">
        <w:rPr>
          <w:rFonts w:cs="Arial"/>
          <w:szCs w:val="20"/>
        </w:rPr>
        <w:t>ov</w:t>
      </w:r>
      <w:r w:rsidR="00092955">
        <w:rPr>
          <w:rFonts w:cs="Arial"/>
          <w:szCs w:val="20"/>
        </w:rPr>
        <w:t xml:space="preserve"> h kolektivnim pogodbam dejavnosti in poklicev, bil</w:t>
      </w:r>
      <w:r w:rsidR="00E4439F">
        <w:rPr>
          <w:rFonts w:cs="Arial"/>
          <w:szCs w:val="20"/>
        </w:rPr>
        <w:t>a</w:t>
      </w:r>
      <w:r w:rsidR="00092955">
        <w:rPr>
          <w:rFonts w:cs="Arial"/>
          <w:szCs w:val="20"/>
        </w:rPr>
        <w:t xml:space="preserve"> objavljen</w:t>
      </w:r>
      <w:r w:rsidR="00E4439F">
        <w:rPr>
          <w:rFonts w:cs="Arial"/>
          <w:szCs w:val="20"/>
        </w:rPr>
        <w:t>a</w:t>
      </w:r>
      <w:r w:rsidR="00092955">
        <w:rPr>
          <w:rFonts w:cs="Arial"/>
          <w:szCs w:val="20"/>
        </w:rPr>
        <w:t xml:space="preserve"> tudi </w:t>
      </w:r>
      <w:r w:rsidR="00D7754C" w:rsidRPr="008C7FCA">
        <w:rPr>
          <w:rFonts w:cs="Arial"/>
          <w:szCs w:val="20"/>
        </w:rPr>
        <w:t>Z</w:t>
      </w:r>
      <w:r w:rsidR="005D040A" w:rsidRPr="008C7FCA">
        <w:rPr>
          <w:rFonts w:cs="Arial"/>
          <w:szCs w:val="20"/>
        </w:rPr>
        <w:t>akon za uravnoteženje javnih financ</w:t>
      </w:r>
      <w:r w:rsidR="00D7754C" w:rsidRPr="008C7FCA">
        <w:rPr>
          <w:rFonts w:cs="Arial"/>
          <w:szCs w:val="20"/>
        </w:rPr>
        <w:t xml:space="preserve"> (v nadaljevanju ZUJF)</w:t>
      </w:r>
      <w:r w:rsidR="00092955">
        <w:rPr>
          <w:rFonts w:cs="Arial"/>
          <w:szCs w:val="20"/>
        </w:rPr>
        <w:t xml:space="preserve"> in</w:t>
      </w:r>
      <w:r w:rsidR="00DF5641" w:rsidRPr="008C7FCA">
        <w:rPr>
          <w:rFonts w:cs="Arial"/>
          <w:szCs w:val="20"/>
        </w:rPr>
        <w:t xml:space="preserve"> Aneks št. 5 h Kolektivni pogodbi za javni sektor</w:t>
      </w:r>
      <w:r w:rsidR="00092955">
        <w:rPr>
          <w:rFonts w:cs="Arial"/>
          <w:szCs w:val="20"/>
        </w:rPr>
        <w:t xml:space="preserve">, s katerima se zaradi uravnoteženja javnih financ posega v plače </w:t>
      </w:r>
      <w:r w:rsidR="00C342EF">
        <w:rPr>
          <w:rFonts w:cs="Arial"/>
          <w:szCs w:val="20"/>
        </w:rPr>
        <w:t>zaposlenih v javnem sektorju</w:t>
      </w:r>
      <w:r w:rsidR="00092955">
        <w:rPr>
          <w:rFonts w:cs="Arial"/>
          <w:szCs w:val="20"/>
        </w:rPr>
        <w:t xml:space="preserve">. </w:t>
      </w:r>
      <w:r w:rsidR="00E273C3">
        <w:rPr>
          <w:rFonts w:cs="Arial"/>
          <w:szCs w:val="20"/>
        </w:rPr>
        <w:t xml:space="preserve">V </w:t>
      </w:r>
      <w:r w:rsidR="00E4439F">
        <w:rPr>
          <w:rFonts w:cs="Arial"/>
          <w:szCs w:val="20"/>
        </w:rPr>
        <w:t>U</w:t>
      </w:r>
      <w:r w:rsidR="00E273C3">
        <w:rPr>
          <w:rFonts w:cs="Arial"/>
          <w:szCs w:val="20"/>
        </w:rPr>
        <w:t>radnem listu RS, št. 41/12 so bili objavljeni še trije podzakonski predpisi</w:t>
      </w:r>
      <w:r w:rsidR="00E4439F">
        <w:rPr>
          <w:rFonts w:cs="Arial"/>
          <w:szCs w:val="20"/>
        </w:rPr>
        <w:t xml:space="preserve">, s katerimi </w:t>
      </w:r>
      <w:r w:rsidR="00E4439F" w:rsidRPr="00902ABF">
        <w:rPr>
          <w:rFonts w:cs="Arial"/>
          <w:szCs w:val="20"/>
        </w:rPr>
        <w:t xml:space="preserve">se prav tako </w:t>
      </w:r>
      <w:r w:rsidR="002A5E68" w:rsidRPr="00902ABF">
        <w:rPr>
          <w:rFonts w:cs="Arial"/>
          <w:szCs w:val="20"/>
        </w:rPr>
        <w:t>uveljavljajo določeni ukrepi na področju</w:t>
      </w:r>
      <w:r w:rsidR="002A5E68">
        <w:rPr>
          <w:rFonts w:cs="Arial"/>
          <w:color w:val="339966"/>
          <w:szCs w:val="20"/>
        </w:rPr>
        <w:t xml:space="preserve"> </w:t>
      </w:r>
      <w:r w:rsidR="002A5E68">
        <w:rPr>
          <w:rFonts w:cs="Arial"/>
          <w:szCs w:val="20"/>
        </w:rPr>
        <w:t>plač</w:t>
      </w:r>
      <w:r w:rsidR="00E4439F">
        <w:rPr>
          <w:rFonts w:cs="Arial"/>
          <w:szCs w:val="20"/>
        </w:rPr>
        <w:t xml:space="preserve"> zaposlenih v javnem sektorju </w:t>
      </w:r>
      <w:r w:rsidR="00E273C3">
        <w:rPr>
          <w:rFonts w:cs="Arial"/>
          <w:szCs w:val="20"/>
        </w:rPr>
        <w:t xml:space="preserve">(Uredba o spremembah in dopolnitvah uredbe o plačah direktorjev v javnem sektorju, Uredba o spremembah in dopolnitvah uredbe o plačah in drugih prejemkih </w:t>
      </w:r>
      <w:r w:rsidR="00E273C3">
        <w:rPr>
          <w:rFonts w:cs="Arial"/>
          <w:szCs w:val="20"/>
        </w:rPr>
        <w:lastRenderedPageBreak/>
        <w:t xml:space="preserve">javnih uslužbencev za delo v tujini, Uredba o spremembah in dopolnitvah uredbe o delovni uspešnosti iz naslova prodaje blaga in storitev na trgu).   </w:t>
      </w:r>
      <w:r w:rsidR="00092955">
        <w:rPr>
          <w:rFonts w:cs="Arial"/>
          <w:szCs w:val="20"/>
        </w:rPr>
        <w:t xml:space="preserve"> </w:t>
      </w:r>
      <w:r w:rsidR="00DF5641" w:rsidRPr="008C7FCA">
        <w:rPr>
          <w:rFonts w:cs="Arial"/>
          <w:szCs w:val="20"/>
        </w:rPr>
        <w:t xml:space="preserve"> </w:t>
      </w:r>
    </w:p>
    <w:p w:rsidR="000E23F8" w:rsidRPr="008C7FCA" w:rsidRDefault="000E23F8" w:rsidP="000E23F8">
      <w:pPr>
        <w:jc w:val="both"/>
        <w:rPr>
          <w:rFonts w:cs="Arial"/>
          <w:bCs/>
          <w:szCs w:val="20"/>
        </w:rPr>
      </w:pPr>
    </w:p>
    <w:p w:rsidR="000E23F8" w:rsidRPr="008C7FCA" w:rsidRDefault="000E23F8" w:rsidP="000E23F8">
      <w:pPr>
        <w:jc w:val="both"/>
        <w:rPr>
          <w:rFonts w:cs="Arial"/>
          <w:bCs/>
          <w:szCs w:val="20"/>
        </w:rPr>
      </w:pPr>
      <w:r w:rsidRPr="008C7FCA">
        <w:rPr>
          <w:rFonts w:cs="Arial"/>
          <w:bCs/>
          <w:szCs w:val="20"/>
        </w:rPr>
        <w:t xml:space="preserve">Z namenom zagotovitve enotnega ravnanja proračunskih uporabnikov glede </w:t>
      </w:r>
      <w:r w:rsidR="00D61786" w:rsidRPr="008C7FCA">
        <w:rPr>
          <w:rFonts w:cs="Arial"/>
          <w:bCs/>
          <w:szCs w:val="20"/>
        </w:rPr>
        <w:t>realizacije ukrepov za uravnoteženje javnih financ</w:t>
      </w:r>
      <w:r w:rsidR="0000140F" w:rsidRPr="008C7FCA">
        <w:rPr>
          <w:rFonts w:cs="Arial"/>
          <w:bCs/>
          <w:szCs w:val="20"/>
        </w:rPr>
        <w:t xml:space="preserve">, ki se nanašajo </w:t>
      </w:r>
      <w:r w:rsidR="00E96962" w:rsidRPr="008C7FCA">
        <w:rPr>
          <w:rFonts w:cs="Arial"/>
          <w:bCs/>
          <w:szCs w:val="20"/>
        </w:rPr>
        <w:t xml:space="preserve">na </w:t>
      </w:r>
      <w:r w:rsidR="0000140F" w:rsidRPr="008C7FCA">
        <w:rPr>
          <w:rFonts w:cs="Arial"/>
          <w:bCs/>
          <w:szCs w:val="20"/>
        </w:rPr>
        <w:t>plače,</w:t>
      </w:r>
      <w:r w:rsidR="00D61786" w:rsidRPr="008C7FCA">
        <w:rPr>
          <w:rFonts w:cs="Arial"/>
          <w:bCs/>
          <w:szCs w:val="20"/>
        </w:rPr>
        <w:t xml:space="preserve"> vam posredujemo naslednje pojasnilo</w:t>
      </w:r>
      <w:r w:rsidR="00092955">
        <w:rPr>
          <w:rFonts w:cs="Arial"/>
          <w:bCs/>
          <w:szCs w:val="20"/>
        </w:rPr>
        <w:t>:</w:t>
      </w:r>
    </w:p>
    <w:p w:rsidR="00D61786" w:rsidRDefault="00D61786" w:rsidP="000E23F8">
      <w:pPr>
        <w:jc w:val="both"/>
        <w:rPr>
          <w:rFonts w:cs="Arial"/>
          <w:bCs/>
          <w:szCs w:val="20"/>
        </w:rPr>
      </w:pPr>
    </w:p>
    <w:p w:rsidR="008973EF" w:rsidRPr="008C7FCA" w:rsidRDefault="008973EF" w:rsidP="000E23F8">
      <w:pPr>
        <w:jc w:val="both"/>
        <w:rPr>
          <w:rFonts w:cs="Arial"/>
          <w:bCs/>
          <w:szCs w:val="20"/>
        </w:rPr>
      </w:pPr>
    </w:p>
    <w:p w:rsidR="0051388F" w:rsidRPr="008C7FCA" w:rsidRDefault="0051388F" w:rsidP="00A517D4">
      <w:pPr>
        <w:numPr>
          <w:ilvl w:val="0"/>
          <w:numId w:val="7"/>
        </w:numPr>
        <w:jc w:val="both"/>
        <w:rPr>
          <w:rFonts w:cs="Arial"/>
          <w:b/>
          <w:szCs w:val="20"/>
        </w:rPr>
      </w:pPr>
      <w:r w:rsidRPr="008C7FCA">
        <w:rPr>
          <w:rFonts w:cs="Arial"/>
          <w:b/>
          <w:szCs w:val="20"/>
        </w:rPr>
        <w:t xml:space="preserve">Odprava nesorazmerij v osnovnih plačah in </w:t>
      </w:r>
      <w:r w:rsidR="003D2521" w:rsidRPr="008C7FCA">
        <w:rPr>
          <w:rFonts w:cs="Arial"/>
          <w:b/>
          <w:szCs w:val="20"/>
        </w:rPr>
        <w:t>znižanje vrednosti plačnih razredov plačne lestvice</w:t>
      </w:r>
      <w:r w:rsidR="005519A1">
        <w:rPr>
          <w:rFonts w:cs="Arial"/>
          <w:b/>
          <w:szCs w:val="20"/>
        </w:rPr>
        <w:t xml:space="preserve"> </w:t>
      </w:r>
    </w:p>
    <w:p w:rsidR="0051388F" w:rsidRPr="008C7FCA" w:rsidRDefault="0051388F" w:rsidP="0051388F">
      <w:pPr>
        <w:jc w:val="both"/>
        <w:rPr>
          <w:rFonts w:cs="Arial"/>
          <w:b/>
          <w:szCs w:val="20"/>
        </w:rPr>
      </w:pPr>
    </w:p>
    <w:p w:rsidR="007732EE" w:rsidRPr="008C7FCA" w:rsidRDefault="00A31A2C" w:rsidP="0051388F">
      <w:pPr>
        <w:jc w:val="both"/>
        <w:rPr>
          <w:rFonts w:cs="Arial"/>
          <w:color w:val="000000"/>
          <w:szCs w:val="20"/>
        </w:rPr>
      </w:pPr>
      <w:r w:rsidRPr="008C7FCA">
        <w:rPr>
          <w:rFonts w:cs="Arial"/>
          <w:color w:val="000000"/>
          <w:szCs w:val="20"/>
        </w:rPr>
        <w:t>Odprav</w:t>
      </w:r>
      <w:r w:rsidR="00993D00" w:rsidRPr="008C7FCA">
        <w:rPr>
          <w:rFonts w:cs="Arial"/>
          <w:color w:val="000000"/>
          <w:szCs w:val="20"/>
        </w:rPr>
        <w:t>a</w:t>
      </w:r>
      <w:r w:rsidRPr="008C7FCA">
        <w:rPr>
          <w:rFonts w:cs="Arial"/>
          <w:color w:val="000000"/>
          <w:szCs w:val="20"/>
        </w:rPr>
        <w:t xml:space="preserve"> </w:t>
      </w:r>
      <w:r w:rsidR="00993D00" w:rsidRPr="008C7FCA">
        <w:rPr>
          <w:rFonts w:cs="Arial"/>
          <w:color w:val="000000"/>
          <w:szCs w:val="20"/>
        </w:rPr>
        <w:t xml:space="preserve">tretje in četrte četrtine </w:t>
      </w:r>
      <w:r w:rsidRPr="008C7FCA">
        <w:rPr>
          <w:rFonts w:cs="Arial"/>
          <w:color w:val="000000"/>
          <w:szCs w:val="20"/>
        </w:rPr>
        <w:t>nesorazmerj</w:t>
      </w:r>
      <w:r w:rsidR="00993D00" w:rsidRPr="008C7FCA">
        <w:rPr>
          <w:rFonts w:cs="Arial"/>
          <w:color w:val="000000"/>
          <w:szCs w:val="20"/>
        </w:rPr>
        <w:t>a</w:t>
      </w:r>
      <w:r w:rsidRPr="008C7FCA">
        <w:rPr>
          <w:rFonts w:cs="Arial"/>
          <w:color w:val="000000"/>
          <w:szCs w:val="20"/>
        </w:rPr>
        <w:t xml:space="preserve"> v osnovnih plačah</w:t>
      </w:r>
      <w:r w:rsidR="005B55CA" w:rsidRPr="008C7FCA">
        <w:rPr>
          <w:rFonts w:cs="Arial"/>
          <w:color w:val="000000"/>
          <w:szCs w:val="20"/>
        </w:rPr>
        <w:t xml:space="preserve"> s 1.6.2012</w:t>
      </w:r>
      <w:r w:rsidRPr="008C7FCA">
        <w:rPr>
          <w:rFonts w:cs="Arial"/>
          <w:color w:val="000000"/>
          <w:szCs w:val="20"/>
        </w:rPr>
        <w:t xml:space="preserve"> </w:t>
      </w:r>
      <w:r w:rsidR="005B55CA" w:rsidRPr="008C7FCA">
        <w:rPr>
          <w:rFonts w:cs="Arial"/>
          <w:color w:val="000000"/>
          <w:szCs w:val="20"/>
        </w:rPr>
        <w:t>je bila dogovorjen</w:t>
      </w:r>
      <w:r w:rsidR="00993D00" w:rsidRPr="008C7FCA">
        <w:rPr>
          <w:rFonts w:cs="Arial"/>
          <w:color w:val="000000"/>
          <w:szCs w:val="20"/>
        </w:rPr>
        <w:t>a</w:t>
      </w:r>
      <w:r w:rsidR="005B55CA" w:rsidRPr="008C7FCA">
        <w:rPr>
          <w:rFonts w:cs="Arial"/>
          <w:color w:val="000000"/>
          <w:szCs w:val="20"/>
        </w:rPr>
        <w:t xml:space="preserve"> s podpisom Aneksa št. 5 h Kolektivni pogodbi za javni sektor</w:t>
      </w:r>
      <w:r w:rsidR="00C77DB3" w:rsidRPr="008C7FCA">
        <w:rPr>
          <w:rFonts w:cs="Arial"/>
          <w:color w:val="000000"/>
          <w:szCs w:val="20"/>
        </w:rPr>
        <w:t xml:space="preserve"> (vsebinsko enako določbo vsebuje ZUJF v 155. členu)</w:t>
      </w:r>
      <w:r w:rsidR="005B55CA" w:rsidRPr="008C7FCA">
        <w:rPr>
          <w:rFonts w:cs="Arial"/>
          <w:color w:val="000000"/>
          <w:szCs w:val="20"/>
        </w:rPr>
        <w:t xml:space="preserve">. </w:t>
      </w:r>
      <w:r w:rsidR="0051388F" w:rsidRPr="008C7FCA">
        <w:rPr>
          <w:rFonts w:cs="Arial"/>
          <w:color w:val="000000"/>
          <w:szCs w:val="20"/>
        </w:rPr>
        <w:t>Odprava nesorazmerij v osnovnih plačah pomeni, da bodo zaposleni v javnem sektorju dejansko prejemali osnovno plačo, kot je določena s konkretnim plačnim razredom iz</w:t>
      </w:r>
      <w:r w:rsidR="005B55CA" w:rsidRPr="008C7FCA">
        <w:rPr>
          <w:rFonts w:cs="Arial"/>
          <w:color w:val="000000"/>
          <w:szCs w:val="20"/>
        </w:rPr>
        <w:t xml:space="preserve"> nove</w:t>
      </w:r>
      <w:r w:rsidR="0051388F" w:rsidRPr="008C7FCA">
        <w:rPr>
          <w:rFonts w:cs="Arial"/>
          <w:color w:val="000000"/>
          <w:szCs w:val="20"/>
        </w:rPr>
        <w:t xml:space="preserve"> plačne lestvice</w:t>
      </w:r>
      <w:r w:rsidR="005B55CA" w:rsidRPr="008C7FCA">
        <w:rPr>
          <w:rFonts w:cs="Arial"/>
          <w:color w:val="000000"/>
          <w:szCs w:val="20"/>
        </w:rPr>
        <w:t xml:space="preserve">, določene v prilogi 1 </w:t>
      </w:r>
      <w:r w:rsidR="0051388F" w:rsidRPr="008C7FCA">
        <w:rPr>
          <w:rFonts w:cs="Arial"/>
          <w:color w:val="000000"/>
          <w:szCs w:val="20"/>
        </w:rPr>
        <w:t xml:space="preserve">ZUJF, </w:t>
      </w:r>
      <w:r w:rsidR="0051388F" w:rsidRPr="008C7FCA">
        <w:rPr>
          <w:rFonts w:cs="Arial"/>
          <w:color w:val="000000"/>
          <w:szCs w:val="20"/>
          <w:u w:val="single"/>
        </w:rPr>
        <w:t>brez odbitka</w:t>
      </w:r>
      <w:r w:rsidRPr="008C7FCA">
        <w:rPr>
          <w:rFonts w:cs="Arial"/>
          <w:color w:val="000000"/>
          <w:szCs w:val="20"/>
          <w:u w:val="single"/>
        </w:rPr>
        <w:t>.</w:t>
      </w:r>
      <w:r w:rsidR="0051388F" w:rsidRPr="008C7FCA">
        <w:rPr>
          <w:rFonts w:cs="Arial"/>
          <w:color w:val="000000"/>
          <w:szCs w:val="20"/>
        </w:rPr>
        <w:t xml:space="preserve"> </w:t>
      </w:r>
      <w:r w:rsidR="00D83231">
        <w:rPr>
          <w:rFonts w:cs="Arial"/>
          <w:color w:val="000000"/>
          <w:szCs w:val="20"/>
        </w:rPr>
        <w:t>Vprašanje, ali se prej odpravijo nesorazmerja in potem znižajo osnovne plače ali obratno, je torej irelevantno, saj z odpravo nesorazmerij v osnovnih plačah ni več podlage</w:t>
      </w:r>
      <w:r w:rsidR="001728C1">
        <w:rPr>
          <w:rFonts w:cs="Arial"/>
          <w:color w:val="000000"/>
          <w:szCs w:val="20"/>
        </w:rPr>
        <w:t>, da bi se zaposlenim obračunavala in izplačevala osnovna plača, ki je nižja od vrednosti plačnega razreda.</w:t>
      </w:r>
      <w:r w:rsidR="006250C6">
        <w:rPr>
          <w:rFonts w:cs="Arial"/>
          <w:color w:val="000000"/>
          <w:szCs w:val="20"/>
        </w:rPr>
        <w:t xml:space="preserve"> V primerih, ko je zaposleni napredoval v višji plačni razred ali mu je zaradi napredovanja v naziv bil določen višji plačni razred, zaradi še vedno veljavnih interventnih ukrepov pa se mu plača ne obračunava in izplačuje v skladu s plačnim razredom, v katerega je napredoval, se zaposlenemu obračunava in izplačuje osnovna plača v skladu s plačnim razredom pred tem napredovanjem.    </w:t>
      </w:r>
      <w:r w:rsidR="001728C1">
        <w:rPr>
          <w:rFonts w:cs="Arial"/>
          <w:color w:val="000000"/>
          <w:szCs w:val="20"/>
        </w:rPr>
        <w:t xml:space="preserve"> </w:t>
      </w:r>
    </w:p>
    <w:p w:rsidR="00C77DB3" w:rsidRDefault="00C77DB3" w:rsidP="0051388F">
      <w:pPr>
        <w:jc w:val="both"/>
        <w:rPr>
          <w:rFonts w:cs="Arial"/>
          <w:color w:val="000000"/>
          <w:szCs w:val="20"/>
        </w:rPr>
      </w:pPr>
    </w:p>
    <w:p w:rsidR="004807DA" w:rsidRDefault="004807DA" w:rsidP="0051388F">
      <w:pPr>
        <w:jc w:val="both"/>
        <w:rPr>
          <w:rFonts w:cs="Arial"/>
          <w:color w:val="000000"/>
          <w:szCs w:val="20"/>
        </w:rPr>
      </w:pPr>
      <w:r>
        <w:rPr>
          <w:rFonts w:cs="Arial"/>
          <w:color w:val="000000"/>
          <w:szCs w:val="20"/>
        </w:rPr>
        <w:t xml:space="preserve">Dejstvo, da z uveljavitvijo ZUJF zaposleni v javnem sektorju prejemajo osnovno plačo, ki ustreza plačnemu razredu brez odbitkov, bistveno poenostavlja določitev osnovne plače (plačnega razreda) v primerih novih zaposlitev. </w:t>
      </w:r>
      <w:r w:rsidR="00AE6D96">
        <w:rPr>
          <w:rFonts w:cs="Arial"/>
          <w:color w:val="000000"/>
          <w:szCs w:val="20"/>
        </w:rPr>
        <w:t>Plačni razred se osebi, ki se zaposli v javnem sektorju določi v skladu z 19. členom ZSPJS, pri čemer so podatki o preved</w:t>
      </w:r>
      <w:r w:rsidR="00472EED">
        <w:rPr>
          <w:rFonts w:cs="Arial"/>
          <w:color w:val="000000"/>
          <w:szCs w:val="20"/>
        </w:rPr>
        <w:t>bi</w:t>
      </w:r>
      <w:r w:rsidR="00AE6D96">
        <w:rPr>
          <w:rFonts w:cs="Arial"/>
          <w:color w:val="000000"/>
          <w:szCs w:val="20"/>
        </w:rPr>
        <w:t xml:space="preserve"> delovnega mesta oziroma naziva irelevantni. Ker so nesorazmerja v osnovnih plačah odpravljena, in torej ni več postopnega doseganja končnega (</w:t>
      </w:r>
      <w:proofErr w:type="spellStart"/>
      <w:r w:rsidR="00AE6D96">
        <w:rPr>
          <w:rFonts w:cs="Arial"/>
          <w:color w:val="000000"/>
          <w:szCs w:val="20"/>
        </w:rPr>
        <w:t>uvrstitvenega</w:t>
      </w:r>
      <w:proofErr w:type="spellEnd"/>
      <w:r w:rsidR="00AE6D96">
        <w:rPr>
          <w:rFonts w:cs="Arial"/>
          <w:color w:val="000000"/>
          <w:szCs w:val="20"/>
        </w:rPr>
        <w:t xml:space="preserve">) plačnega razreda po četrtinah, tudi za </w:t>
      </w:r>
      <w:proofErr w:type="spellStart"/>
      <w:r w:rsidR="00AE6D96">
        <w:rPr>
          <w:rFonts w:cs="Arial"/>
          <w:color w:val="000000"/>
          <w:szCs w:val="20"/>
        </w:rPr>
        <w:t>novozaposlene</w:t>
      </w:r>
      <w:proofErr w:type="spellEnd"/>
      <w:r w:rsidR="00AE6D96">
        <w:rPr>
          <w:rFonts w:cs="Arial"/>
          <w:color w:val="000000"/>
          <w:szCs w:val="20"/>
        </w:rPr>
        <w:t xml:space="preserve"> ni več treba izračunavati deležev za odpravo nesorazmerja oziroma odbitka glede na razliko med uvrstitvijo delovnega mesta oziroma naziva v konkretni plačni razred in prevedbo tega delovnega mesta oziroma naziva.   </w:t>
      </w:r>
      <w:r>
        <w:rPr>
          <w:rFonts w:cs="Arial"/>
          <w:color w:val="000000"/>
          <w:szCs w:val="20"/>
        </w:rPr>
        <w:t xml:space="preserve">  </w:t>
      </w:r>
    </w:p>
    <w:p w:rsidR="004807DA" w:rsidRDefault="004807DA" w:rsidP="0051388F">
      <w:pPr>
        <w:jc w:val="both"/>
        <w:rPr>
          <w:rFonts w:cs="Arial"/>
          <w:color w:val="000000"/>
          <w:szCs w:val="20"/>
        </w:rPr>
      </w:pPr>
    </w:p>
    <w:p w:rsidR="00E77C7F" w:rsidRDefault="00DE50E5" w:rsidP="0051388F">
      <w:pPr>
        <w:jc w:val="both"/>
        <w:rPr>
          <w:rFonts w:cs="Arial"/>
          <w:color w:val="000000"/>
          <w:szCs w:val="20"/>
        </w:rPr>
      </w:pPr>
      <w:r>
        <w:rPr>
          <w:rFonts w:cs="Arial"/>
          <w:color w:val="000000"/>
          <w:szCs w:val="20"/>
        </w:rPr>
        <w:t>Znižanje vrednosti plačnih razredov (osnovnih plač) za 8% bo učinkovala tudi na nižje izplačilo plače iz naslova dodatkov, ki se izplačujejo v odstotku od osnovne plače, medtem ko višina dodatkov, določenih v nominalni višini (dodatk</w:t>
      </w:r>
      <w:r w:rsidR="00922438">
        <w:rPr>
          <w:rFonts w:cs="Arial"/>
          <w:color w:val="000000"/>
          <w:szCs w:val="20"/>
        </w:rPr>
        <w:t>i</w:t>
      </w:r>
      <w:r>
        <w:rPr>
          <w:rFonts w:cs="Arial"/>
          <w:color w:val="000000"/>
          <w:szCs w:val="20"/>
        </w:rPr>
        <w:t xml:space="preserve"> </w:t>
      </w:r>
      <w:r w:rsidR="00922438">
        <w:rPr>
          <w:rFonts w:cs="Arial"/>
          <w:color w:val="000000"/>
          <w:szCs w:val="20"/>
        </w:rPr>
        <w:t>iz 37.</w:t>
      </w:r>
      <w:r w:rsidR="00FB1BB8">
        <w:rPr>
          <w:rFonts w:cs="Arial"/>
          <w:color w:val="000000"/>
          <w:szCs w:val="20"/>
        </w:rPr>
        <w:t xml:space="preserve"> </w:t>
      </w:r>
      <w:r w:rsidR="00922438">
        <w:rPr>
          <w:rFonts w:cs="Arial"/>
          <w:color w:val="000000"/>
          <w:szCs w:val="20"/>
        </w:rPr>
        <w:t xml:space="preserve">in 38. člena KPJS), ne glede na spremembo vrednosti plačnih razredov, ostane nespremenjena. Dejstvo je namreč, da se je višina dodatkov, določenih v nominalnem znesku usklajevala glede na spremembe plačne lestvice (višine plačnih razredov), pri čemer pa je </w:t>
      </w:r>
      <w:r w:rsidR="00FB1BB8">
        <w:rPr>
          <w:rFonts w:cs="Arial"/>
          <w:color w:val="000000"/>
          <w:szCs w:val="20"/>
        </w:rPr>
        <w:t>bil</w:t>
      </w:r>
      <w:r w:rsidR="001E60B7">
        <w:rPr>
          <w:rFonts w:cs="Arial"/>
          <w:color w:val="000000"/>
          <w:szCs w:val="20"/>
        </w:rPr>
        <w:t>o</w:t>
      </w:r>
      <w:r w:rsidR="00FB1BB8">
        <w:rPr>
          <w:rFonts w:cs="Arial"/>
          <w:color w:val="000000"/>
          <w:szCs w:val="20"/>
        </w:rPr>
        <w:t xml:space="preserve"> </w:t>
      </w:r>
      <w:r w:rsidR="00922438">
        <w:rPr>
          <w:rFonts w:cs="Arial"/>
          <w:color w:val="000000"/>
          <w:szCs w:val="20"/>
        </w:rPr>
        <w:t>spreminjanj</w:t>
      </w:r>
      <w:r w:rsidR="001E60B7">
        <w:rPr>
          <w:rFonts w:cs="Arial"/>
          <w:color w:val="000000"/>
          <w:szCs w:val="20"/>
        </w:rPr>
        <w:t>e</w:t>
      </w:r>
      <w:r w:rsidR="00922438">
        <w:rPr>
          <w:rFonts w:cs="Arial"/>
          <w:color w:val="000000"/>
          <w:szCs w:val="20"/>
        </w:rPr>
        <w:t xml:space="preserve"> vrednosti plačnih razredov </w:t>
      </w:r>
      <w:r w:rsidR="001E60B7">
        <w:rPr>
          <w:rFonts w:cs="Arial"/>
          <w:color w:val="000000"/>
          <w:szCs w:val="20"/>
        </w:rPr>
        <w:t xml:space="preserve">posledica </w:t>
      </w:r>
      <w:r w:rsidR="00922438">
        <w:rPr>
          <w:rFonts w:cs="Arial"/>
          <w:color w:val="000000"/>
          <w:szCs w:val="20"/>
        </w:rPr>
        <w:t>usklajevanj</w:t>
      </w:r>
      <w:r w:rsidR="001E60B7">
        <w:rPr>
          <w:rFonts w:cs="Arial"/>
          <w:color w:val="000000"/>
          <w:szCs w:val="20"/>
        </w:rPr>
        <w:t>a</w:t>
      </w:r>
      <w:r w:rsidR="00922438">
        <w:rPr>
          <w:rFonts w:cs="Arial"/>
          <w:color w:val="000000"/>
          <w:szCs w:val="20"/>
        </w:rPr>
        <w:t xml:space="preserve"> z rastjo cen življenjskih potrebščin (eskalacija plač), ne pa višanje ali </w:t>
      </w:r>
      <w:r w:rsidR="00FB1BB8">
        <w:rPr>
          <w:rFonts w:cs="Arial"/>
          <w:color w:val="000000"/>
          <w:szCs w:val="20"/>
        </w:rPr>
        <w:t xml:space="preserve"> </w:t>
      </w:r>
      <w:r w:rsidR="00922438">
        <w:rPr>
          <w:rFonts w:cs="Arial"/>
          <w:color w:val="000000"/>
          <w:szCs w:val="20"/>
        </w:rPr>
        <w:t>nižanje vrednosti plačnih razredov, ker bi to omogočala npr</w:t>
      </w:r>
      <w:r w:rsidR="004807DA">
        <w:rPr>
          <w:rFonts w:cs="Arial"/>
          <w:color w:val="000000"/>
          <w:szCs w:val="20"/>
        </w:rPr>
        <w:t>.</w:t>
      </w:r>
      <w:r w:rsidR="00922438">
        <w:rPr>
          <w:rFonts w:cs="Arial"/>
          <w:color w:val="000000"/>
          <w:szCs w:val="20"/>
        </w:rPr>
        <w:t xml:space="preserve"> rast BDP, oziroma, ker bi to zahtevale zaostrene javnofinančne </w:t>
      </w:r>
      <w:r w:rsidR="005D7DC8">
        <w:rPr>
          <w:rFonts w:cs="Arial"/>
          <w:color w:val="000000"/>
          <w:szCs w:val="20"/>
        </w:rPr>
        <w:t xml:space="preserve">oziroma </w:t>
      </w:r>
      <w:r w:rsidR="00922438">
        <w:rPr>
          <w:rFonts w:cs="Arial"/>
          <w:color w:val="000000"/>
          <w:szCs w:val="20"/>
        </w:rPr>
        <w:t xml:space="preserve">makroekonomske okoliščine. </w:t>
      </w:r>
    </w:p>
    <w:p w:rsidR="00BA0E66" w:rsidRDefault="00BA0E66" w:rsidP="0051388F">
      <w:pPr>
        <w:jc w:val="both"/>
        <w:rPr>
          <w:rFonts w:cs="Arial"/>
          <w:color w:val="000000"/>
          <w:szCs w:val="20"/>
        </w:rPr>
      </w:pPr>
    </w:p>
    <w:p w:rsidR="004807DA" w:rsidRPr="008C7FCA" w:rsidRDefault="004807DA" w:rsidP="0051388F">
      <w:pPr>
        <w:jc w:val="both"/>
        <w:rPr>
          <w:rFonts w:cs="Arial"/>
          <w:color w:val="000000"/>
          <w:szCs w:val="20"/>
        </w:rPr>
      </w:pPr>
    </w:p>
    <w:p w:rsidR="005B55CA" w:rsidRPr="008C7FCA" w:rsidRDefault="007732EE" w:rsidP="007732EE">
      <w:pPr>
        <w:numPr>
          <w:ilvl w:val="0"/>
          <w:numId w:val="7"/>
        </w:numPr>
        <w:jc w:val="both"/>
        <w:rPr>
          <w:rFonts w:cs="Arial"/>
          <w:b/>
          <w:szCs w:val="20"/>
        </w:rPr>
      </w:pPr>
      <w:r w:rsidRPr="008C7FCA">
        <w:rPr>
          <w:rFonts w:cs="Arial"/>
          <w:b/>
          <w:szCs w:val="20"/>
        </w:rPr>
        <w:t xml:space="preserve">Ukinitev t.i. varovanih plač </w:t>
      </w:r>
    </w:p>
    <w:p w:rsidR="00E90E51" w:rsidRPr="008C7FCA" w:rsidRDefault="00E90E51" w:rsidP="00140099">
      <w:pPr>
        <w:autoSpaceDE w:val="0"/>
        <w:autoSpaceDN w:val="0"/>
        <w:adjustRightInd w:val="0"/>
        <w:spacing w:line="240" w:lineRule="auto"/>
        <w:jc w:val="both"/>
        <w:rPr>
          <w:rFonts w:cs="Arial"/>
          <w:szCs w:val="20"/>
        </w:rPr>
      </w:pPr>
    </w:p>
    <w:p w:rsidR="00D66F27" w:rsidRPr="008C7FCA" w:rsidRDefault="00E77C7F" w:rsidP="00C474A0">
      <w:pPr>
        <w:jc w:val="both"/>
        <w:rPr>
          <w:rFonts w:cs="Arial"/>
          <w:color w:val="000000"/>
          <w:szCs w:val="20"/>
        </w:rPr>
      </w:pPr>
      <w:r w:rsidRPr="008C7FCA">
        <w:rPr>
          <w:rFonts w:cs="Arial"/>
          <w:color w:val="000000"/>
          <w:szCs w:val="20"/>
        </w:rPr>
        <w:t xml:space="preserve">ZUJF v </w:t>
      </w:r>
      <w:r w:rsidR="00D66F27" w:rsidRPr="008C7FCA">
        <w:rPr>
          <w:rFonts w:cs="Arial"/>
          <w:color w:val="000000"/>
          <w:szCs w:val="20"/>
        </w:rPr>
        <w:t>116. člen</w:t>
      </w:r>
      <w:r w:rsidRPr="008C7FCA">
        <w:rPr>
          <w:rFonts w:cs="Arial"/>
          <w:color w:val="000000"/>
          <w:szCs w:val="20"/>
        </w:rPr>
        <w:t>u</w:t>
      </w:r>
      <w:r w:rsidR="003254D1" w:rsidRPr="008C7FCA">
        <w:rPr>
          <w:rFonts w:cs="Arial"/>
          <w:color w:val="000000"/>
          <w:szCs w:val="20"/>
        </w:rPr>
        <w:t xml:space="preserve"> določa ukinitev t.i. varovanih plač</w:t>
      </w:r>
      <w:r w:rsidR="00C77DB3" w:rsidRPr="008C7FCA">
        <w:rPr>
          <w:rFonts w:cs="Arial"/>
          <w:color w:val="000000"/>
          <w:szCs w:val="20"/>
        </w:rPr>
        <w:t>, ko</w:t>
      </w:r>
      <w:r w:rsidRPr="008C7FCA">
        <w:rPr>
          <w:rFonts w:cs="Arial"/>
          <w:color w:val="000000"/>
          <w:szCs w:val="20"/>
        </w:rPr>
        <w:t>t</w:t>
      </w:r>
      <w:r w:rsidR="00C77DB3" w:rsidRPr="008C7FCA">
        <w:rPr>
          <w:rFonts w:cs="Arial"/>
          <w:color w:val="000000"/>
          <w:szCs w:val="20"/>
        </w:rPr>
        <w:t xml:space="preserve"> jih opredeljuje</w:t>
      </w:r>
      <w:r w:rsidRPr="008C7FCA">
        <w:rPr>
          <w:rFonts w:cs="Arial"/>
          <w:color w:val="000000"/>
          <w:szCs w:val="20"/>
        </w:rPr>
        <w:t>jo</w:t>
      </w:r>
      <w:r w:rsidR="00C77DB3" w:rsidRPr="008C7FCA">
        <w:rPr>
          <w:rFonts w:cs="Arial"/>
          <w:color w:val="000000"/>
          <w:szCs w:val="20"/>
        </w:rPr>
        <w:t xml:space="preserve"> </w:t>
      </w:r>
      <w:r w:rsidR="00EE23E4" w:rsidRPr="008C7FCA">
        <w:rPr>
          <w:rFonts w:cs="Arial"/>
          <w:color w:val="000000"/>
          <w:szCs w:val="20"/>
        </w:rPr>
        <w:t xml:space="preserve">48.a, </w:t>
      </w:r>
      <w:r w:rsidR="003254D1" w:rsidRPr="008C7FCA">
        <w:rPr>
          <w:rFonts w:cs="Arial"/>
          <w:color w:val="000000"/>
          <w:szCs w:val="20"/>
        </w:rPr>
        <w:t>49. in 49. f člen ZSPJS</w:t>
      </w:r>
      <w:r w:rsidR="00C77DB3" w:rsidRPr="008C7FCA">
        <w:rPr>
          <w:rFonts w:cs="Arial"/>
          <w:color w:val="000000"/>
          <w:szCs w:val="20"/>
        </w:rPr>
        <w:t xml:space="preserve"> (razlika med primerljivima zneskoma plače</w:t>
      </w:r>
      <w:r w:rsidR="00EE23E4" w:rsidRPr="008C7FCA">
        <w:rPr>
          <w:rFonts w:cs="Arial"/>
          <w:color w:val="000000"/>
          <w:szCs w:val="20"/>
        </w:rPr>
        <w:t>: A040 = Z111 – Z104</w:t>
      </w:r>
      <w:r w:rsidR="00C77DB3" w:rsidRPr="008C7FCA">
        <w:rPr>
          <w:rFonts w:cs="Arial"/>
          <w:color w:val="000000"/>
          <w:szCs w:val="20"/>
        </w:rPr>
        <w:t>)</w:t>
      </w:r>
      <w:r w:rsidR="003254D1" w:rsidRPr="008C7FCA">
        <w:rPr>
          <w:rFonts w:cs="Arial"/>
          <w:color w:val="000000"/>
          <w:szCs w:val="20"/>
        </w:rPr>
        <w:t xml:space="preserve">. Navedeno pomeni, </w:t>
      </w:r>
      <w:r w:rsidRPr="008C7FCA">
        <w:rPr>
          <w:rFonts w:cs="Arial"/>
          <w:color w:val="000000"/>
          <w:szCs w:val="20"/>
        </w:rPr>
        <w:t xml:space="preserve">da </w:t>
      </w:r>
      <w:r w:rsidR="002E6E22">
        <w:rPr>
          <w:rFonts w:cs="Arial"/>
          <w:color w:val="000000"/>
          <w:szCs w:val="20"/>
        </w:rPr>
        <w:t>zaposleni</w:t>
      </w:r>
      <w:r w:rsidR="003254D1" w:rsidRPr="008C7FCA">
        <w:rPr>
          <w:rFonts w:cs="Arial"/>
          <w:color w:val="000000"/>
          <w:szCs w:val="20"/>
        </w:rPr>
        <w:t xml:space="preserve">, ki so do uveljavitve ZUJF prejemali </w:t>
      </w:r>
      <w:r w:rsidR="00C474A0" w:rsidRPr="008C7FCA">
        <w:rPr>
          <w:rFonts w:cs="Arial"/>
          <w:color w:val="000000"/>
          <w:szCs w:val="20"/>
        </w:rPr>
        <w:t>razliko do zneska plače, določenega po predpisih, ki so se uporabljali do začetka obračuna plač po ZSPJS (A040)</w:t>
      </w:r>
      <w:r w:rsidR="00B62F3A" w:rsidRPr="008C7FCA">
        <w:rPr>
          <w:rFonts w:cs="Arial"/>
          <w:color w:val="000000"/>
          <w:szCs w:val="20"/>
        </w:rPr>
        <w:t xml:space="preserve">, </w:t>
      </w:r>
      <w:r w:rsidR="004059E4" w:rsidRPr="008C7FCA">
        <w:rPr>
          <w:rFonts w:cs="Arial"/>
          <w:color w:val="000000"/>
          <w:szCs w:val="20"/>
        </w:rPr>
        <w:t>s</w:t>
      </w:r>
      <w:r w:rsidR="00B62F3A" w:rsidRPr="008C7FCA">
        <w:rPr>
          <w:rFonts w:cs="Arial"/>
          <w:color w:val="000000"/>
          <w:szCs w:val="20"/>
        </w:rPr>
        <w:t xml:space="preserve"> 1.6.2012 niso več upravičeni do prejemanje te razlike. </w:t>
      </w:r>
      <w:r w:rsidR="002E6E22">
        <w:rPr>
          <w:rFonts w:cs="Arial"/>
          <w:color w:val="000000"/>
          <w:szCs w:val="20"/>
        </w:rPr>
        <w:t>Zaposleni</w:t>
      </w:r>
      <w:r w:rsidRPr="008C7FCA">
        <w:rPr>
          <w:rFonts w:cs="Arial"/>
          <w:color w:val="000000"/>
          <w:szCs w:val="20"/>
        </w:rPr>
        <w:t>, ki so do uveljavitve ZUJF prejemali t.i. varovano plačo, bodo zaradi njene ukinitve, od 1.6.</w:t>
      </w:r>
      <w:r w:rsidR="002E6E22">
        <w:rPr>
          <w:rFonts w:cs="Arial"/>
          <w:color w:val="000000"/>
          <w:szCs w:val="20"/>
        </w:rPr>
        <w:t xml:space="preserve">2012 dalje prav tako kot ostali, ki varovane plače niso prejemali, </w:t>
      </w:r>
      <w:r w:rsidRPr="008C7FCA">
        <w:rPr>
          <w:rFonts w:cs="Arial"/>
          <w:color w:val="000000"/>
          <w:szCs w:val="20"/>
        </w:rPr>
        <w:t xml:space="preserve">prejemali osnovno plačo, ki ustreza konkretnemu plačnemu razredu. </w:t>
      </w:r>
    </w:p>
    <w:p w:rsidR="00E77C7F" w:rsidRDefault="00E77C7F" w:rsidP="00C474A0">
      <w:pPr>
        <w:jc w:val="both"/>
        <w:rPr>
          <w:rFonts w:cs="Arial"/>
          <w:color w:val="000000"/>
          <w:szCs w:val="20"/>
        </w:rPr>
      </w:pPr>
    </w:p>
    <w:p w:rsidR="007128EE" w:rsidRDefault="007128EE" w:rsidP="00C474A0">
      <w:pPr>
        <w:jc w:val="both"/>
        <w:rPr>
          <w:rFonts w:cs="Arial"/>
          <w:color w:val="000000"/>
          <w:szCs w:val="20"/>
        </w:rPr>
      </w:pPr>
      <w:r>
        <w:rPr>
          <w:rFonts w:cs="Arial"/>
          <w:color w:val="000000"/>
          <w:szCs w:val="20"/>
        </w:rPr>
        <w:t xml:space="preserve">V tej zvezi velja omeniti, da je glede 116. člena ZUJF </w:t>
      </w:r>
      <w:r w:rsidR="00545B04">
        <w:rPr>
          <w:rFonts w:cs="Arial"/>
          <w:color w:val="000000"/>
          <w:szCs w:val="20"/>
        </w:rPr>
        <w:t xml:space="preserve">bila </w:t>
      </w:r>
      <w:r>
        <w:rPr>
          <w:rFonts w:cs="Arial"/>
          <w:color w:val="000000"/>
          <w:szCs w:val="20"/>
        </w:rPr>
        <w:t>vložena zahteva za presojo ustavnosti</w:t>
      </w:r>
      <w:r w:rsidR="00545B04">
        <w:rPr>
          <w:rFonts w:cs="Arial"/>
          <w:color w:val="000000"/>
          <w:szCs w:val="20"/>
        </w:rPr>
        <w:t xml:space="preserve"> in predlog za začasno zadržanje izvajanja tega člena</w:t>
      </w:r>
      <w:r>
        <w:rPr>
          <w:rFonts w:cs="Arial"/>
          <w:color w:val="000000"/>
          <w:szCs w:val="20"/>
        </w:rPr>
        <w:t>. Predlog</w:t>
      </w:r>
      <w:r w:rsidR="00545B04">
        <w:rPr>
          <w:rFonts w:cs="Arial"/>
          <w:color w:val="000000"/>
          <w:szCs w:val="20"/>
        </w:rPr>
        <w:t>,</w:t>
      </w:r>
      <w:r>
        <w:rPr>
          <w:rFonts w:cs="Arial"/>
          <w:color w:val="000000"/>
          <w:szCs w:val="20"/>
        </w:rPr>
        <w:t xml:space="preserve"> </w:t>
      </w:r>
      <w:r w:rsidR="00545B04">
        <w:rPr>
          <w:rFonts w:cs="Arial"/>
          <w:color w:val="000000"/>
          <w:szCs w:val="20"/>
        </w:rPr>
        <w:t xml:space="preserve">naj se do dokončne odločitve Ustavnega sodišča </w:t>
      </w:r>
      <w:r>
        <w:rPr>
          <w:rFonts w:cs="Arial"/>
          <w:color w:val="000000"/>
          <w:szCs w:val="20"/>
        </w:rPr>
        <w:t>zadrž</w:t>
      </w:r>
      <w:r w:rsidR="00545B04">
        <w:rPr>
          <w:rFonts w:cs="Arial"/>
          <w:color w:val="000000"/>
          <w:szCs w:val="20"/>
        </w:rPr>
        <w:t>i</w:t>
      </w:r>
      <w:r>
        <w:rPr>
          <w:rFonts w:cs="Arial"/>
          <w:color w:val="000000"/>
          <w:szCs w:val="20"/>
        </w:rPr>
        <w:t xml:space="preserve"> izv</w:t>
      </w:r>
      <w:r w:rsidR="00545B04">
        <w:rPr>
          <w:rFonts w:cs="Arial"/>
          <w:color w:val="000000"/>
          <w:szCs w:val="20"/>
        </w:rPr>
        <w:t>rševanje</w:t>
      </w:r>
      <w:r>
        <w:rPr>
          <w:rFonts w:cs="Arial"/>
          <w:color w:val="000000"/>
          <w:szCs w:val="20"/>
        </w:rPr>
        <w:t xml:space="preserve"> tega člena</w:t>
      </w:r>
      <w:r w:rsidR="00545B04">
        <w:rPr>
          <w:rFonts w:cs="Arial"/>
          <w:color w:val="000000"/>
          <w:szCs w:val="20"/>
        </w:rPr>
        <w:t>,</w:t>
      </w:r>
      <w:r>
        <w:rPr>
          <w:rFonts w:cs="Arial"/>
          <w:color w:val="000000"/>
          <w:szCs w:val="20"/>
        </w:rPr>
        <w:t xml:space="preserve"> je Ustavno sodišče zavrnilo (</w:t>
      </w:r>
      <w:r w:rsidR="00545B04">
        <w:rPr>
          <w:rFonts w:cs="Arial"/>
          <w:color w:val="000000"/>
          <w:szCs w:val="20"/>
        </w:rPr>
        <w:t>Sklep US, številka: U-I-119/12-11 z dne 21.6.2012).</w:t>
      </w:r>
      <w:r>
        <w:rPr>
          <w:rFonts w:cs="Arial"/>
          <w:color w:val="000000"/>
          <w:szCs w:val="20"/>
        </w:rPr>
        <w:t xml:space="preserve"> </w:t>
      </w:r>
    </w:p>
    <w:p w:rsidR="007128EE" w:rsidRDefault="007128EE" w:rsidP="00C474A0">
      <w:pPr>
        <w:jc w:val="both"/>
        <w:rPr>
          <w:rFonts w:cs="Arial"/>
          <w:color w:val="000000"/>
          <w:szCs w:val="20"/>
        </w:rPr>
      </w:pPr>
    </w:p>
    <w:p w:rsidR="007128EE" w:rsidRDefault="007128EE" w:rsidP="00C474A0">
      <w:pPr>
        <w:jc w:val="both"/>
        <w:rPr>
          <w:rFonts w:cs="Arial"/>
          <w:color w:val="000000"/>
          <w:szCs w:val="20"/>
        </w:rPr>
      </w:pPr>
    </w:p>
    <w:p w:rsidR="00E77C7F" w:rsidRPr="004B5831" w:rsidRDefault="004B5831" w:rsidP="004B5831">
      <w:pPr>
        <w:numPr>
          <w:ilvl w:val="0"/>
          <w:numId w:val="7"/>
        </w:numPr>
        <w:jc w:val="both"/>
        <w:rPr>
          <w:rFonts w:cs="Arial"/>
          <w:b/>
          <w:color w:val="000000"/>
          <w:szCs w:val="20"/>
        </w:rPr>
      </w:pPr>
      <w:r w:rsidRPr="004B5831">
        <w:rPr>
          <w:rFonts w:cs="Arial"/>
          <w:b/>
          <w:color w:val="000000"/>
          <w:szCs w:val="20"/>
        </w:rPr>
        <w:t>Plače direktorjev</w:t>
      </w:r>
    </w:p>
    <w:p w:rsidR="004B5831" w:rsidRDefault="004B5831" w:rsidP="00C474A0">
      <w:pPr>
        <w:jc w:val="both"/>
        <w:rPr>
          <w:rFonts w:cs="Arial"/>
          <w:color w:val="000000"/>
          <w:szCs w:val="20"/>
        </w:rPr>
      </w:pPr>
    </w:p>
    <w:p w:rsidR="00DB7BED" w:rsidRDefault="00DB7BED" w:rsidP="00DB7BED">
      <w:pPr>
        <w:jc w:val="both"/>
      </w:pPr>
      <w:r>
        <w:t xml:space="preserve">Z uveljavitvijo </w:t>
      </w:r>
      <w:r w:rsidR="004B5831" w:rsidRPr="00DB7BED">
        <w:t>Uredb</w:t>
      </w:r>
      <w:r>
        <w:t>e</w:t>
      </w:r>
      <w:r w:rsidR="004B5831" w:rsidRPr="00DB7BED">
        <w:t xml:space="preserve"> o spremembah in dopolnitvah</w:t>
      </w:r>
      <w:r>
        <w:t xml:space="preserve"> uredbe o plačah direktorjev v javnem sektorju </w:t>
      </w:r>
      <w:r w:rsidR="00E842AE">
        <w:t xml:space="preserve">(Uradni list RS, št. 41/12) </w:t>
      </w:r>
      <w:r>
        <w:t>se je direktorjem ukinil odbitek v višini 1% osnovne plače. Uredba prav tako določa</w:t>
      </w:r>
      <w:r w:rsidRPr="00DB7BED">
        <w:t xml:space="preserve">, da se uvrstitve delovnih mest direktorjev </w:t>
      </w:r>
      <w:r>
        <w:t>ne glede na spremembe vrednosti seštevka kriterije</w:t>
      </w:r>
      <w:r w:rsidR="000F2BEF">
        <w:t>v</w:t>
      </w:r>
      <w:r>
        <w:t>, ki bi pomenile drugačno uvrstitev v plačni razred</w:t>
      </w:r>
      <w:r w:rsidR="000F2BEF">
        <w:t>,</w:t>
      </w:r>
      <w:r>
        <w:t xml:space="preserve"> </w:t>
      </w:r>
      <w:r w:rsidRPr="00DB7BED">
        <w:t xml:space="preserve">ne morejo spreminjati </w:t>
      </w:r>
      <w:r>
        <w:t xml:space="preserve">do vključno </w:t>
      </w:r>
      <w:r w:rsidR="004A3A26">
        <w:t>3</w:t>
      </w:r>
      <w:r>
        <w:t>1.1</w:t>
      </w:r>
      <w:r w:rsidR="004A3A26">
        <w:t>2</w:t>
      </w:r>
      <w:r>
        <w:t>.201</w:t>
      </w:r>
      <w:r w:rsidR="004A3A26">
        <w:t>3</w:t>
      </w:r>
      <w:r>
        <w:t xml:space="preserve"> (</w:t>
      </w:r>
      <w:r w:rsidR="004A3A26">
        <w:t xml:space="preserve">do </w:t>
      </w:r>
      <w:r>
        <w:t xml:space="preserve">takrat glede na določbe </w:t>
      </w:r>
      <w:r w:rsidR="004A3A26">
        <w:t xml:space="preserve">159. do 163. člena </w:t>
      </w:r>
      <w:r>
        <w:t>ZUJF</w:t>
      </w:r>
      <w:r w:rsidR="004A3A26">
        <w:t>,</w:t>
      </w:r>
      <w:r>
        <w:t xml:space="preserve"> velja</w:t>
      </w:r>
      <w:r w:rsidR="004A3A26">
        <w:t>jo tudi drugi interventni ukrepi</w:t>
      </w:r>
      <w:r>
        <w:t>).</w:t>
      </w:r>
      <w:r w:rsidR="00177247">
        <w:t xml:space="preserve"> Po tem datumu pa bodo spremembe uvrstitev možne, seveda v skladu z uredbo</w:t>
      </w:r>
      <w:r w:rsidR="004A3A26">
        <w:t>, kot je navedeno v nadaljevanju te točke pojasnil</w:t>
      </w:r>
      <w:r w:rsidR="00177247">
        <w:t>.</w:t>
      </w:r>
      <w:r>
        <w:t xml:space="preserve"> </w:t>
      </w:r>
    </w:p>
    <w:p w:rsidR="00DB7BED" w:rsidRDefault="00DB7BED" w:rsidP="00DB7BED">
      <w:pPr>
        <w:jc w:val="both"/>
      </w:pPr>
    </w:p>
    <w:p w:rsidR="00DB7BED" w:rsidRDefault="00DB7BED" w:rsidP="00DB7BED">
      <w:pPr>
        <w:jc w:val="both"/>
      </w:pPr>
      <w:r>
        <w:t>M</w:t>
      </w:r>
      <w:r w:rsidRPr="00DB7BED">
        <w:t xml:space="preserve">etodologija za uvrščanje ter podrobnejši kriteriji se </w:t>
      </w:r>
      <w:r w:rsidR="00177247">
        <w:t xml:space="preserve">torej do vključno </w:t>
      </w:r>
      <w:r w:rsidR="004A3A26">
        <w:t>3</w:t>
      </w:r>
      <w:r w:rsidR="00177247">
        <w:t>1.1</w:t>
      </w:r>
      <w:r w:rsidR="004A3A26">
        <w:t>2</w:t>
      </w:r>
      <w:r w:rsidR="00177247">
        <w:t>.201</w:t>
      </w:r>
      <w:r w:rsidR="004A3A26">
        <w:t>3</w:t>
      </w:r>
      <w:r w:rsidR="00177247">
        <w:t xml:space="preserve"> </w:t>
      </w:r>
      <w:r w:rsidRPr="00DB7BED">
        <w:t>uporabijo le v primeru ustanovitve nove osebe javnega pr</w:t>
      </w:r>
      <w:r>
        <w:t>a</w:t>
      </w:r>
      <w:r w:rsidRPr="00DB7BED">
        <w:t xml:space="preserve">va – npr. javnega zavoda, ko je treba delovno mesto direktorja uvrstiti v plačni razred). </w:t>
      </w:r>
    </w:p>
    <w:p w:rsidR="00DB7BED" w:rsidRPr="00DB7BED" w:rsidRDefault="00DB7BED" w:rsidP="00DB7BED">
      <w:pPr>
        <w:jc w:val="both"/>
        <w:rPr>
          <w:iCs/>
        </w:rPr>
      </w:pPr>
    </w:p>
    <w:p w:rsidR="00DB7BED" w:rsidRDefault="004A3A26" w:rsidP="00DB7BED">
      <w:pPr>
        <w:pStyle w:val="Telobesedila"/>
        <w:spacing w:after="0"/>
        <w:jc w:val="both"/>
        <w:rPr>
          <w:rFonts w:ascii="Arial" w:hAnsi="Arial" w:cs="Arial"/>
          <w:iCs/>
          <w:sz w:val="20"/>
          <w:szCs w:val="20"/>
        </w:rPr>
      </w:pPr>
      <w:r>
        <w:rPr>
          <w:rFonts w:ascii="Arial" w:hAnsi="Arial" w:cs="Arial"/>
          <w:iCs/>
          <w:sz w:val="20"/>
          <w:szCs w:val="20"/>
        </w:rPr>
        <w:t>Sicer pa s</w:t>
      </w:r>
      <w:r w:rsidR="00DB7BED">
        <w:rPr>
          <w:rFonts w:ascii="Arial" w:hAnsi="Arial" w:cs="Arial"/>
          <w:iCs/>
          <w:sz w:val="20"/>
          <w:szCs w:val="20"/>
        </w:rPr>
        <w:t>premenjena uredba določa, da se od</w:t>
      </w:r>
      <w:r w:rsidR="00DB7BED" w:rsidRPr="00DB7BED">
        <w:rPr>
          <w:rFonts w:ascii="Arial" w:hAnsi="Arial" w:cs="Arial"/>
          <w:iCs/>
          <w:sz w:val="20"/>
          <w:szCs w:val="20"/>
        </w:rPr>
        <w:t xml:space="preserve"> 1.1.2014 dalje</w:t>
      </w:r>
      <w:r w:rsidR="002426D5">
        <w:rPr>
          <w:rFonts w:ascii="Arial" w:hAnsi="Arial" w:cs="Arial"/>
          <w:iCs/>
          <w:sz w:val="20"/>
          <w:szCs w:val="20"/>
        </w:rPr>
        <w:t>,</w:t>
      </w:r>
      <w:r w:rsidR="00DB7BED" w:rsidRPr="00DB7BED">
        <w:rPr>
          <w:rFonts w:ascii="Arial" w:hAnsi="Arial" w:cs="Arial"/>
          <w:iCs/>
          <w:sz w:val="20"/>
          <w:szCs w:val="20"/>
        </w:rPr>
        <w:t xml:space="preserve"> vsako leto </w:t>
      </w:r>
      <w:r w:rsidR="002426D5">
        <w:rPr>
          <w:rFonts w:ascii="Arial" w:hAnsi="Arial" w:cs="Arial"/>
          <w:iCs/>
          <w:sz w:val="20"/>
          <w:szCs w:val="20"/>
        </w:rPr>
        <w:t xml:space="preserve">glede </w:t>
      </w:r>
      <w:r w:rsidR="00DB7BED" w:rsidRPr="00DB7BED">
        <w:rPr>
          <w:rFonts w:ascii="Arial" w:hAnsi="Arial" w:cs="Arial"/>
          <w:iCs/>
          <w:sz w:val="20"/>
          <w:szCs w:val="20"/>
        </w:rPr>
        <w:t>na stanje 1. septembra</w:t>
      </w:r>
      <w:r w:rsidR="002426D5">
        <w:rPr>
          <w:rFonts w:ascii="Arial" w:hAnsi="Arial" w:cs="Arial"/>
          <w:iCs/>
          <w:sz w:val="20"/>
          <w:szCs w:val="20"/>
        </w:rPr>
        <w:t>,</w:t>
      </w:r>
      <w:r w:rsidR="00DB7BED" w:rsidRPr="00DB7BED">
        <w:rPr>
          <w:rFonts w:ascii="Arial" w:hAnsi="Arial" w:cs="Arial"/>
          <w:iCs/>
          <w:sz w:val="20"/>
          <w:szCs w:val="20"/>
        </w:rPr>
        <w:t xml:space="preserve"> uvrstitve delovnih mest direktorjev lahko spremeni</w:t>
      </w:r>
      <w:r w:rsidR="002426D5">
        <w:rPr>
          <w:rFonts w:ascii="Arial" w:hAnsi="Arial" w:cs="Arial"/>
          <w:iCs/>
          <w:sz w:val="20"/>
          <w:szCs w:val="20"/>
        </w:rPr>
        <w:t>jo</w:t>
      </w:r>
      <w:r w:rsidR="00DB7BED" w:rsidRPr="00DB7BED">
        <w:rPr>
          <w:rFonts w:ascii="Arial" w:hAnsi="Arial" w:cs="Arial"/>
          <w:iCs/>
          <w:sz w:val="20"/>
          <w:szCs w:val="20"/>
        </w:rPr>
        <w:t xml:space="preserve">, seveda </w:t>
      </w:r>
      <w:r w:rsidR="002426D5">
        <w:rPr>
          <w:rFonts w:ascii="Arial" w:hAnsi="Arial" w:cs="Arial"/>
          <w:iCs/>
          <w:sz w:val="20"/>
          <w:szCs w:val="20"/>
        </w:rPr>
        <w:t>pod pogojem,</w:t>
      </w:r>
      <w:r w:rsidR="00DB7BED" w:rsidRPr="00DB7BED">
        <w:rPr>
          <w:rFonts w:ascii="Arial" w:hAnsi="Arial" w:cs="Arial"/>
          <w:iCs/>
          <w:sz w:val="20"/>
          <w:szCs w:val="20"/>
        </w:rPr>
        <w:t xml:space="preserve"> da se spremenijo vrednosti podrobnejših kriterijev</w:t>
      </w:r>
      <w:r w:rsidR="002426D5">
        <w:rPr>
          <w:rFonts w:ascii="Arial" w:hAnsi="Arial" w:cs="Arial"/>
          <w:iCs/>
          <w:sz w:val="20"/>
          <w:szCs w:val="20"/>
        </w:rPr>
        <w:t>,</w:t>
      </w:r>
      <w:r w:rsidR="00DB7BED" w:rsidRPr="00DB7BED">
        <w:rPr>
          <w:rFonts w:ascii="Arial" w:hAnsi="Arial" w:cs="Arial"/>
          <w:iCs/>
          <w:sz w:val="20"/>
          <w:szCs w:val="20"/>
        </w:rPr>
        <w:t xml:space="preserve"> na podlagi katerih se delovna mesta direktorjev uvrščajo v plačne razrede. Nove uvrstitve delovnih mest direktorjev </w:t>
      </w:r>
      <w:r w:rsidR="002426D5">
        <w:rPr>
          <w:rFonts w:ascii="Arial" w:hAnsi="Arial" w:cs="Arial"/>
          <w:iCs/>
          <w:sz w:val="20"/>
          <w:szCs w:val="20"/>
        </w:rPr>
        <w:t xml:space="preserve">bodo </w:t>
      </w:r>
      <w:r w:rsidR="00DB7BED" w:rsidRPr="00DB7BED">
        <w:rPr>
          <w:rFonts w:ascii="Arial" w:hAnsi="Arial" w:cs="Arial"/>
          <w:iCs/>
          <w:sz w:val="20"/>
          <w:szCs w:val="20"/>
        </w:rPr>
        <w:t>velja</w:t>
      </w:r>
      <w:r w:rsidR="002426D5">
        <w:rPr>
          <w:rFonts w:ascii="Arial" w:hAnsi="Arial" w:cs="Arial"/>
          <w:iCs/>
          <w:sz w:val="20"/>
          <w:szCs w:val="20"/>
        </w:rPr>
        <w:t xml:space="preserve">le </w:t>
      </w:r>
      <w:r w:rsidR="00DB7BED" w:rsidRPr="00DB7BED">
        <w:rPr>
          <w:rFonts w:ascii="Arial" w:hAnsi="Arial" w:cs="Arial"/>
          <w:iCs/>
          <w:sz w:val="20"/>
          <w:szCs w:val="20"/>
        </w:rPr>
        <w:t xml:space="preserve">s 1. novembrom istega leta. </w:t>
      </w:r>
      <w:r w:rsidR="002426D5">
        <w:rPr>
          <w:rFonts w:ascii="Arial" w:hAnsi="Arial" w:cs="Arial"/>
          <w:iCs/>
          <w:sz w:val="20"/>
          <w:szCs w:val="20"/>
        </w:rPr>
        <w:t>Prav tako s</w:t>
      </w:r>
      <w:r w:rsidR="00DB7BED" w:rsidRPr="00DB7BED">
        <w:rPr>
          <w:rFonts w:ascii="Arial" w:hAnsi="Arial" w:cs="Arial"/>
          <w:iCs/>
          <w:sz w:val="20"/>
          <w:szCs w:val="20"/>
        </w:rPr>
        <w:t xml:space="preserve"> 1. septembrom</w:t>
      </w:r>
      <w:r w:rsidR="002426D5">
        <w:rPr>
          <w:rFonts w:ascii="Arial" w:hAnsi="Arial" w:cs="Arial"/>
          <w:iCs/>
          <w:sz w:val="20"/>
          <w:szCs w:val="20"/>
        </w:rPr>
        <w:t>,</w:t>
      </w:r>
      <w:r w:rsidR="00DB7BED" w:rsidRPr="00DB7BED">
        <w:rPr>
          <w:rFonts w:ascii="Arial" w:hAnsi="Arial" w:cs="Arial"/>
          <w:iCs/>
          <w:sz w:val="20"/>
          <w:szCs w:val="20"/>
        </w:rPr>
        <w:t xml:space="preserve"> se </w:t>
      </w:r>
      <w:r w:rsidR="002426D5">
        <w:rPr>
          <w:rFonts w:ascii="Arial" w:hAnsi="Arial" w:cs="Arial"/>
          <w:iCs/>
          <w:sz w:val="20"/>
          <w:szCs w:val="20"/>
        </w:rPr>
        <w:t xml:space="preserve">bo </w:t>
      </w:r>
      <w:r w:rsidR="00DB7BED" w:rsidRPr="00DB7BED">
        <w:rPr>
          <w:rFonts w:ascii="Arial" w:hAnsi="Arial" w:cs="Arial"/>
          <w:iCs/>
          <w:sz w:val="20"/>
          <w:szCs w:val="20"/>
        </w:rPr>
        <w:t>preverjal</w:t>
      </w:r>
      <w:r w:rsidR="002426D5">
        <w:rPr>
          <w:rFonts w:ascii="Arial" w:hAnsi="Arial" w:cs="Arial"/>
          <w:iCs/>
          <w:sz w:val="20"/>
          <w:szCs w:val="20"/>
        </w:rPr>
        <w:t>a</w:t>
      </w:r>
      <w:r w:rsidR="00DB7BED" w:rsidRPr="00DB7BED">
        <w:rPr>
          <w:rFonts w:ascii="Arial" w:hAnsi="Arial" w:cs="Arial"/>
          <w:iCs/>
          <w:sz w:val="20"/>
          <w:szCs w:val="20"/>
        </w:rPr>
        <w:t xml:space="preserve"> </w:t>
      </w:r>
      <w:r w:rsidR="002426D5">
        <w:rPr>
          <w:rFonts w:ascii="Arial" w:hAnsi="Arial" w:cs="Arial"/>
          <w:iCs/>
          <w:sz w:val="20"/>
          <w:szCs w:val="20"/>
        </w:rPr>
        <w:t xml:space="preserve">tudi </w:t>
      </w:r>
      <w:r w:rsidR="00DB7BED" w:rsidRPr="00DB7BED">
        <w:rPr>
          <w:rFonts w:ascii="Arial" w:hAnsi="Arial" w:cs="Arial"/>
          <w:iCs/>
          <w:sz w:val="20"/>
          <w:szCs w:val="20"/>
        </w:rPr>
        <w:t>ustreznost uvrstitev delovnih mest direktorjev iz Priloge 1 uredbe, kjer so direktorji uvrščeni v plačane razrede neposredno (ni podrobnejših kriterijev in metodologije). Tudi v tem primeru b</w:t>
      </w:r>
      <w:r w:rsidR="002426D5">
        <w:rPr>
          <w:rFonts w:ascii="Arial" w:hAnsi="Arial" w:cs="Arial"/>
          <w:iCs/>
          <w:sz w:val="20"/>
          <w:szCs w:val="20"/>
        </w:rPr>
        <w:t>odo</w:t>
      </w:r>
      <w:r w:rsidR="00DB7BED" w:rsidRPr="00DB7BED">
        <w:rPr>
          <w:rFonts w:ascii="Arial" w:hAnsi="Arial" w:cs="Arial"/>
          <w:iCs/>
          <w:sz w:val="20"/>
          <w:szCs w:val="20"/>
        </w:rPr>
        <w:t xml:space="preserve"> nove uvrstitve pričele veljati s 1. novembrom. </w:t>
      </w:r>
      <w:r w:rsidR="00881B09">
        <w:rPr>
          <w:rFonts w:ascii="Arial" w:hAnsi="Arial" w:cs="Arial"/>
          <w:iCs/>
          <w:sz w:val="20"/>
          <w:szCs w:val="20"/>
        </w:rPr>
        <w:t xml:space="preserve">Na ta način bo odpravljena ena od anomalij v zvezi z določanjem plač direktorjem, in sicer, da je plačo bilo možno spremeniti zgolj ob začetku mandata, kar je pomenilo, da je posamezni direktor lahko tudi pretežni del svojega mandata prejemal plačo, ki sicer ni ustrezala vrednosti seštevka kriterijev iz ustrezne priloge uredbe. Ker se je </w:t>
      </w:r>
      <w:r w:rsidR="0027691E">
        <w:rPr>
          <w:rFonts w:ascii="Arial" w:hAnsi="Arial" w:cs="Arial"/>
          <w:iCs/>
          <w:sz w:val="20"/>
          <w:szCs w:val="20"/>
        </w:rPr>
        <w:t xml:space="preserve">v posameznih primerih </w:t>
      </w:r>
      <w:r w:rsidR="00881B09">
        <w:rPr>
          <w:rFonts w:ascii="Arial" w:hAnsi="Arial" w:cs="Arial"/>
          <w:iCs/>
          <w:sz w:val="20"/>
          <w:szCs w:val="20"/>
        </w:rPr>
        <w:t xml:space="preserve">vrednost kriterijev spremenila med trajanjem mandata, ugotovitev novega stanja pa v času trajanja mandata ni vplivala na spremembo uvrstitve direktorja v plačni razred, je v posameznih primerih celo daljše obdobje mandata direktor prejemal plačo, ki ni ustrezala dejansko izpolnjenim pogojem glede na kriterije za določitev njegove plače. </w:t>
      </w:r>
    </w:p>
    <w:p w:rsidR="002426D5" w:rsidRDefault="002426D5" w:rsidP="00DB7BED">
      <w:pPr>
        <w:pStyle w:val="Telobesedila"/>
        <w:spacing w:after="0"/>
        <w:jc w:val="both"/>
        <w:rPr>
          <w:rFonts w:ascii="Arial" w:hAnsi="Arial" w:cs="Arial"/>
          <w:iCs/>
          <w:sz w:val="20"/>
          <w:szCs w:val="20"/>
        </w:rPr>
      </w:pPr>
    </w:p>
    <w:p w:rsidR="002426D5" w:rsidRPr="00902ABF" w:rsidRDefault="002426D5" w:rsidP="00DB7BED">
      <w:pPr>
        <w:pStyle w:val="Telobesedila"/>
        <w:spacing w:after="0"/>
        <w:jc w:val="both"/>
        <w:rPr>
          <w:rFonts w:ascii="Arial" w:hAnsi="Arial" w:cs="Arial"/>
          <w:iCs/>
          <w:sz w:val="20"/>
          <w:szCs w:val="20"/>
        </w:rPr>
      </w:pPr>
      <w:r>
        <w:rPr>
          <w:rFonts w:ascii="Arial" w:hAnsi="Arial" w:cs="Arial"/>
          <w:iCs/>
          <w:sz w:val="20"/>
          <w:szCs w:val="20"/>
        </w:rPr>
        <w:t xml:space="preserve">Glede na dejstvo, da veljavna ureditev plač direktorjev v javnem sektorju predvideva, da se uvrstitve v plačne razrede realizirajo s pravilnikom pristojnega ministra, </w:t>
      </w:r>
      <w:r w:rsidR="00177247">
        <w:rPr>
          <w:rFonts w:ascii="Arial" w:hAnsi="Arial" w:cs="Arial"/>
          <w:iCs/>
          <w:sz w:val="20"/>
          <w:szCs w:val="20"/>
        </w:rPr>
        <w:t>bo</w:t>
      </w:r>
      <w:r>
        <w:rPr>
          <w:rFonts w:ascii="Arial" w:hAnsi="Arial" w:cs="Arial"/>
          <w:iCs/>
          <w:sz w:val="20"/>
          <w:szCs w:val="20"/>
        </w:rPr>
        <w:t xml:space="preserve"> treba zagotoviti, da </w:t>
      </w:r>
      <w:r w:rsidRPr="00902ABF">
        <w:rPr>
          <w:rFonts w:ascii="Arial" w:hAnsi="Arial" w:cs="Arial"/>
          <w:iCs/>
          <w:sz w:val="20"/>
          <w:szCs w:val="20"/>
        </w:rPr>
        <w:t xml:space="preserve">bodo pravilniki, s katerimi se bodo spremenili plačni razredi delovnih mest direktorjev, objavljeni pred 1. novembrom.   </w:t>
      </w:r>
    </w:p>
    <w:p w:rsidR="004B5831" w:rsidRPr="00902ABF" w:rsidRDefault="004B5831" w:rsidP="00C474A0">
      <w:pPr>
        <w:jc w:val="both"/>
        <w:rPr>
          <w:rFonts w:cs="Arial"/>
          <w:szCs w:val="20"/>
        </w:rPr>
      </w:pPr>
    </w:p>
    <w:p w:rsidR="006E235A" w:rsidRPr="00902ABF" w:rsidRDefault="006E235A" w:rsidP="00C474A0">
      <w:pPr>
        <w:jc w:val="both"/>
        <w:rPr>
          <w:rFonts w:cs="Arial"/>
          <w:szCs w:val="20"/>
        </w:rPr>
      </w:pPr>
    </w:p>
    <w:p w:rsidR="006E235A" w:rsidRPr="00902ABF" w:rsidRDefault="006E235A" w:rsidP="006E235A">
      <w:pPr>
        <w:numPr>
          <w:ilvl w:val="0"/>
          <w:numId w:val="7"/>
        </w:numPr>
        <w:jc w:val="both"/>
        <w:rPr>
          <w:rFonts w:cs="Arial"/>
          <w:b/>
          <w:szCs w:val="20"/>
        </w:rPr>
      </w:pPr>
      <w:r w:rsidRPr="00902ABF">
        <w:rPr>
          <w:rFonts w:cs="Arial"/>
          <w:b/>
          <w:szCs w:val="20"/>
        </w:rPr>
        <w:t>Plače funkcionarjev</w:t>
      </w:r>
    </w:p>
    <w:p w:rsidR="00DE50E5" w:rsidRPr="00902ABF" w:rsidRDefault="00DE50E5" w:rsidP="00C474A0">
      <w:pPr>
        <w:jc w:val="both"/>
        <w:rPr>
          <w:rFonts w:cs="Arial"/>
          <w:szCs w:val="20"/>
        </w:rPr>
      </w:pPr>
    </w:p>
    <w:p w:rsidR="00D258DE" w:rsidRPr="00902ABF" w:rsidRDefault="00202D0E" w:rsidP="00715179">
      <w:pPr>
        <w:spacing w:after="210" w:line="240" w:lineRule="auto"/>
        <w:jc w:val="both"/>
        <w:rPr>
          <w:rFonts w:cs="Arial"/>
          <w:bCs/>
          <w:szCs w:val="20"/>
          <w:lang w:eastAsia="sl-SI"/>
        </w:rPr>
      </w:pPr>
      <w:r w:rsidRPr="00902ABF">
        <w:rPr>
          <w:rFonts w:cs="Arial"/>
          <w:bCs/>
          <w:szCs w:val="20"/>
          <w:lang w:eastAsia="sl-SI"/>
        </w:rPr>
        <w:t xml:space="preserve">Tudi </w:t>
      </w:r>
      <w:r w:rsidR="00715179" w:rsidRPr="00902ABF">
        <w:rPr>
          <w:rFonts w:cs="Arial"/>
          <w:bCs/>
          <w:szCs w:val="20"/>
          <w:lang w:eastAsia="sl-SI"/>
        </w:rPr>
        <w:t xml:space="preserve">za funkcionarje </w:t>
      </w:r>
      <w:r w:rsidRPr="00902ABF">
        <w:rPr>
          <w:rFonts w:cs="Arial"/>
          <w:bCs/>
          <w:szCs w:val="20"/>
          <w:lang w:eastAsia="sl-SI"/>
        </w:rPr>
        <w:t xml:space="preserve">se </w:t>
      </w:r>
      <w:r w:rsidR="00715179" w:rsidRPr="00902ABF">
        <w:rPr>
          <w:rFonts w:cs="Arial"/>
          <w:bCs/>
          <w:szCs w:val="20"/>
          <w:lang w:eastAsia="sl-SI"/>
        </w:rPr>
        <w:t>uporablja ista plačna lestvica</w:t>
      </w:r>
      <w:r w:rsidRPr="00902ABF">
        <w:rPr>
          <w:rFonts w:cs="Arial"/>
          <w:bCs/>
          <w:szCs w:val="20"/>
          <w:lang w:eastAsia="sl-SI"/>
        </w:rPr>
        <w:t xml:space="preserve"> kot za javne uslužbence</w:t>
      </w:r>
      <w:r w:rsidR="00715179" w:rsidRPr="00902ABF">
        <w:rPr>
          <w:rFonts w:cs="Arial"/>
          <w:bCs/>
          <w:szCs w:val="20"/>
          <w:lang w:eastAsia="sl-SI"/>
        </w:rPr>
        <w:t xml:space="preserve">, </w:t>
      </w:r>
      <w:r w:rsidRPr="00902ABF">
        <w:rPr>
          <w:rFonts w:cs="Arial"/>
          <w:bCs/>
          <w:szCs w:val="20"/>
          <w:lang w:eastAsia="sl-SI"/>
        </w:rPr>
        <w:t xml:space="preserve">kar pomeni, da </w:t>
      </w:r>
      <w:r w:rsidR="00715179" w:rsidRPr="00902ABF">
        <w:rPr>
          <w:rFonts w:cs="Arial"/>
          <w:bCs/>
          <w:szCs w:val="20"/>
          <w:lang w:eastAsia="sl-SI"/>
        </w:rPr>
        <w:t xml:space="preserve">se za 8% zniža tudi vrednost plačnih razredov funkcionarjev. Prav tako se s 1.6.2012 funkcionarjem odpravijo nesorazmerja v osnovnih plačah (156. člen ZUJF), pravosodnim funkcionarjem (sodniki ustavnega sodišča, </w:t>
      </w:r>
      <w:r w:rsidR="00715179" w:rsidRPr="00902ABF">
        <w:rPr>
          <w:rFonts w:cs="Arial"/>
          <w:szCs w:val="20"/>
          <w:lang w:eastAsia="sl-SI"/>
        </w:rPr>
        <w:t xml:space="preserve">generalni sekretar ustavnega sodišča, sodniki, državni tožilci in državni pravobranilci) pa se osnovne plače s 1.6.2012 začnejo obračunavati in izplačevati v skladu s plačnim razredom, določenim v 16. členu </w:t>
      </w:r>
      <w:r w:rsidR="0090651B" w:rsidRPr="00902ABF">
        <w:rPr>
          <w:rFonts w:cs="Arial"/>
          <w:szCs w:val="20"/>
          <w:lang w:eastAsia="sl-SI"/>
        </w:rPr>
        <w:t>ZSPJS-L (Uradni list RS, št. 91/09)</w:t>
      </w:r>
      <w:r w:rsidR="00715179" w:rsidRPr="00902ABF">
        <w:rPr>
          <w:rFonts w:cs="Arial"/>
          <w:bCs/>
          <w:szCs w:val="20"/>
          <w:lang w:eastAsia="sl-SI"/>
        </w:rPr>
        <w:t>.</w:t>
      </w:r>
      <w:r w:rsidR="0090651B" w:rsidRPr="00902ABF">
        <w:rPr>
          <w:rFonts w:cs="Arial"/>
          <w:bCs/>
          <w:szCs w:val="20"/>
          <w:lang w:eastAsia="sl-SI"/>
        </w:rPr>
        <w:t xml:space="preserve"> </w:t>
      </w:r>
    </w:p>
    <w:p w:rsidR="00D258DE" w:rsidRPr="00902ABF" w:rsidRDefault="00D258DE" w:rsidP="00715179">
      <w:pPr>
        <w:spacing w:after="210" w:line="240" w:lineRule="auto"/>
        <w:jc w:val="both"/>
        <w:rPr>
          <w:rFonts w:cs="Arial"/>
          <w:bCs/>
          <w:szCs w:val="20"/>
          <w:lang w:eastAsia="sl-SI"/>
        </w:rPr>
      </w:pPr>
      <w:r w:rsidRPr="00902ABF">
        <w:rPr>
          <w:rFonts w:cs="Arial"/>
          <w:bCs/>
          <w:szCs w:val="20"/>
          <w:lang w:eastAsia="sl-SI"/>
        </w:rPr>
        <w:t xml:space="preserve">Z uveljavitvijo ZUJF je ukinjeno </w:t>
      </w:r>
      <w:r w:rsidR="00A5654C" w:rsidRPr="00902ABF">
        <w:rPr>
          <w:rFonts w:cs="Arial"/>
          <w:bCs/>
          <w:szCs w:val="20"/>
          <w:lang w:eastAsia="sl-SI"/>
        </w:rPr>
        <w:t>znižanje</w:t>
      </w:r>
      <w:r w:rsidRPr="00902ABF">
        <w:rPr>
          <w:rFonts w:cs="Arial"/>
          <w:bCs/>
          <w:szCs w:val="20"/>
          <w:lang w:eastAsia="sl-SI"/>
        </w:rPr>
        <w:t xml:space="preserve"> plač vseh funkcionarjev v višini 4% osnovne plače, kot so to določali interventni ukrepi pred uveljavitvijo ZUJF (</w:t>
      </w:r>
      <w:r w:rsidR="00A5654C" w:rsidRPr="00902ABF">
        <w:rPr>
          <w:rFonts w:cs="Arial"/>
          <w:bCs/>
          <w:szCs w:val="20"/>
          <w:lang w:eastAsia="sl-SI"/>
        </w:rPr>
        <w:t xml:space="preserve">prvi odstavek 247. člena ZUJF). </w:t>
      </w:r>
    </w:p>
    <w:p w:rsidR="00A5654C" w:rsidRPr="00902ABF" w:rsidRDefault="00A5654C" w:rsidP="00C474A0">
      <w:pPr>
        <w:jc w:val="both"/>
        <w:rPr>
          <w:rFonts w:cs="Arial"/>
          <w:szCs w:val="20"/>
        </w:rPr>
      </w:pPr>
      <w:r w:rsidRPr="00902ABF">
        <w:rPr>
          <w:rFonts w:cs="Arial"/>
          <w:szCs w:val="20"/>
        </w:rPr>
        <w:t>Glede višine nadomestila plače po prenehanju funkcije, se skladno s 158. členom ZUJF</w:t>
      </w:r>
      <w:r w:rsidR="00D53DD6" w:rsidRPr="00902ABF">
        <w:rPr>
          <w:rFonts w:cs="Arial"/>
          <w:szCs w:val="20"/>
        </w:rPr>
        <w:t>,</w:t>
      </w:r>
      <w:r w:rsidRPr="00902ABF">
        <w:rPr>
          <w:rFonts w:cs="Arial"/>
          <w:szCs w:val="20"/>
        </w:rPr>
        <w:t xml:space="preserve"> </w:t>
      </w:r>
      <w:r w:rsidR="00D53DD6" w:rsidRPr="00902ABF">
        <w:rPr>
          <w:rFonts w:cs="Arial"/>
          <w:szCs w:val="20"/>
        </w:rPr>
        <w:t xml:space="preserve">kot osnova za določitev višine nadomestila upošteva plača funkcionarja, določena v skladu z ZUJF. </w:t>
      </w:r>
      <w:r w:rsidR="00D53DD6" w:rsidRPr="00902ABF">
        <w:rPr>
          <w:rFonts w:cs="Arial"/>
          <w:szCs w:val="20"/>
        </w:rPr>
        <w:lastRenderedPageBreak/>
        <w:t xml:space="preserve">To velja tudi za funkcionarje, ki jim je funkcija prenehala in na dan uveljavitve ZUJF že prejemajo nadomestilo v drugačni višini (tretji odstavek 247. člena ZUJF).   </w:t>
      </w:r>
    </w:p>
    <w:p w:rsidR="00D53DD6" w:rsidRPr="00902ABF" w:rsidRDefault="00D53DD6" w:rsidP="00C474A0">
      <w:pPr>
        <w:jc w:val="both"/>
        <w:rPr>
          <w:rFonts w:cs="Arial"/>
          <w:szCs w:val="20"/>
        </w:rPr>
      </w:pPr>
    </w:p>
    <w:p w:rsidR="0096490C" w:rsidRPr="00902ABF" w:rsidRDefault="0096490C" w:rsidP="00C474A0">
      <w:pPr>
        <w:jc w:val="both"/>
        <w:rPr>
          <w:rFonts w:cs="Arial"/>
          <w:szCs w:val="20"/>
        </w:rPr>
      </w:pPr>
    </w:p>
    <w:p w:rsidR="008C7FCA" w:rsidRPr="008C7FCA" w:rsidRDefault="00092955" w:rsidP="008C7FCA">
      <w:pPr>
        <w:numPr>
          <w:ilvl w:val="0"/>
          <w:numId w:val="7"/>
        </w:numPr>
        <w:jc w:val="both"/>
        <w:rPr>
          <w:rFonts w:cs="Arial"/>
          <w:b/>
          <w:color w:val="000000"/>
          <w:szCs w:val="20"/>
        </w:rPr>
      </w:pPr>
      <w:r>
        <w:rPr>
          <w:rFonts w:cs="Arial"/>
          <w:b/>
          <w:color w:val="000000"/>
          <w:szCs w:val="20"/>
        </w:rPr>
        <w:t>Eskalacija plač, napredovanje, delovna uspešnost</w:t>
      </w:r>
    </w:p>
    <w:p w:rsidR="008C7FCA" w:rsidRDefault="008C7FCA" w:rsidP="00C474A0">
      <w:pPr>
        <w:jc w:val="both"/>
        <w:rPr>
          <w:rFonts w:cs="Arial"/>
          <w:color w:val="000000"/>
          <w:szCs w:val="20"/>
        </w:rPr>
      </w:pPr>
    </w:p>
    <w:p w:rsidR="008C7FCA" w:rsidRPr="008C7FCA" w:rsidRDefault="008C7FCA" w:rsidP="00C474A0">
      <w:pPr>
        <w:jc w:val="both"/>
        <w:rPr>
          <w:rFonts w:cs="Arial"/>
          <w:color w:val="000000"/>
          <w:szCs w:val="20"/>
        </w:rPr>
      </w:pPr>
      <w:r>
        <w:rPr>
          <w:rFonts w:cs="Arial"/>
          <w:color w:val="000000"/>
          <w:szCs w:val="20"/>
        </w:rPr>
        <w:t xml:space="preserve">Kot je določeno v 159. do 163. členu ZUJF, se interventni ukrepi, določeni v Zakonu o interventnih ukrepih in Zakonu o dodatnih interventnih ukrepih </w:t>
      </w:r>
      <w:r w:rsidR="00E20C85">
        <w:rPr>
          <w:rFonts w:cs="Arial"/>
          <w:color w:val="000000"/>
          <w:szCs w:val="20"/>
        </w:rPr>
        <w:t xml:space="preserve">(eskalacija plač, redna delovna uspešnost, povečan obseg dela, napredovanje v naziv ali višji naziv in napredovanje v višji plačni razred) </w:t>
      </w:r>
      <w:r w:rsidR="008170FB">
        <w:rPr>
          <w:rFonts w:cs="Arial"/>
          <w:color w:val="000000"/>
          <w:szCs w:val="20"/>
        </w:rPr>
        <w:t>»</w:t>
      </w:r>
      <w:r w:rsidR="00E20C85">
        <w:rPr>
          <w:rFonts w:cs="Arial"/>
          <w:color w:val="000000"/>
          <w:szCs w:val="20"/>
        </w:rPr>
        <w:t>podaljšajo</w:t>
      </w:r>
      <w:r w:rsidR="008170FB">
        <w:rPr>
          <w:rFonts w:cs="Arial"/>
          <w:color w:val="000000"/>
          <w:szCs w:val="20"/>
        </w:rPr>
        <w:t>«</w:t>
      </w:r>
      <w:r w:rsidR="00E20C85">
        <w:rPr>
          <w:rFonts w:cs="Arial"/>
          <w:color w:val="000000"/>
          <w:szCs w:val="20"/>
        </w:rPr>
        <w:t xml:space="preserve"> do vključno</w:t>
      </w:r>
      <w:r w:rsidR="00DE50E5">
        <w:rPr>
          <w:rFonts w:cs="Arial"/>
          <w:color w:val="000000"/>
          <w:szCs w:val="20"/>
        </w:rPr>
        <w:t xml:space="preserve"> </w:t>
      </w:r>
      <w:r w:rsidR="00E20C85">
        <w:rPr>
          <w:rFonts w:cs="Arial"/>
          <w:color w:val="000000"/>
          <w:szCs w:val="20"/>
        </w:rPr>
        <w:t>31.12.2013.</w:t>
      </w:r>
      <w:r w:rsidR="004A3A26">
        <w:rPr>
          <w:rFonts w:cs="Arial"/>
          <w:color w:val="000000"/>
          <w:szCs w:val="20"/>
        </w:rPr>
        <w:t xml:space="preserve"> Navedeno pomeni, da t.i. eskalacije osnovnih plač (uskladitve z rastjo cen življenjskih potrebščin) ne bo </w:t>
      </w:r>
      <w:r w:rsidR="00DE50E5">
        <w:rPr>
          <w:rFonts w:cs="Arial"/>
          <w:color w:val="000000"/>
          <w:szCs w:val="20"/>
        </w:rPr>
        <w:t xml:space="preserve">do </w:t>
      </w:r>
      <w:r w:rsidR="004A3A26">
        <w:rPr>
          <w:rFonts w:cs="Arial"/>
          <w:color w:val="000000"/>
          <w:szCs w:val="20"/>
        </w:rPr>
        <w:t>konca leta 2013, do takrat se še naprej ne bo izplačevala redna delovna uspešnost, medtem ko se bo delovna uspešnost iz naslova povečanega obsega dela izplačevala v omejenem obsegu, kot je to določal že ZIU.</w:t>
      </w:r>
      <w:r w:rsidR="00DE50E5">
        <w:rPr>
          <w:rFonts w:cs="Arial"/>
          <w:color w:val="000000"/>
          <w:szCs w:val="20"/>
        </w:rPr>
        <w:t xml:space="preserve"> Prav tako glede na</w:t>
      </w:r>
      <w:r w:rsidR="006A32C8">
        <w:rPr>
          <w:rFonts w:cs="Arial"/>
          <w:color w:val="000000"/>
          <w:szCs w:val="20"/>
        </w:rPr>
        <w:t xml:space="preserve"> 162. člen ZUJF, zaposleni, ki v letu 2013 izpolnijo pogoje za napredovanje v višji plačni razred in v višji naziv, ne napredujejo v višji plačni razred in v višji naziv.</w:t>
      </w:r>
      <w:r w:rsidR="00DE50E5">
        <w:rPr>
          <w:rFonts w:cs="Arial"/>
          <w:color w:val="000000"/>
          <w:szCs w:val="20"/>
        </w:rPr>
        <w:t xml:space="preserve"> </w:t>
      </w:r>
      <w:r w:rsidR="004A3A26">
        <w:rPr>
          <w:rFonts w:cs="Arial"/>
          <w:color w:val="000000"/>
          <w:szCs w:val="20"/>
        </w:rPr>
        <w:t xml:space="preserve">   </w:t>
      </w:r>
      <w:r w:rsidR="00E20C85">
        <w:rPr>
          <w:rFonts w:cs="Arial"/>
          <w:color w:val="000000"/>
          <w:szCs w:val="20"/>
        </w:rPr>
        <w:t xml:space="preserve"> </w:t>
      </w:r>
      <w:r>
        <w:rPr>
          <w:rFonts w:cs="Arial"/>
          <w:color w:val="000000"/>
          <w:szCs w:val="20"/>
        </w:rPr>
        <w:t xml:space="preserve">  </w:t>
      </w:r>
    </w:p>
    <w:p w:rsidR="005F6102" w:rsidRPr="005F6102" w:rsidRDefault="006A32C8" w:rsidP="008C7FCA">
      <w:pPr>
        <w:pStyle w:val="Navadensplet"/>
        <w:jc w:val="both"/>
        <w:rPr>
          <w:rFonts w:ascii="Arial" w:hAnsi="Arial" w:cs="Arial"/>
          <w:sz w:val="20"/>
          <w:szCs w:val="20"/>
        </w:rPr>
      </w:pPr>
      <w:r>
        <w:rPr>
          <w:rFonts w:ascii="Arial" w:hAnsi="Arial" w:cs="Arial"/>
          <w:sz w:val="20"/>
          <w:szCs w:val="20"/>
        </w:rPr>
        <w:t>Skladno s prvim in drugim odstavkom 163. člena ZUJF, zaposleni</w:t>
      </w:r>
      <w:r w:rsidR="008C7FCA" w:rsidRPr="008C7FCA">
        <w:rPr>
          <w:rFonts w:ascii="Arial" w:hAnsi="Arial" w:cs="Arial"/>
          <w:sz w:val="20"/>
          <w:szCs w:val="20"/>
        </w:rPr>
        <w:t xml:space="preserve">, ki so v letu 2011 in 2012 napredovali v naziv ali višji naziv in niso pridobili pravice do plače v skladu s pridobljenim nazivom, pridobijo pravico do plače v skladu s pridobljenim nazivom ali višjim nazivom s </w:t>
      </w:r>
      <w:r w:rsidR="008C7FCA" w:rsidRPr="008C7FCA">
        <w:rPr>
          <w:rFonts w:ascii="Arial" w:hAnsi="Arial" w:cs="Arial"/>
          <w:sz w:val="20"/>
          <w:szCs w:val="20"/>
          <w:u w:val="single"/>
        </w:rPr>
        <w:t>1. junijem 2013</w:t>
      </w:r>
      <w:r w:rsidR="008C7FCA" w:rsidRPr="005F6102">
        <w:rPr>
          <w:rFonts w:ascii="Arial" w:hAnsi="Arial" w:cs="Arial"/>
          <w:sz w:val="20"/>
          <w:szCs w:val="20"/>
          <w:u w:val="single"/>
        </w:rPr>
        <w:t>.</w:t>
      </w:r>
      <w:r w:rsidR="008C7FCA" w:rsidRPr="005F6102">
        <w:rPr>
          <w:rFonts w:ascii="Arial" w:hAnsi="Arial" w:cs="Arial"/>
          <w:sz w:val="20"/>
          <w:szCs w:val="20"/>
        </w:rPr>
        <w:t xml:space="preserve"> </w:t>
      </w:r>
      <w:r w:rsidR="008832A2" w:rsidRPr="005F6102">
        <w:rPr>
          <w:rFonts w:ascii="Arial" w:hAnsi="Arial" w:cs="Arial"/>
          <w:sz w:val="20"/>
          <w:szCs w:val="20"/>
        </w:rPr>
        <w:t xml:space="preserve"> </w:t>
      </w:r>
      <w:r w:rsidR="005F6102" w:rsidRPr="005F6102">
        <w:rPr>
          <w:rFonts w:ascii="Arial" w:hAnsi="Arial" w:cs="Arial"/>
          <w:sz w:val="20"/>
          <w:szCs w:val="20"/>
        </w:rPr>
        <w:t>Prav tako</w:t>
      </w:r>
      <w:r w:rsidR="005F6102">
        <w:rPr>
          <w:rFonts w:ascii="Arial" w:hAnsi="Arial" w:cs="Arial"/>
          <w:sz w:val="20"/>
          <w:szCs w:val="20"/>
        </w:rPr>
        <w:t xml:space="preserve"> s</w:t>
      </w:r>
      <w:r w:rsidR="005F6102" w:rsidRPr="005F6102">
        <w:rPr>
          <w:rFonts w:ascii="Arial" w:hAnsi="Arial" w:cs="Arial"/>
          <w:sz w:val="20"/>
          <w:szCs w:val="20"/>
        </w:rPr>
        <w:t xml:space="preserve"> 1. junijem 2013 bodo pravico do plače, ki ustreza višjemu plačnemu razredu </w:t>
      </w:r>
      <w:r w:rsidR="005F6102">
        <w:rPr>
          <w:rFonts w:ascii="Arial" w:hAnsi="Arial" w:cs="Arial"/>
          <w:sz w:val="20"/>
          <w:szCs w:val="20"/>
        </w:rPr>
        <w:t>zaradi napredovanja</w:t>
      </w:r>
      <w:r w:rsidR="005F6102" w:rsidRPr="005F6102">
        <w:rPr>
          <w:rFonts w:ascii="Arial" w:hAnsi="Arial" w:cs="Arial"/>
          <w:sz w:val="20"/>
          <w:szCs w:val="20"/>
        </w:rPr>
        <w:t xml:space="preserve"> pridobili tudi zaposleni, ki so v letu 2012 napredovali v višji plačni razred. </w:t>
      </w:r>
      <w:r w:rsidR="005F6102">
        <w:rPr>
          <w:rFonts w:ascii="Arial" w:hAnsi="Arial" w:cs="Arial"/>
          <w:sz w:val="20"/>
          <w:szCs w:val="20"/>
        </w:rPr>
        <w:t xml:space="preserve"> </w:t>
      </w:r>
    </w:p>
    <w:p w:rsidR="006A32C8" w:rsidRDefault="006A32C8" w:rsidP="008C7FCA">
      <w:pPr>
        <w:pStyle w:val="Navadensplet"/>
        <w:jc w:val="both"/>
        <w:rPr>
          <w:rFonts w:ascii="Arial" w:hAnsi="Arial" w:cs="Arial"/>
          <w:sz w:val="20"/>
          <w:szCs w:val="20"/>
        </w:rPr>
      </w:pPr>
      <w:r>
        <w:rPr>
          <w:rFonts w:ascii="Arial" w:hAnsi="Arial" w:cs="Arial"/>
          <w:sz w:val="20"/>
          <w:szCs w:val="20"/>
        </w:rPr>
        <w:t xml:space="preserve">Izjema od pravila glede napredovanja zapisanega v 162. členu ter prvem in drugem odstavku  163. člena so zaposleni, za katere se uporablja tretji odstavek 163. člena ZUJF. </w:t>
      </w:r>
    </w:p>
    <w:p w:rsidR="008C7FCA" w:rsidRPr="008C7FCA" w:rsidRDefault="0096490C" w:rsidP="008C7FCA">
      <w:pPr>
        <w:pStyle w:val="Navadensplet"/>
        <w:jc w:val="both"/>
        <w:rPr>
          <w:rFonts w:ascii="Arial" w:hAnsi="Arial" w:cs="Arial"/>
          <w:sz w:val="20"/>
          <w:szCs w:val="20"/>
        </w:rPr>
      </w:pPr>
      <w:r>
        <w:rPr>
          <w:rFonts w:ascii="Arial" w:hAnsi="Arial" w:cs="Arial"/>
          <w:sz w:val="20"/>
          <w:szCs w:val="20"/>
        </w:rPr>
        <w:t xml:space="preserve">Ob tem velja opozoriti, da se za razliko od leta 2011, ki se ni štelo v napredovalno obdobje, leto 2013 </w:t>
      </w:r>
      <w:r w:rsidR="008C7FCA" w:rsidRPr="008C7FCA">
        <w:rPr>
          <w:rFonts w:ascii="Arial" w:hAnsi="Arial" w:cs="Arial"/>
          <w:sz w:val="20"/>
          <w:szCs w:val="20"/>
        </w:rPr>
        <w:t>šteje v napredovalno obdobje</w:t>
      </w:r>
      <w:r w:rsidR="00E96592">
        <w:rPr>
          <w:rFonts w:ascii="Arial" w:hAnsi="Arial" w:cs="Arial"/>
          <w:sz w:val="20"/>
          <w:szCs w:val="20"/>
        </w:rPr>
        <w:t xml:space="preserve">. </w:t>
      </w:r>
    </w:p>
    <w:p w:rsidR="008C7FCA" w:rsidRPr="008C7FCA" w:rsidRDefault="008C7FCA" w:rsidP="00C474A0">
      <w:pPr>
        <w:jc w:val="both"/>
        <w:rPr>
          <w:rFonts w:cs="Arial"/>
          <w:color w:val="000000"/>
          <w:szCs w:val="20"/>
        </w:rPr>
      </w:pPr>
    </w:p>
    <w:p w:rsidR="00A51694" w:rsidRPr="008C7FCA" w:rsidRDefault="00A51694" w:rsidP="00A51694">
      <w:pPr>
        <w:numPr>
          <w:ilvl w:val="0"/>
          <w:numId w:val="7"/>
        </w:numPr>
        <w:jc w:val="both"/>
        <w:rPr>
          <w:rFonts w:cs="Arial"/>
          <w:b/>
          <w:szCs w:val="20"/>
        </w:rPr>
      </w:pPr>
      <w:r w:rsidRPr="008C7FCA">
        <w:rPr>
          <w:rFonts w:cs="Arial"/>
          <w:b/>
          <w:szCs w:val="20"/>
        </w:rPr>
        <w:t>Plačilo za delo v tujini</w:t>
      </w:r>
    </w:p>
    <w:p w:rsidR="00A51694" w:rsidRPr="008C7FCA" w:rsidRDefault="00A51694" w:rsidP="00A51694">
      <w:pPr>
        <w:jc w:val="both"/>
        <w:rPr>
          <w:rFonts w:cs="Arial"/>
          <w:b/>
          <w:color w:val="FF0000"/>
          <w:szCs w:val="20"/>
        </w:rPr>
      </w:pPr>
    </w:p>
    <w:p w:rsidR="00FA30A1" w:rsidRPr="008C7FCA" w:rsidRDefault="00FA30A1" w:rsidP="00A51694">
      <w:pPr>
        <w:jc w:val="both"/>
        <w:rPr>
          <w:rFonts w:cs="Arial"/>
          <w:szCs w:val="20"/>
        </w:rPr>
      </w:pPr>
      <w:r w:rsidRPr="008C7FCA">
        <w:rPr>
          <w:rFonts w:cs="Arial"/>
          <w:szCs w:val="20"/>
        </w:rPr>
        <w:t>Skladno z Dogovorom</w:t>
      </w:r>
      <w:r w:rsidR="004B5A15">
        <w:rPr>
          <w:rFonts w:cs="Arial"/>
          <w:szCs w:val="20"/>
        </w:rPr>
        <w:t xml:space="preserve"> o ukrepih na področju plač, povračil in drugih prejemkov v javnem sektorju za uravnoteženje javnih financ</w:t>
      </w:r>
      <w:r w:rsidRPr="008C7FCA">
        <w:rPr>
          <w:rFonts w:cs="Arial"/>
          <w:szCs w:val="20"/>
        </w:rPr>
        <w:t xml:space="preserve">, </w:t>
      </w:r>
      <w:r w:rsidR="006071C6">
        <w:rPr>
          <w:rFonts w:cs="Arial"/>
          <w:szCs w:val="20"/>
        </w:rPr>
        <w:t xml:space="preserve">sklenjenim med vlado in večino reprezentativnih sindikatov javnega sektorja, dne 10.5.2012, </w:t>
      </w:r>
      <w:r w:rsidRPr="008C7FCA">
        <w:rPr>
          <w:rFonts w:cs="Arial"/>
          <w:szCs w:val="20"/>
        </w:rPr>
        <w:t>je bila uveljavljena Uredba o spremembah in dopolnitvah uredbe o plačah in drugih prejemkih javnih uslužbencev za delo v tujini</w:t>
      </w:r>
      <w:r w:rsidR="004B5A15">
        <w:rPr>
          <w:rFonts w:cs="Arial"/>
          <w:szCs w:val="20"/>
        </w:rPr>
        <w:t xml:space="preserve"> (Uradni list RS, št. 41/12)</w:t>
      </w:r>
      <w:r w:rsidRPr="008C7FCA">
        <w:rPr>
          <w:rFonts w:cs="Arial"/>
          <w:szCs w:val="20"/>
        </w:rPr>
        <w:t xml:space="preserve">, ki določa znižanje nominalnih osnov za določitev osnovne plače za 8% in znižanje položajnega dodatka. </w:t>
      </w:r>
    </w:p>
    <w:p w:rsidR="00FA30A1" w:rsidRPr="008C7FCA" w:rsidRDefault="00FA30A1" w:rsidP="00A51694">
      <w:pPr>
        <w:jc w:val="both"/>
        <w:rPr>
          <w:rFonts w:cs="Arial"/>
          <w:szCs w:val="20"/>
        </w:rPr>
      </w:pPr>
      <w:r w:rsidRPr="008C7FCA">
        <w:rPr>
          <w:rFonts w:cs="Arial"/>
          <w:szCs w:val="20"/>
        </w:rPr>
        <w:t xml:space="preserve">  </w:t>
      </w:r>
    </w:p>
    <w:p w:rsidR="00580FE8" w:rsidRPr="008C7FCA" w:rsidRDefault="00580FE8" w:rsidP="00A51694">
      <w:pPr>
        <w:jc w:val="both"/>
        <w:rPr>
          <w:rFonts w:cs="Arial"/>
          <w:b/>
          <w:szCs w:val="20"/>
        </w:rPr>
      </w:pPr>
    </w:p>
    <w:p w:rsidR="00A51694" w:rsidRPr="008C7FCA" w:rsidRDefault="00A51694" w:rsidP="00A51694">
      <w:pPr>
        <w:numPr>
          <w:ilvl w:val="0"/>
          <w:numId w:val="7"/>
        </w:numPr>
        <w:jc w:val="both"/>
        <w:rPr>
          <w:rFonts w:cs="Arial"/>
          <w:b/>
          <w:szCs w:val="20"/>
        </w:rPr>
      </w:pPr>
      <w:r w:rsidRPr="008C7FCA">
        <w:rPr>
          <w:rFonts w:cs="Arial"/>
          <w:b/>
          <w:szCs w:val="20"/>
        </w:rPr>
        <w:t>Delovna uspešnost iz naslova prodaje blaga in storitev na trgu</w:t>
      </w:r>
    </w:p>
    <w:p w:rsidR="00A51694" w:rsidRPr="008C7FCA" w:rsidRDefault="00A51694" w:rsidP="00A51694">
      <w:pPr>
        <w:jc w:val="both"/>
        <w:rPr>
          <w:rFonts w:cs="Arial"/>
          <w:b/>
          <w:szCs w:val="20"/>
        </w:rPr>
      </w:pPr>
    </w:p>
    <w:p w:rsidR="009742AF" w:rsidRPr="008C7FCA" w:rsidRDefault="004948FD" w:rsidP="009742AF">
      <w:pPr>
        <w:jc w:val="both"/>
        <w:rPr>
          <w:rFonts w:cs="Arial"/>
          <w:szCs w:val="20"/>
        </w:rPr>
      </w:pPr>
      <w:r w:rsidRPr="008C7FCA">
        <w:rPr>
          <w:rFonts w:cs="Arial"/>
          <w:szCs w:val="20"/>
        </w:rPr>
        <w:t xml:space="preserve">S spremembami in dopolnitvami uredbe o delovni uspešnosti iz naslova prodaje blaga in </w:t>
      </w:r>
      <w:r w:rsidRPr="00902ABF">
        <w:rPr>
          <w:rFonts w:cs="Arial"/>
          <w:szCs w:val="20"/>
        </w:rPr>
        <w:t xml:space="preserve">storitev na trgu </w:t>
      </w:r>
      <w:r w:rsidR="00902ABF" w:rsidRPr="00902ABF">
        <w:rPr>
          <w:rFonts w:cs="Arial"/>
          <w:szCs w:val="20"/>
        </w:rPr>
        <w:t>(</w:t>
      </w:r>
      <w:r w:rsidR="004F6DBC" w:rsidRPr="00902ABF">
        <w:rPr>
          <w:rFonts w:cs="Arial"/>
          <w:szCs w:val="20"/>
        </w:rPr>
        <w:t>Uradni list RS, št</w:t>
      </w:r>
      <w:r w:rsidR="00902ABF" w:rsidRPr="00902ABF">
        <w:rPr>
          <w:rFonts w:cs="Arial"/>
          <w:szCs w:val="20"/>
        </w:rPr>
        <w:t xml:space="preserve"> 41/12) s</w:t>
      </w:r>
      <w:r w:rsidR="009742AF" w:rsidRPr="00902ABF">
        <w:rPr>
          <w:rFonts w:cs="Arial"/>
          <w:szCs w:val="20"/>
        </w:rPr>
        <w:t>e najvišji dovoljen obseg sredstev, namenjenih za</w:t>
      </w:r>
      <w:r w:rsidR="009742AF" w:rsidRPr="008C7FCA">
        <w:rPr>
          <w:rFonts w:cs="Arial"/>
          <w:szCs w:val="20"/>
        </w:rPr>
        <w:t xml:space="preserve"> plačilo delovne uspešnosti iz naslova prodaje blaga in storitev na trgu znižal s 60% na 50% dosežene razlike med prihodki in odhodki.</w:t>
      </w:r>
      <w:r w:rsidR="008C7FCA" w:rsidRPr="008C7FCA">
        <w:rPr>
          <w:rFonts w:cs="Arial"/>
          <w:szCs w:val="20"/>
        </w:rPr>
        <w:t xml:space="preserve"> Do konca leta 2012 so ministri dolžni izdati pravilnike, s katerimi bodo določili najvišji možni obseg sredstev za izplačilo delovne uspešnosti iz tega naslova v okviru, določenim z uredbo. </w:t>
      </w:r>
      <w:r w:rsidR="009742AF" w:rsidRPr="008C7FCA">
        <w:rPr>
          <w:rFonts w:cs="Arial"/>
          <w:szCs w:val="20"/>
        </w:rPr>
        <w:t xml:space="preserve"> </w:t>
      </w:r>
    </w:p>
    <w:p w:rsidR="004948FD" w:rsidRDefault="004948FD" w:rsidP="004948FD">
      <w:pPr>
        <w:jc w:val="both"/>
        <w:rPr>
          <w:rFonts w:cs="Arial"/>
          <w:szCs w:val="20"/>
        </w:rPr>
      </w:pPr>
    </w:p>
    <w:p w:rsidR="009742AF" w:rsidRPr="00C96B14" w:rsidRDefault="00C96B14" w:rsidP="004948FD">
      <w:pPr>
        <w:jc w:val="both"/>
        <w:rPr>
          <w:rFonts w:cs="Arial"/>
          <w:szCs w:val="20"/>
        </w:rPr>
      </w:pPr>
      <w:r>
        <w:rPr>
          <w:iCs/>
          <w:szCs w:val="20"/>
        </w:rPr>
        <w:t xml:space="preserve">Z uredbo se spreminja tudi </w:t>
      </w:r>
      <w:r w:rsidRPr="00C96B14">
        <w:rPr>
          <w:iCs/>
          <w:szCs w:val="20"/>
        </w:rPr>
        <w:t>7. člen</w:t>
      </w:r>
      <w:r>
        <w:rPr>
          <w:iCs/>
          <w:szCs w:val="20"/>
        </w:rPr>
        <w:t xml:space="preserve">, kar je posledica </w:t>
      </w:r>
      <w:r w:rsidRPr="00C96B14">
        <w:rPr>
          <w:iCs/>
          <w:szCs w:val="20"/>
        </w:rPr>
        <w:t>spremenjenega obrazca z nazivom »Izkaz prihodkov in odhodkov določenih uporabnikov po vrstah dejavnosti« (Priloga 3/B) Pravilnika o sestavljanju letnih poročil za proračun, proračunske uporabnike in druge osebe javnega prava (Ur.l. RS, št. 115/02 s spremembami)</w:t>
      </w:r>
      <w:r>
        <w:rPr>
          <w:iCs/>
          <w:szCs w:val="20"/>
        </w:rPr>
        <w:t>.</w:t>
      </w:r>
      <w:r w:rsidRPr="00C96B14">
        <w:rPr>
          <w:iCs/>
          <w:szCs w:val="20"/>
        </w:rPr>
        <w:t xml:space="preserve"> Posledica spremembe 7. člena je upoštevanje  presežkov preteklih let, kar je razvidno iz podatka v AOP 691. Ta sprememba se bo odrazila v obrazcu Elementi za določitev dovoljenega obsega sredstev za delovno uspešnost</w:t>
      </w:r>
      <w:r>
        <w:rPr>
          <w:iCs/>
          <w:szCs w:val="20"/>
        </w:rPr>
        <w:t>.</w:t>
      </w:r>
    </w:p>
    <w:p w:rsidR="00704BA6" w:rsidRDefault="00704BA6" w:rsidP="00B91B3E">
      <w:pPr>
        <w:jc w:val="both"/>
        <w:rPr>
          <w:rFonts w:cs="Arial"/>
          <w:b/>
          <w:szCs w:val="20"/>
        </w:rPr>
      </w:pPr>
    </w:p>
    <w:p w:rsidR="00690440" w:rsidRDefault="00690440" w:rsidP="00690440">
      <w:pPr>
        <w:jc w:val="both"/>
        <w:rPr>
          <w:rFonts w:cs="Arial"/>
          <w:szCs w:val="20"/>
        </w:rPr>
      </w:pPr>
      <w:r>
        <w:rPr>
          <w:rFonts w:cs="Arial"/>
          <w:szCs w:val="20"/>
        </w:rPr>
        <w:t xml:space="preserve">Glede na specifičnost poslovanja nekaterih proračunskih uporabnikov na področju kulture in možnosti pridobivanja nejavnih sredstev za izvajanje javne službe, se </w:t>
      </w:r>
      <w:r w:rsidR="000B62D1">
        <w:rPr>
          <w:rFonts w:cs="Arial"/>
          <w:szCs w:val="20"/>
        </w:rPr>
        <w:t xml:space="preserve">je </w:t>
      </w:r>
      <w:r>
        <w:rPr>
          <w:rFonts w:cs="Arial"/>
          <w:szCs w:val="20"/>
        </w:rPr>
        <w:t xml:space="preserve">v uredbi določilo, da uporabniki proračuna s področja kulture lahko izplačujejo delovno uspešnost iz naslova prodaje blaga in storitev na trgu, če v letnem poročilu za preteklo leto izkazujejo </w:t>
      </w:r>
      <w:r w:rsidRPr="00D63DB7">
        <w:rPr>
          <w:rFonts w:cs="Arial"/>
          <w:szCs w:val="20"/>
          <w:u w:val="single"/>
        </w:rPr>
        <w:t>vsaj</w:t>
      </w:r>
      <w:r>
        <w:rPr>
          <w:rFonts w:cs="Arial"/>
          <w:szCs w:val="20"/>
        </w:rPr>
        <w:t xml:space="preserve"> izravnane </w:t>
      </w:r>
      <w:r>
        <w:rPr>
          <w:rFonts w:cs="Arial"/>
        </w:rPr>
        <w:t xml:space="preserve">prihodke in </w:t>
      </w:r>
      <w:r w:rsidRPr="00690440">
        <w:rPr>
          <w:rStyle w:val="highlight1"/>
          <w:rFonts w:cs="Arial"/>
          <w:color w:val="auto"/>
        </w:rPr>
        <w:t>odhodke</w:t>
      </w:r>
      <w:r>
        <w:rPr>
          <w:rFonts w:cs="Arial"/>
        </w:rPr>
        <w:t xml:space="preserve"> za izvajanje javne službe</w:t>
      </w:r>
      <w:r w:rsidR="001952F4">
        <w:rPr>
          <w:rFonts w:cs="Arial"/>
        </w:rPr>
        <w:t xml:space="preserve"> (zadnji odstavek 2. člena Uredbe o spremembah in dopolnitvah uredbe o delovni uspešnosti iz naslova prodaje blaga in storitev na trgu</w:t>
      </w:r>
      <w:r w:rsidR="00BE69EA">
        <w:rPr>
          <w:rFonts w:cs="Arial"/>
        </w:rPr>
        <w:t xml:space="preserve"> (Uradni list RS, št. 41/12)</w:t>
      </w:r>
      <w:r>
        <w:rPr>
          <w:rFonts w:cs="Arial"/>
        </w:rPr>
        <w:t>.</w:t>
      </w:r>
    </w:p>
    <w:p w:rsidR="00690440" w:rsidRDefault="00690440" w:rsidP="00690440">
      <w:pPr>
        <w:jc w:val="both"/>
        <w:rPr>
          <w:rFonts w:cs="Arial"/>
          <w:szCs w:val="20"/>
        </w:rPr>
      </w:pPr>
    </w:p>
    <w:p w:rsidR="00CA64BF" w:rsidRDefault="00CA64BF" w:rsidP="00690440">
      <w:pPr>
        <w:jc w:val="both"/>
        <w:rPr>
          <w:rFonts w:cs="Arial"/>
          <w:szCs w:val="20"/>
        </w:rPr>
      </w:pPr>
      <w:r>
        <w:rPr>
          <w:rFonts w:cs="Arial"/>
          <w:szCs w:val="20"/>
        </w:rPr>
        <w:t>Ministrstva prosimo, da z vsebino tega pojasnila seznanijo proračunske uporabnike iz njihove pristojnosti.</w:t>
      </w:r>
    </w:p>
    <w:p w:rsidR="00690440" w:rsidRDefault="00690440" w:rsidP="00690440">
      <w:pPr>
        <w:jc w:val="both"/>
        <w:rPr>
          <w:rFonts w:cs="Arial"/>
          <w:szCs w:val="20"/>
        </w:rPr>
      </w:pPr>
    </w:p>
    <w:p w:rsidR="00CA64BF" w:rsidRPr="008C7FCA" w:rsidRDefault="00CA64BF" w:rsidP="00690440">
      <w:pPr>
        <w:jc w:val="both"/>
        <w:rPr>
          <w:rFonts w:cs="Arial"/>
          <w:szCs w:val="20"/>
        </w:rPr>
      </w:pPr>
    </w:p>
    <w:p w:rsidR="0072047C" w:rsidRPr="008C7FCA" w:rsidRDefault="0072047C" w:rsidP="0072047C">
      <w:pPr>
        <w:rPr>
          <w:rFonts w:cs="Arial"/>
          <w:szCs w:val="20"/>
        </w:rPr>
      </w:pPr>
      <w:r w:rsidRPr="008C7FCA">
        <w:rPr>
          <w:rFonts w:cs="Arial"/>
          <w:szCs w:val="20"/>
        </w:rPr>
        <w:t>S spoštovanjem,</w:t>
      </w:r>
    </w:p>
    <w:p w:rsidR="0072047C" w:rsidRPr="008C7FCA" w:rsidRDefault="0072047C" w:rsidP="0072047C">
      <w:pPr>
        <w:pStyle w:val="podpisi"/>
        <w:rPr>
          <w:rFonts w:cs="Arial"/>
          <w:szCs w:val="20"/>
          <w:lang w:val="sl-SI"/>
        </w:rPr>
      </w:pPr>
    </w:p>
    <w:p w:rsidR="003F620B" w:rsidRPr="008C7FCA" w:rsidRDefault="003F620B" w:rsidP="0072047C">
      <w:pPr>
        <w:pStyle w:val="podpisi"/>
        <w:rPr>
          <w:rFonts w:cs="Arial"/>
          <w:szCs w:val="20"/>
          <w:lang w:val="sl-SI"/>
        </w:rPr>
      </w:pPr>
    </w:p>
    <w:p w:rsidR="0072047C" w:rsidRPr="008C7FCA" w:rsidRDefault="003F620B" w:rsidP="0072047C">
      <w:pPr>
        <w:autoSpaceDE w:val="0"/>
        <w:autoSpaceDN w:val="0"/>
        <w:adjustRightInd w:val="0"/>
        <w:spacing w:line="240" w:lineRule="auto"/>
        <w:ind w:left="4335" w:firstLine="705"/>
        <w:rPr>
          <w:rFonts w:cs="Arial"/>
          <w:color w:val="000000"/>
          <w:szCs w:val="20"/>
          <w:lang w:eastAsia="sl-SI"/>
        </w:rPr>
      </w:pPr>
      <w:r w:rsidRPr="008C7FCA">
        <w:rPr>
          <w:rFonts w:cs="Arial"/>
          <w:color w:val="000000"/>
          <w:szCs w:val="20"/>
          <w:lang w:eastAsia="sl-SI"/>
        </w:rPr>
        <w:t xml:space="preserve">Dr. </w:t>
      </w:r>
      <w:proofErr w:type="spellStart"/>
      <w:r w:rsidRPr="008C7FCA">
        <w:rPr>
          <w:rFonts w:cs="Arial"/>
          <w:color w:val="000000"/>
          <w:szCs w:val="20"/>
          <w:lang w:eastAsia="sl-SI"/>
        </w:rPr>
        <w:t>Senko</w:t>
      </w:r>
      <w:proofErr w:type="spellEnd"/>
      <w:r w:rsidRPr="008C7FCA">
        <w:rPr>
          <w:rFonts w:cs="Arial"/>
          <w:color w:val="000000"/>
          <w:szCs w:val="20"/>
          <w:lang w:eastAsia="sl-SI"/>
        </w:rPr>
        <w:t xml:space="preserve"> </w:t>
      </w:r>
      <w:proofErr w:type="spellStart"/>
      <w:r w:rsidRPr="008C7FCA">
        <w:rPr>
          <w:rFonts w:cs="Arial"/>
          <w:color w:val="000000"/>
          <w:szCs w:val="20"/>
          <w:lang w:eastAsia="sl-SI"/>
        </w:rPr>
        <w:t>Pličanič</w:t>
      </w:r>
      <w:proofErr w:type="spellEnd"/>
    </w:p>
    <w:p w:rsidR="00E66E32" w:rsidRPr="008C7FCA" w:rsidRDefault="0072047C" w:rsidP="0072047C">
      <w:pPr>
        <w:pStyle w:val="datumtevilka"/>
        <w:rPr>
          <w:rFonts w:cs="Arial"/>
        </w:rPr>
      </w:pPr>
      <w:r w:rsidRPr="008C7FCA">
        <w:rPr>
          <w:rFonts w:cs="Arial"/>
        </w:rPr>
        <w:tab/>
      </w:r>
      <w:r w:rsidRPr="008C7FCA">
        <w:rPr>
          <w:rFonts w:cs="Arial"/>
        </w:rPr>
        <w:tab/>
        <w:t xml:space="preserve">         </w:t>
      </w:r>
      <w:r w:rsidR="00202597" w:rsidRPr="008C7FCA">
        <w:rPr>
          <w:rFonts w:cs="Arial"/>
        </w:rPr>
        <w:tab/>
      </w:r>
      <w:r w:rsidR="00202597" w:rsidRPr="008C7FCA">
        <w:rPr>
          <w:rFonts w:cs="Arial"/>
        </w:rPr>
        <w:tab/>
      </w:r>
      <w:r w:rsidR="00202597" w:rsidRPr="008C7FCA">
        <w:rPr>
          <w:rFonts w:cs="Arial"/>
        </w:rPr>
        <w:tab/>
      </w:r>
      <w:r w:rsidR="003F620B" w:rsidRPr="008C7FCA">
        <w:rPr>
          <w:rFonts w:cs="Arial"/>
        </w:rPr>
        <w:t xml:space="preserve">                      minister</w:t>
      </w:r>
      <w:r w:rsidRPr="008C7FCA">
        <w:rPr>
          <w:rFonts w:cs="Arial"/>
        </w:rPr>
        <w:br/>
      </w:r>
    </w:p>
    <w:sectPr w:rsidR="00E66E32" w:rsidRPr="008C7FCA" w:rsidSect="00783310">
      <w:headerReference w:type="default" r:id="rId7"/>
      <w:headerReference w:type="first" r:id="rId8"/>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80F" w:rsidRDefault="009B580F">
      <w:r>
        <w:separator/>
      </w:r>
    </w:p>
  </w:endnote>
  <w:endnote w:type="continuationSeparator" w:id="0">
    <w:p w:rsidR="009B580F" w:rsidRDefault="009B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80F" w:rsidRDefault="009B580F">
      <w:r>
        <w:separator/>
      </w:r>
    </w:p>
  </w:footnote>
  <w:footnote w:type="continuationSeparator" w:id="0">
    <w:p w:rsidR="009B580F" w:rsidRDefault="009B5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921" w:rsidRPr="00110CBD" w:rsidRDefault="00EC79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vetlamrea2poudarek1"/>
      <w:tblpPr w:leftFromText="142" w:rightFromText="142" w:bottomFromText="6005" w:vertAnchor="page" w:horzAnchor="page" w:tblpX="925" w:tblpY="869"/>
      <w:tblW w:w="0" w:type="auto"/>
      <w:tblLook w:val="04A0" w:firstRow="1" w:lastRow="0" w:firstColumn="1" w:lastColumn="0" w:noHBand="0" w:noVBand="1"/>
    </w:tblPr>
    <w:tblGrid>
      <w:gridCol w:w="650"/>
    </w:tblGrid>
    <w:tr w:rsidR="00EC7921" w:rsidRPr="008F3500" w:rsidTr="001F263A">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rsidR="00EC7921" w:rsidRDefault="00EC7921"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p w:rsidR="00EC7921" w:rsidRPr="006D42D9" w:rsidRDefault="00EC7921" w:rsidP="006D42D9">
          <w:pPr>
            <w:rPr>
              <w:rFonts w:ascii="Republika" w:hAnsi="Republika"/>
              <w:sz w:val="60"/>
              <w:szCs w:val="60"/>
            </w:rPr>
          </w:pPr>
        </w:p>
      </w:tc>
    </w:tr>
  </w:tbl>
  <w:p w:rsidR="00EC7921" w:rsidRPr="008F3500" w:rsidRDefault="001F263A"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10160" t="9525" r="13970" b="9525"/>
              <wp:wrapNone/>
              <wp:docPr id="1"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4BDD0"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UBowwEAAGgDAAAOAAAAZHJzL2Uyb0RvYy54bWysk8+O2yAQxu+V+g6Ie2PHbVYbK84est1e&#10;0jbSbh9gAthGxQwCEjtv34H82W57q3pBwHzz88w3ePUwDYYdlQ8abcPns5IzZQVKbbuG/3h5+nDP&#10;WYhgJRi0quEnFfjD+v271ehqVWGPRirPCGJDPbqG9zG6uiiC6NUAYYZOWQq26AeIdPRdIT2MRB9M&#10;UZXlXTGil86jUCHQ7eM5yNeZ37ZKxO9tG1RkpuFUW8yrz+s+rcV6BXXnwfVaXMqAf6hiAG3pozfU&#10;I0RgB6//Qg1aeAzYxpnAocC21ULlHqibeflHN889OJV7IXOCu9kU/h9WfDvuPNOSZseZhYFGtNVW&#10;sXlyZnShJsHG7nzqTUz22W1R/AzM4qYH26lc4cvJUVrOKN6kpENwxN+PX1GSBg4Rs01T64eEJAPY&#10;lKdxuk1DTZEJuqwWVblccCauoQLqa57zIX5ROLC0abihkjMXjtsQqXKSXiXpMxaftDF51sayseF3&#10;HxdlTghotEzBJAu+22+MZ0eg1/Kpuq+Wy2QDwd7IPB6szLBegfx82UfQ5rwnvbGUdm3/bOQe5Wnn&#10;Ey7d0zgz+PL00nv5/ZxVrz/I+hcAAAD//wMAUEsDBBQABgAIAAAAIQA7oyT54AAAAAsBAAAPAAAA&#10;ZHJzL2Rvd25yZXYueG1sTI9BT8MwDIXvSPyHyEhcUJcyoHRd0wmBxoED08Z2TxuvrWicqsm68u8x&#10;EhLcbL+n5+/lq8l2YsTBt44U3M5iEEiVMy3VCvYf6ygF4YMmoztHqOALPayKy4tcZ8adaYvjLtSC&#10;Q8hnWkETQp9J6asGrfYz1yOxdnSD1YHXoZZm0GcOt52cx3EirW6JPzS6x+cGq8/dySp42S4Wh/XY&#10;v6aluXdv+/fNjdwclbq+mp6WIAJO4c8MP/iMDgUzle5ExotOQZSk3CUoeEgeeWBHNE/vQJS/F1nk&#10;8n+H4hsAAP//AwBQSwECLQAUAAYACAAAACEAtoM4kv4AAADhAQAAEwAAAAAAAAAAAAAAAAAAAAAA&#10;W0NvbnRlbnRfVHlwZXNdLnhtbFBLAQItABQABgAIAAAAIQA4/SH/1gAAAJQBAAALAAAAAAAAAAAA&#10;AAAAAC8BAABfcmVscy8ucmVsc1BLAQItABQABgAIAAAAIQB5uUBowwEAAGgDAAAOAAAAAAAAAAAA&#10;AAAAAC4CAABkcnMvZTJvRG9jLnhtbFBLAQItABQABgAIAAAAIQA7oyT54AAAAAsBAAAPAAAAAAAA&#10;AAAAAAAAAB0EAABkcnMvZG93bnJldi54bWxQSwUGAAAAAAQABADzAAAAKgUAAAAA&#10;" o:allowincell="f" strokecolor="#428299" strokeweight=".5pt">
              <w10:wrap anchory="page"/>
            </v:line>
          </w:pict>
        </mc:Fallback>
      </mc:AlternateContent>
    </w:r>
    <w:r w:rsidR="00EC7921" w:rsidRPr="008F3500">
      <w:rPr>
        <w:rFonts w:ascii="Republika" w:hAnsi="Republika"/>
      </w:rPr>
      <w:t>REPUBLIKA SLOVENIJA</w:t>
    </w:r>
  </w:p>
  <w:p w:rsidR="00EC7921" w:rsidRPr="008F3500" w:rsidRDefault="004231D9"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w:t>
    </w:r>
    <w:r w:rsidR="00AC3779">
      <w:rPr>
        <w:rFonts w:ascii="Republika Bold" w:hAnsi="Republika Bold"/>
        <w:b/>
        <w:caps/>
      </w:rPr>
      <w:t>I</w:t>
    </w:r>
    <w:r>
      <w:rPr>
        <w:rFonts w:ascii="Republika Bold" w:hAnsi="Republika Bold"/>
        <w:b/>
        <w:caps/>
      </w:rPr>
      <w:t xml:space="preserve">strstvo za </w:t>
    </w:r>
    <w:r w:rsidR="00C879E6">
      <w:rPr>
        <w:rFonts w:ascii="Republika Bold" w:hAnsi="Republika Bold"/>
        <w:b/>
        <w:caps/>
      </w:rPr>
      <w:t xml:space="preserve">pravosodje in </w:t>
    </w:r>
    <w:r>
      <w:rPr>
        <w:rFonts w:ascii="Republika Bold" w:hAnsi="Republika Bold"/>
        <w:b/>
        <w:caps/>
      </w:rPr>
      <w:t>javno upravo</w:t>
    </w:r>
  </w:p>
  <w:p w:rsidR="00902ABF" w:rsidRDefault="00902ABF" w:rsidP="00924E3C">
    <w:pPr>
      <w:pStyle w:val="Glava"/>
      <w:tabs>
        <w:tab w:val="clear" w:pos="4320"/>
        <w:tab w:val="clear" w:pos="8640"/>
        <w:tab w:val="left" w:pos="5112"/>
      </w:tabs>
      <w:spacing w:before="240" w:line="240" w:lineRule="exact"/>
      <w:rPr>
        <w:rFonts w:cs="Arial"/>
        <w:sz w:val="16"/>
      </w:rPr>
    </w:pPr>
  </w:p>
  <w:p w:rsidR="00EC7921" w:rsidRPr="008F3500" w:rsidRDefault="004231D9" w:rsidP="00924E3C">
    <w:pPr>
      <w:pStyle w:val="Glava"/>
      <w:tabs>
        <w:tab w:val="clear" w:pos="4320"/>
        <w:tab w:val="clear" w:pos="8640"/>
        <w:tab w:val="left" w:pos="5112"/>
      </w:tabs>
      <w:spacing w:before="240" w:line="240" w:lineRule="exact"/>
      <w:rPr>
        <w:rFonts w:cs="Arial"/>
        <w:sz w:val="16"/>
      </w:rPr>
    </w:pPr>
    <w:r>
      <w:rPr>
        <w:rFonts w:cs="Arial"/>
        <w:sz w:val="16"/>
      </w:rPr>
      <w:t>Tržaška cesta 21</w:t>
    </w:r>
    <w:r w:rsidR="00EC7921" w:rsidRPr="008F3500">
      <w:rPr>
        <w:rFonts w:cs="Arial"/>
        <w:sz w:val="16"/>
      </w:rPr>
      <w:t xml:space="preserve">, </w:t>
    </w:r>
    <w:r>
      <w:rPr>
        <w:rFonts w:cs="Arial"/>
        <w:sz w:val="16"/>
      </w:rPr>
      <w:t>1000 Ljubljana</w:t>
    </w:r>
    <w:r w:rsidR="00EC7921" w:rsidRPr="008F3500">
      <w:rPr>
        <w:rFonts w:cs="Arial"/>
        <w:sz w:val="16"/>
      </w:rPr>
      <w:tab/>
      <w:t xml:space="preserve">T: </w:t>
    </w:r>
    <w:r>
      <w:rPr>
        <w:rFonts w:cs="Arial"/>
        <w:sz w:val="16"/>
      </w:rPr>
      <w:t>01 478 16 50</w:t>
    </w:r>
  </w:p>
  <w:p w:rsidR="00EC7921" w:rsidRPr="008F3500" w:rsidRDefault="00EC7921"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4231D9">
      <w:rPr>
        <w:rFonts w:cs="Arial"/>
        <w:sz w:val="16"/>
      </w:rPr>
      <w:t>01 478 16 99</w:t>
    </w:r>
    <w:r w:rsidRPr="008F3500">
      <w:rPr>
        <w:rFonts w:cs="Arial"/>
        <w:sz w:val="16"/>
      </w:rPr>
      <w:t xml:space="preserve"> </w:t>
    </w:r>
  </w:p>
  <w:p w:rsidR="00EC7921" w:rsidRPr="008F3500" w:rsidRDefault="00EC7921"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4231D9">
      <w:rPr>
        <w:rFonts w:cs="Arial"/>
        <w:sz w:val="16"/>
      </w:rPr>
      <w:t>gp.m</w:t>
    </w:r>
    <w:r w:rsidR="00902ABF">
      <w:rPr>
        <w:rFonts w:cs="Arial"/>
        <w:sz w:val="16"/>
      </w:rPr>
      <w:t>p</w:t>
    </w:r>
    <w:r w:rsidR="004231D9">
      <w:rPr>
        <w:rFonts w:cs="Arial"/>
        <w:sz w:val="16"/>
      </w:rPr>
      <w:t>ju@gov.si</w:t>
    </w:r>
  </w:p>
  <w:p w:rsidR="00EC7921" w:rsidRPr="008F3500" w:rsidRDefault="00EC7921" w:rsidP="007D75CF">
    <w:pPr>
      <w:pStyle w:val="Glava"/>
      <w:tabs>
        <w:tab w:val="clear" w:pos="4320"/>
        <w:tab w:val="clear" w:pos="8640"/>
        <w:tab w:val="left" w:pos="5112"/>
      </w:tabs>
      <w:spacing w:line="240" w:lineRule="exact"/>
      <w:rPr>
        <w:rFonts w:cs="Arial"/>
        <w:sz w:val="16"/>
      </w:rPr>
    </w:pPr>
    <w:r w:rsidRPr="008F3500">
      <w:rPr>
        <w:rFonts w:cs="Arial"/>
        <w:sz w:val="16"/>
      </w:rPr>
      <w:tab/>
    </w:r>
    <w:r w:rsidR="004231D9">
      <w:rPr>
        <w:rFonts w:cs="Arial"/>
        <w:sz w:val="16"/>
      </w:rPr>
      <w:t>www.m</w:t>
    </w:r>
    <w:r w:rsidR="00902ABF">
      <w:rPr>
        <w:rFonts w:cs="Arial"/>
        <w:sz w:val="16"/>
      </w:rPr>
      <w:t>p</w:t>
    </w:r>
    <w:r w:rsidR="004231D9">
      <w:rPr>
        <w:rFonts w:cs="Arial"/>
        <w:sz w:val="16"/>
      </w:rPr>
      <w:t>ju.gov.si</w:t>
    </w:r>
  </w:p>
  <w:p w:rsidR="00EC7921" w:rsidRPr="008F3500" w:rsidRDefault="00EC79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E712D66"/>
    <w:multiLevelType w:val="hybridMultilevel"/>
    <w:tmpl w:val="AD3A0CE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24530"/>
    <w:multiLevelType w:val="hybridMultilevel"/>
    <w:tmpl w:val="133E9916"/>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E72C5"/>
    <w:multiLevelType w:val="hybridMultilevel"/>
    <w:tmpl w:val="643A7B1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D657C89"/>
    <w:multiLevelType w:val="hybridMultilevel"/>
    <w:tmpl w:val="F350E302"/>
    <w:lvl w:ilvl="0" w:tplc="FAE6F456">
      <w:numFmt w:val="bullet"/>
      <w:lvlText w:val="-"/>
      <w:lvlJc w:val="left"/>
      <w:pPr>
        <w:tabs>
          <w:tab w:val="num" w:pos="720"/>
        </w:tabs>
        <w:ind w:left="720" w:hanging="360"/>
      </w:pPr>
      <w:rPr>
        <w:rFonts w:ascii="Tunga" w:eastAsia="Tunga" w:hAnsi="Tunga" w:cs="Tung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1"/>
  </w:num>
  <w:num w:numId="6">
    <w:abstractNumId w:val="8"/>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5121">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E6"/>
    <w:rsid w:val="0000140F"/>
    <w:rsid w:val="00007BE2"/>
    <w:rsid w:val="00021135"/>
    <w:rsid w:val="00023A88"/>
    <w:rsid w:val="00052D3A"/>
    <w:rsid w:val="00062C38"/>
    <w:rsid w:val="00063819"/>
    <w:rsid w:val="00084C83"/>
    <w:rsid w:val="00092955"/>
    <w:rsid w:val="000A1CA0"/>
    <w:rsid w:val="000A4E6C"/>
    <w:rsid w:val="000A7238"/>
    <w:rsid w:val="000B5D7E"/>
    <w:rsid w:val="000B62D1"/>
    <w:rsid w:val="000D0042"/>
    <w:rsid w:val="000D0BC4"/>
    <w:rsid w:val="000E23F8"/>
    <w:rsid w:val="000F23B9"/>
    <w:rsid w:val="000F2BEF"/>
    <w:rsid w:val="000F2F15"/>
    <w:rsid w:val="000F551B"/>
    <w:rsid w:val="000F7D35"/>
    <w:rsid w:val="00115823"/>
    <w:rsid w:val="00117517"/>
    <w:rsid w:val="001238CE"/>
    <w:rsid w:val="001357B2"/>
    <w:rsid w:val="00136EDD"/>
    <w:rsid w:val="00137C69"/>
    <w:rsid w:val="00140099"/>
    <w:rsid w:val="001728C1"/>
    <w:rsid w:val="00172C87"/>
    <w:rsid w:val="00173FC6"/>
    <w:rsid w:val="00177247"/>
    <w:rsid w:val="001773A4"/>
    <w:rsid w:val="00187106"/>
    <w:rsid w:val="001952F4"/>
    <w:rsid w:val="001A6D26"/>
    <w:rsid w:val="001C4DC7"/>
    <w:rsid w:val="001E1ADC"/>
    <w:rsid w:val="001E60B7"/>
    <w:rsid w:val="001E78E3"/>
    <w:rsid w:val="001F263A"/>
    <w:rsid w:val="001F2CAA"/>
    <w:rsid w:val="001F7453"/>
    <w:rsid w:val="00200594"/>
    <w:rsid w:val="00202597"/>
    <w:rsid w:val="00202A77"/>
    <w:rsid w:val="00202D0E"/>
    <w:rsid w:val="00220369"/>
    <w:rsid w:val="002426D5"/>
    <w:rsid w:val="00251B20"/>
    <w:rsid w:val="00271CE5"/>
    <w:rsid w:val="00273CAD"/>
    <w:rsid w:val="0027691E"/>
    <w:rsid w:val="00282020"/>
    <w:rsid w:val="002825FB"/>
    <w:rsid w:val="002902FF"/>
    <w:rsid w:val="0029428A"/>
    <w:rsid w:val="00295B3A"/>
    <w:rsid w:val="002A0B15"/>
    <w:rsid w:val="002A1319"/>
    <w:rsid w:val="002A2593"/>
    <w:rsid w:val="002A5E68"/>
    <w:rsid w:val="002B020D"/>
    <w:rsid w:val="002B701F"/>
    <w:rsid w:val="002E4BE0"/>
    <w:rsid w:val="002E6E22"/>
    <w:rsid w:val="0030308B"/>
    <w:rsid w:val="00304E65"/>
    <w:rsid w:val="00306621"/>
    <w:rsid w:val="0031362C"/>
    <w:rsid w:val="003254D1"/>
    <w:rsid w:val="00333486"/>
    <w:rsid w:val="0034327D"/>
    <w:rsid w:val="003512C1"/>
    <w:rsid w:val="00351D67"/>
    <w:rsid w:val="00354374"/>
    <w:rsid w:val="00361693"/>
    <w:rsid w:val="003636BF"/>
    <w:rsid w:val="00364AA9"/>
    <w:rsid w:val="0037479F"/>
    <w:rsid w:val="003748A0"/>
    <w:rsid w:val="003845B4"/>
    <w:rsid w:val="00387B1A"/>
    <w:rsid w:val="003A3142"/>
    <w:rsid w:val="003A509D"/>
    <w:rsid w:val="003A65B3"/>
    <w:rsid w:val="003A7B5A"/>
    <w:rsid w:val="003C35CD"/>
    <w:rsid w:val="003D0DDA"/>
    <w:rsid w:val="003D2521"/>
    <w:rsid w:val="003D3BEA"/>
    <w:rsid w:val="003D43B2"/>
    <w:rsid w:val="003E1467"/>
    <w:rsid w:val="003E1C74"/>
    <w:rsid w:val="003F620B"/>
    <w:rsid w:val="004059E4"/>
    <w:rsid w:val="00420588"/>
    <w:rsid w:val="004231D9"/>
    <w:rsid w:val="00431D2A"/>
    <w:rsid w:val="00441753"/>
    <w:rsid w:val="0045350B"/>
    <w:rsid w:val="0045636B"/>
    <w:rsid w:val="00467615"/>
    <w:rsid w:val="00472EED"/>
    <w:rsid w:val="004807DA"/>
    <w:rsid w:val="004948FD"/>
    <w:rsid w:val="0049517B"/>
    <w:rsid w:val="004A2D54"/>
    <w:rsid w:val="004A3A26"/>
    <w:rsid w:val="004B43C9"/>
    <w:rsid w:val="004B5831"/>
    <w:rsid w:val="004B5A15"/>
    <w:rsid w:val="004C04F8"/>
    <w:rsid w:val="004D2334"/>
    <w:rsid w:val="004F15D8"/>
    <w:rsid w:val="004F6DBC"/>
    <w:rsid w:val="00513344"/>
    <w:rsid w:val="0051388F"/>
    <w:rsid w:val="00526246"/>
    <w:rsid w:val="00526DB5"/>
    <w:rsid w:val="00545B04"/>
    <w:rsid w:val="00546396"/>
    <w:rsid w:val="005519A1"/>
    <w:rsid w:val="00553411"/>
    <w:rsid w:val="00556496"/>
    <w:rsid w:val="00567106"/>
    <w:rsid w:val="00572F15"/>
    <w:rsid w:val="00580FE8"/>
    <w:rsid w:val="005A5248"/>
    <w:rsid w:val="005B55CA"/>
    <w:rsid w:val="005B600F"/>
    <w:rsid w:val="005B6D90"/>
    <w:rsid w:val="005D040A"/>
    <w:rsid w:val="005D205B"/>
    <w:rsid w:val="005D7DC8"/>
    <w:rsid w:val="005E1D3C"/>
    <w:rsid w:val="005E43E9"/>
    <w:rsid w:val="005E6DDF"/>
    <w:rsid w:val="005E7F19"/>
    <w:rsid w:val="005F3765"/>
    <w:rsid w:val="005F6102"/>
    <w:rsid w:val="00604801"/>
    <w:rsid w:val="00605999"/>
    <w:rsid w:val="00606936"/>
    <w:rsid w:val="006071C6"/>
    <w:rsid w:val="0062073C"/>
    <w:rsid w:val="006250C6"/>
    <w:rsid w:val="00632253"/>
    <w:rsid w:val="0063538A"/>
    <w:rsid w:val="00640131"/>
    <w:rsid w:val="00640ECE"/>
    <w:rsid w:val="006413DC"/>
    <w:rsid w:val="006421B0"/>
    <w:rsid w:val="00642714"/>
    <w:rsid w:val="006455CE"/>
    <w:rsid w:val="006508D7"/>
    <w:rsid w:val="00664C88"/>
    <w:rsid w:val="00681492"/>
    <w:rsid w:val="006869EA"/>
    <w:rsid w:val="00690440"/>
    <w:rsid w:val="00691633"/>
    <w:rsid w:val="0069444E"/>
    <w:rsid w:val="006A25E5"/>
    <w:rsid w:val="006A32C8"/>
    <w:rsid w:val="006B6FE0"/>
    <w:rsid w:val="006C3759"/>
    <w:rsid w:val="006D42D9"/>
    <w:rsid w:val="006D70E4"/>
    <w:rsid w:val="006E235A"/>
    <w:rsid w:val="00704BA6"/>
    <w:rsid w:val="007128EE"/>
    <w:rsid w:val="00715179"/>
    <w:rsid w:val="0072047C"/>
    <w:rsid w:val="00722BE5"/>
    <w:rsid w:val="00733017"/>
    <w:rsid w:val="00733A60"/>
    <w:rsid w:val="00734BFF"/>
    <w:rsid w:val="00753AEA"/>
    <w:rsid w:val="00756D11"/>
    <w:rsid w:val="007645DC"/>
    <w:rsid w:val="0077239E"/>
    <w:rsid w:val="00772689"/>
    <w:rsid w:val="007732EE"/>
    <w:rsid w:val="00783310"/>
    <w:rsid w:val="007940F6"/>
    <w:rsid w:val="007A3D45"/>
    <w:rsid w:val="007A4A6D"/>
    <w:rsid w:val="007C3314"/>
    <w:rsid w:val="007D1BCF"/>
    <w:rsid w:val="007D26C1"/>
    <w:rsid w:val="007D75CF"/>
    <w:rsid w:val="007E6DC5"/>
    <w:rsid w:val="007F13F0"/>
    <w:rsid w:val="007F1E4B"/>
    <w:rsid w:val="007F7849"/>
    <w:rsid w:val="00805F3D"/>
    <w:rsid w:val="008170FB"/>
    <w:rsid w:val="00825EAC"/>
    <w:rsid w:val="00826861"/>
    <w:rsid w:val="008770DA"/>
    <w:rsid w:val="0088043C"/>
    <w:rsid w:val="00881B09"/>
    <w:rsid w:val="008832A2"/>
    <w:rsid w:val="00887C0F"/>
    <w:rsid w:val="008906C9"/>
    <w:rsid w:val="008973EF"/>
    <w:rsid w:val="008A1126"/>
    <w:rsid w:val="008A3332"/>
    <w:rsid w:val="008B461B"/>
    <w:rsid w:val="008B5941"/>
    <w:rsid w:val="008C5738"/>
    <w:rsid w:val="008C7FCA"/>
    <w:rsid w:val="008D04F0"/>
    <w:rsid w:val="008D2187"/>
    <w:rsid w:val="008D6441"/>
    <w:rsid w:val="008E1213"/>
    <w:rsid w:val="008E2987"/>
    <w:rsid w:val="008E653B"/>
    <w:rsid w:val="008F1B34"/>
    <w:rsid w:val="008F3500"/>
    <w:rsid w:val="009016BF"/>
    <w:rsid w:val="00902678"/>
    <w:rsid w:val="00902ABF"/>
    <w:rsid w:val="0090635D"/>
    <w:rsid w:val="0090651B"/>
    <w:rsid w:val="00917074"/>
    <w:rsid w:val="00917616"/>
    <w:rsid w:val="00920A07"/>
    <w:rsid w:val="00922438"/>
    <w:rsid w:val="00924E3C"/>
    <w:rsid w:val="009449A1"/>
    <w:rsid w:val="009612BB"/>
    <w:rsid w:val="0096490C"/>
    <w:rsid w:val="009705E9"/>
    <w:rsid w:val="009742AF"/>
    <w:rsid w:val="009828FA"/>
    <w:rsid w:val="00984175"/>
    <w:rsid w:val="00993D00"/>
    <w:rsid w:val="009A45B9"/>
    <w:rsid w:val="009B580F"/>
    <w:rsid w:val="009C49B9"/>
    <w:rsid w:val="009C61EB"/>
    <w:rsid w:val="009C7A72"/>
    <w:rsid w:val="009D4802"/>
    <w:rsid w:val="009D5407"/>
    <w:rsid w:val="009F3288"/>
    <w:rsid w:val="00A125C5"/>
    <w:rsid w:val="00A31A2C"/>
    <w:rsid w:val="00A3510A"/>
    <w:rsid w:val="00A4390C"/>
    <w:rsid w:val="00A5039D"/>
    <w:rsid w:val="00A51694"/>
    <w:rsid w:val="00A517D4"/>
    <w:rsid w:val="00A55D53"/>
    <w:rsid w:val="00A5654C"/>
    <w:rsid w:val="00A65EE7"/>
    <w:rsid w:val="00A70133"/>
    <w:rsid w:val="00A806EF"/>
    <w:rsid w:val="00A834D7"/>
    <w:rsid w:val="00AB4771"/>
    <w:rsid w:val="00AC00C6"/>
    <w:rsid w:val="00AC3779"/>
    <w:rsid w:val="00AD1808"/>
    <w:rsid w:val="00AE6D96"/>
    <w:rsid w:val="00AE771A"/>
    <w:rsid w:val="00B17141"/>
    <w:rsid w:val="00B217BE"/>
    <w:rsid w:val="00B24426"/>
    <w:rsid w:val="00B24662"/>
    <w:rsid w:val="00B27703"/>
    <w:rsid w:val="00B31575"/>
    <w:rsid w:val="00B3623A"/>
    <w:rsid w:val="00B42E1A"/>
    <w:rsid w:val="00B61343"/>
    <w:rsid w:val="00B62478"/>
    <w:rsid w:val="00B62F3A"/>
    <w:rsid w:val="00B66BF6"/>
    <w:rsid w:val="00B720A0"/>
    <w:rsid w:val="00B748F2"/>
    <w:rsid w:val="00B8547D"/>
    <w:rsid w:val="00B87535"/>
    <w:rsid w:val="00B91B3E"/>
    <w:rsid w:val="00B96E76"/>
    <w:rsid w:val="00BA0E66"/>
    <w:rsid w:val="00BA24F2"/>
    <w:rsid w:val="00BA52DB"/>
    <w:rsid w:val="00BB200A"/>
    <w:rsid w:val="00BB40A2"/>
    <w:rsid w:val="00BC342B"/>
    <w:rsid w:val="00BC413F"/>
    <w:rsid w:val="00BC56DB"/>
    <w:rsid w:val="00BD2089"/>
    <w:rsid w:val="00BE219E"/>
    <w:rsid w:val="00BE69EA"/>
    <w:rsid w:val="00BF07E7"/>
    <w:rsid w:val="00BF449D"/>
    <w:rsid w:val="00C01004"/>
    <w:rsid w:val="00C250D5"/>
    <w:rsid w:val="00C27053"/>
    <w:rsid w:val="00C342EF"/>
    <w:rsid w:val="00C376D6"/>
    <w:rsid w:val="00C474A0"/>
    <w:rsid w:val="00C53BD1"/>
    <w:rsid w:val="00C64F95"/>
    <w:rsid w:val="00C750D8"/>
    <w:rsid w:val="00C77DB3"/>
    <w:rsid w:val="00C879E6"/>
    <w:rsid w:val="00C92898"/>
    <w:rsid w:val="00C96B14"/>
    <w:rsid w:val="00CA64BF"/>
    <w:rsid w:val="00CB55AF"/>
    <w:rsid w:val="00CE7514"/>
    <w:rsid w:val="00CF16D9"/>
    <w:rsid w:val="00CF4C0C"/>
    <w:rsid w:val="00D02540"/>
    <w:rsid w:val="00D07145"/>
    <w:rsid w:val="00D127FB"/>
    <w:rsid w:val="00D22D7B"/>
    <w:rsid w:val="00D248DE"/>
    <w:rsid w:val="00D258DE"/>
    <w:rsid w:val="00D2683C"/>
    <w:rsid w:val="00D26B3D"/>
    <w:rsid w:val="00D26E41"/>
    <w:rsid w:val="00D51667"/>
    <w:rsid w:val="00D53DD6"/>
    <w:rsid w:val="00D55EFF"/>
    <w:rsid w:val="00D605EB"/>
    <w:rsid w:val="00D61786"/>
    <w:rsid w:val="00D63DB7"/>
    <w:rsid w:val="00D66F27"/>
    <w:rsid w:val="00D7754C"/>
    <w:rsid w:val="00D80852"/>
    <w:rsid w:val="00D8142B"/>
    <w:rsid w:val="00D83231"/>
    <w:rsid w:val="00D8542D"/>
    <w:rsid w:val="00D85911"/>
    <w:rsid w:val="00D96731"/>
    <w:rsid w:val="00DA3292"/>
    <w:rsid w:val="00DA5C10"/>
    <w:rsid w:val="00DB1F34"/>
    <w:rsid w:val="00DB4978"/>
    <w:rsid w:val="00DB7BED"/>
    <w:rsid w:val="00DC6A71"/>
    <w:rsid w:val="00DD5AC5"/>
    <w:rsid w:val="00DD64BC"/>
    <w:rsid w:val="00DE4469"/>
    <w:rsid w:val="00DE50E5"/>
    <w:rsid w:val="00DE5B46"/>
    <w:rsid w:val="00DF5641"/>
    <w:rsid w:val="00E0357D"/>
    <w:rsid w:val="00E20C85"/>
    <w:rsid w:val="00E2301F"/>
    <w:rsid w:val="00E24EC2"/>
    <w:rsid w:val="00E273C3"/>
    <w:rsid w:val="00E4439F"/>
    <w:rsid w:val="00E459E0"/>
    <w:rsid w:val="00E46A67"/>
    <w:rsid w:val="00E50239"/>
    <w:rsid w:val="00E6145B"/>
    <w:rsid w:val="00E66253"/>
    <w:rsid w:val="00E66E32"/>
    <w:rsid w:val="00E77C7F"/>
    <w:rsid w:val="00E77F9B"/>
    <w:rsid w:val="00E842AE"/>
    <w:rsid w:val="00E8456D"/>
    <w:rsid w:val="00E86C0E"/>
    <w:rsid w:val="00E90E51"/>
    <w:rsid w:val="00E96592"/>
    <w:rsid w:val="00E96962"/>
    <w:rsid w:val="00EA1DFC"/>
    <w:rsid w:val="00EA4FE5"/>
    <w:rsid w:val="00EC6585"/>
    <w:rsid w:val="00EC7921"/>
    <w:rsid w:val="00EE23E4"/>
    <w:rsid w:val="00EE5420"/>
    <w:rsid w:val="00EE6C28"/>
    <w:rsid w:val="00EF6442"/>
    <w:rsid w:val="00EF78E4"/>
    <w:rsid w:val="00F1685F"/>
    <w:rsid w:val="00F240BB"/>
    <w:rsid w:val="00F405CC"/>
    <w:rsid w:val="00F45F08"/>
    <w:rsid w:val="00F46724"/>
    <w:rsid w:val="00F57FED"/>
    <w:rsid w:val="00F63849"/>
    <w:rsid w:val="00F72928"/>
    <w:rsid w:val="00F80A85"/>
    <w:rsid w:val="00F871C8"/>
    <w:rsid w:val="00FA0447"/>
    <w:rsid w:val="00FA30A1"/>
    <w:rsid w:val="00FA4999"/>
    <w:rsid w:val="00FB1BB8"/>
    <w:rsid w:val="00FD12E6"/>
    <w:rsid w:val="00FF0657"/>
    <w:rsid w:val="00FF439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428299"/>
    </o:shapedefaults>
    <o:shapelayout v:ext="edit">
      <o:idmap v:ext="edit" data="1"/>
    </o:shapelayout>
  </w:shapeDefaults>
  <w:doNotEmbedSmartTags/>
  <w:decimalSymbol w:val=","/>
  <w:listSeparator w:val=";"/>
  <w15:chartTrackingRefBased/>
  <w15:docId w15:val="{31267F90-4256-486E-972E-90AC580B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640131"/>
    <w:pPr>
      <w:keepNext/>
      <w:spacing w:before="240" w:after="60"/>
      <w:outlineLvl w:val="0"/>
    </w:pPr>
    <w:rPr>
      <w:rFonts w:cs="Arial"/>
      <w:b/>
      <w:kern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vsebina1">
    <w:name w:val="vsebina1"/>
    <w:rsid w:val="006869EA"/>
    <w:rPr>
      <w:rFonts w:ascii="Verdana" w:hAnsi="Verdana" w:hint="default"/>
      <w:color w:val="000085"/>
      <w:sz w:val="12"/>
      <w:szCs w:val="12"/>
    </w:rPr>
  </w:style>
  <w:style w:type="paragraph" w:styleId="Besedilooblaka">
    <w:name w:val="Balloon Text"/>
    <w:basedOn w:val="Navaden"/>
    <w:semiHidden/>
    <w:rsid w:val="00CF4C0C"/>
    <w:rPr>
      <w:rFonts w:ascii="Tahoma" w:hAnsi="Tahoma" w:cs="Tahoma"/>
      <w:sz w:val="16"/>
      <w:szCs w:val="16"/>
    </w:rPr>
  </w:style>
  <w:style w:type="character" w:customStyle="1" w:styleId="A8">
    <w:name w:val="A8"/>
    <w:rsid w:val="002A1319"/>
    <w:rPr>
      <w:rFonts w:cs="Arial"/>
      <w:b/>
      <w:bCs/>
      <w:color w:val="000000"/>
      <w:sz w:val="16"/>
      <w:szCs w:val="16"/>
    </w:rPr>
  </w:style>
  <w:style w:type="paragraph" w:styleId="Navadensplet">
    <w:name w:val="Normal (Web)"/>
    <w:basedOn w:val="Navaden"/>
    <w:rsid w:val="00333486"/>
    <w:pPr>
      <w:spacing w:before="100" w:beforeAutospacing="1" w:after="100" w:afterAutospacing="1" w:line="240" w:lineRule="auto"/>
    </w:pPr>
    <w:rPr>
      <w:rFonts w:ascii="Times New Roman" w:hAnsi="Times New Roman"/>
      <w:sz w:val="24"/>
      <w:lang w:eastAsia="sl-SI"/>
    </w:rPr>
  </w:style>
  <w:style w:type="paragraph" w:styleId="Telobesedila">
    <w:name w:val="Body Text"/>
    <w:basedOn w:val="Navaden"/>
    <w:rsid w:val="00DB7BED"/>
    <w:pPr>
      <w:suppressAutoHyphens/>
      <w:spacing w:after="120" w:line="240" w:lineRule="auto"/>
    </w:pPr>
    <w:rPr>
      <w:rFonts w:ascii="Times New Roman" w:hAnsi="Times New Roman"/>
      <w:sz w:val="24"/>
      <w:lang w:eastAsia="ar-SA"/>
    </w:rPr>
  </w:style>
  <w:style w:type="character" w:customStyle="1" w:styleId="highlight1">
    <w:name w:val="highlight1"/>
    <w:rsid w:val="00690440"/>
    <w:rPr>
      <w:color w:val="FF0000"/>
      <w:shd w:val="clear" w:color="auto" w:fill="FFFFFF"/>
    </w:rPr>
  </w:style>
  <w:style w:type="paragraph" w:customStyle="1" w:styleId="esegmenth4">
    <w:name w:val="esegment_h4"/>
    <w:basedOn w:val="Navaden"/>
    <w:rsid w:val="006E235A"/>
    <w:pPr>
      <w:spacing w:after="210" w:line="240" w:lineRule="auto"/>
      <w:jc w:val="center"/>
    </w:pPr>
    <w:rPr>
      <w:rFonts w:ascii="Times New Roman" w:hAnsi="Times New Roman"/>
      <w:b/>
      <w:bCs/>
      <w:color w:val="333333"/>
      <w:sz w:val="18"/>
      <w:szCs w:val="18"/>
      <w:lang w:eastAsia="sl-SI"/>
    </w:rPr>
  </w:style>
  <w:style w:type="paragraph" w:styleId="Naslov">
    <w:name w:val="Title"/>
    <w:basedOn w:val="Navaden"/>
    <w:next w:val="Navaden"/>
    <w:link w:val="NaslovZnak"/>
    <w:qFormat/>
    <w:rsid w:val="001F263A"/>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1F263A"/>
    <w:rPr>
      <w:rFonts w:asciiTheme="majorHAnsi" w:eastAsiaTheme="majorEastAsia" w:hAnsiTheme="majorHAnsi" w:cstheme="majorBidi"/>
      <w:spacing w:val="-10"/>
      <w:kern w:val="28"/>
      <w:sz w:val="56"/>
      <w:szCs w:val="56"/>
      <w:lang w:eastAsia="en-US"/>
    </w:rPr>
  </w:style>
  <w:style w:type="table" w:styleId="Tabelasvetlamrea2poudarek1">
    <w:name w:val="Grid Table 2 Accent 1"/>
    <w:basedOn w:val="Navadnatabela"/>
    <w:uiPriority w:val="47"/>
    <w:rsid w:val="001F263A"/>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995618">
      <w:bodyDiv w:val="1"/>
      <w:marLeft w:val="0"/>
      <w:marRight w:val="0"/>
      <w:marTop w:val="0"/>
      <w:marBottom w:val="0"/>
      <w:divBdr>
        <w:top w:val="none" w:sz="0" w:space="0" w:color="auto"/>
        <w:left w:val="none" w:sz="0" w:space="0" w:color="auto"/>
        <w:bottom w:val="none" w:sz="0" w:space="0" w:color="auto"/>
        <w:right w:val="none" w:sz="0" w:space="0" w:color="auto"/>
      </w:divBdr>
      <w:divsChild>
        <w:div w:id="1723287431">
          <w:marLeft w:val="0"/>
          <w:marRight w:val="0"/>
          <w:marTop w:val="0"/>
          <w:marBottom w:val="0"/>
          <w:divBdr>
            <w:top w:val="none" w:sz="0" w:space="0" w:color="auto"/>
            <w:left w:val="none" w:sz="0" w:space="0" w:color="auto"/>
            <w:bottom w:val="none" w:sz="0" w:space="0" w:color="auto"/>
            <w:right w:val="none" w:sz="0" w:space="0" w:color="auto"/>
          </w:divBdr>
        </w:div>
      </w:divsChild>
    </w:div>
    <w:div w:id="554899495">
      <w:bodyDiv w:val="1"/>
      <w:marLeft w:val="0"/>
      <w:marRight w:val="0"/>
      <w:marTop w:val="0"/>
      <w:marBottom w:val="0"/>
      <w:divBdr>
        <w:top w:val="none" w:sz="0" w:space="0" w:color="auto"/>
        <w:left w:val="none" w:sz="0" w:space="0" w:color="auto"/>
        <w:bottom w:val="none" w:sz="0" w:space="0" w:color="auto"/>
        <w:right w:val="none" w:sz="0" w:space="0" w:color="auto"/>
      </w:divBdr>
      <w:divsChild>
        <w:div w:id="1370451716">
          <w:marLeft w:val="0"/>
          <w:marRight w:val="0"/>
          <w:marTop w:val="0"/>
          <w:marBottom w:val="0"/>
          <w:divBdr>
            <w:top w:val="none" w:sz="0" w:space="0" w:color="auto"/>
            <w:left w:val="none" w:sz="0" w:space="0" w:color="auto"/>
            <w:bottom w:val="none" w:sz="0" w:space="0" w:color="auto"/>
            <w:right w:val="none" w:sz="0" w:space="0" w:color="auto"/>
          </w:divBdr>
          <w:divsChild>
            <w:div w:id="2120954055">
              <w:marLeft w:val="0"/>
              <w:marRight w:val="60"/>
              <w:marTop w:val="0"/>
              <w:marBottom w:val="0"/>
              <w:divBdr>
                <w:top w:val="none" w:sz="0" w:space="0" w:color="auto"/>
                <w:left w:val="none" w:sz="0" w:space="0" w:color="auto"/>
                <w:bottom w:val="none" w:sz="0" w:space="0" w:color="auto"/>
                <w:right w:val="none" w:sz="0" w:space="0" w:color="auto"/>
              </w:divBdr>
              <w:divsChild>
                <w:div w:id="2244028">
                  <w:marLeft w:val="0"/>
                  <w:marRight w:val="0"/>
                  <w:marTop w:val="0"/>
                  <w:marBottom w:val="150"/>
                  <w:divBdr>
                    <w:top w:val="none" w:sz="0" w:space="0" w:color="auto"/>
                    <w:left w:val="none" w:sz="0" w:space="0" w:color="auto"/>
                    <w:bottom w:val="none" w:sz="0" w:space="0" w:color="auto"/>
                    <w:right w:val="none" w:sz="0" w:space="0" w:color="auto"/>
                  </w:divBdr>
                  <w:divsChild>
                    <w:div w:id="1478301461">
                      <w:marLeft w:val="0"/>
                      <w:marRight w:val="0"/>
                      <w:marTop w:val="0"/>
                      <w:marBottom w:val="0"/>
                      <w:divBdr>
                        <w:top w:val="none" w:sz="0" w:space="0" w:color="auto"/>
                        <w:left w:val="none" w:sz="0" w:space="0" w:color="auto"/>
                        <w:bottom w:val="none" w:sz="0" w:space="0" w:color="auto"/>
                        <w:right w:val="none" w:sz="0" w:space="0" w:color="auto"/>
                      </w:divBdr>
                      <w:divsChild>
                        <w:div w:id="1869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836969">
      <w:bodyDiv w:val="1"/>
      <w:marLeft w:val="0"/>
      <w:marRight w:val="0"/>
      <w:marTop w:val="0"/>
      <w:marBottom w:val="0"/>
      <w:divBdr>
        <w:top w:val="none" w:sz="0" w:space="0" w:color="auto"/>
        <w:left w:val="none" w:sz="0" w:space="0" w:color="auto"/>
        <w:bottom w:val="none" w:sz="0" w:space="0" w:color="auto"/>
        <w:right w:val="none" w:sz="0" w:space="0" w:color="auto"/>
      </w:divBdr>
      <w:divsChild>
        <w:div w:id="1995837482">
          <w:marLeft w:val="0"/>
          <w:marRight w:val="0"/>
          <w:marTop w:val="0"/>
          <w:marBottom w:val="0"/>
          <w:divBdr>
            <w:top w:val="none" w:sz="0" w:space="0" w:color="auto"/>
            <w:left w:val="none" w:sz="0" w:space="0" w:color="auto"/>
            <w:bottom w:val="none" w:sz="0" w:space="0" w:color="auto"/>
            <w:right w:val="none" w:sz="0" w:space="0" w:color="auto"/>
          </w:divBdr>
          <w:divsChild>
            <w:div w:id="1924335386">
              <w:marLeft w:val="0"/>
              <w:marRight w:val="60"/>
              <w:marTop w:val="0"/>
              <w:marBottom w:val="0"/>
              <w:divBdr>
                <w:top w:val="none" w:sz="0" w:space="0" w:color="auto"/>
                <w:left w:val="none" w:sz="0" w:space="0" w:color="auto"/>
                <w:bottom w:val="none" w:sz="0" w:space="0" w:color="auto"/>
                <w:right w:val="none" w:sz="0" w:space="0" w:color="auto"/>
              </w:divBdr>
              <w:divsChild>
                <w:div w:id="258414500">
                  <w:marLeft w:val="0"/>
                  <w:marRight w:val="0"/>
                  <w:marTop w:val="0"/>
                  <w:marBottom w:val="150"/>
                  <w:divBdr>
                    <w:top w:val="none" w:sz="0" w:space="0" w:color="auto"/>
                    <w:left w:val="none" w:sz="0" w:space="0" w:color="auto"/>
                    <w:bottom w:val="none" w:sz="0" w:space="0" w:color="auto"/>
                    <w:right w:val="none" w:sz="0" w:space="0" w:color="auto"/>
                  </w:divBdr>
                  <w:divsChild>
                    <w:div w:id="510264991">
                      <w:marLeft w:val="0"/>
                      <w:marRight w:val="0"/>
                      <w:marTop w:val="0"/>
                      <w:marBottom w:val="0"/>
                      <w:divBdr>
                        <w:top w:val="none" w:sz="0" w:space="0" w:color="auto"/>
                        <w:left w:val="none" w:sz="0" w:space="0" w:color="auto"/>
                        <w:bottom w:val="none" w:sz="0" w:space="0" w:color="auto"/>
                        <w:right w:val="none" w:sz="0" w:space="0" w:color="auto"/>
                      </w:divBdr>
                      <w:divsChild>
                        <w:div w:id="297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491703">
      <w:bodyDiv w:val="1"/>
      <w:marLeft w:val="0"/>
      <w:marRight w:val="0"/>
      <w:marTop w:val="0"/>
      <w:marBottom w:val="0"/>
      <w:divBdr>
        <w:top w:val="none" w:sz="0" w:space="0" w:color="auto"/>
        <w:left w:val="none" w:sz="0" w:space="0" w:color="auto"/>
        <w:bottom w:val="none" w:sz="0" w:space="0" w:color="auto"/>
        <w:right w:val="none" w:sz="0" w:space="0" w:color="auto"/>
      </w:divBdr>
      <w:divsChild>
        <w:div w:id="1737781130">
          <w:marLeft w:val="0"/>
          <w:marRight w:val="0"/>
          <w:marTop w:val="0"/>
          <w:marBottom w:val="0"/>
          <w:divBdr>
            <w:top w:val="none" w:sz="0" w:space="0" w:color="auto"/>
            <w:left w:val="none" w:sz="0" w:space="0" w:color="auto"/>
            <w:bottom w:val="none" w:sz="0" w:space="0" w:color="auto"/>
            <w:right w:val="none" w:sz="0" w:space="0" w:color="auto"/>
          </w:divBdr>
        </w:div>
      </w:divsChild>
    </w:div>
    <w:div w:id="870412744">
      <w:bodyDiv w:val="1"/>
      <w:marLeft w:val="0"/>
      <w:marRight w:val="0"/>
      <w:marTop w:val="0"/>
      <w:marBottom w:val="0"/>
      <w:divBdr>
        <w:top w:val="none" w:sz="0" w:space="0" w:color="auto"/>
        <w:left w:val="none" w:sz="0" w:space="0" w:color="auto"/>
        <w:bottom w:val="none" w:sz="0" w:space="0" w:color="auto"/>
        <w:right w:val="none" w:sz="0" w:space="0" w:color="auto"/>
      </w:divBdr>
      <w:divsChild>
        <w:div w:id="646127736">
          <w:marLeft w:val="0"/>
          <w:marRight w:val="0"/>
          <w:marTop w:val="0"/>
          <w:marBottom w:val="0"/>
          <w:divBdr>
            <w:top w:val="none" w:sz="0" w:space="0" w:color="auto"/>
            <w:left w:val="none" w:sz="0" w:space="0" w:color="auto"/>
            <w:bottom w:val="none" w:sz="0" w:space="0" w:color="auto"/>
            <w:right w:val="none" w:sz="0" w:space="0" w:color="auto"/>
          </w:divBdr>
          <w:divsChild>
            <w:div w:id="254215169">
              <w:marLeft w:val="0"/>
              <w:marRight w:val="60"/>
              <w:marTop w:val="0"/>
              <w:marBottom w:val="0"/>
              <w:divBdr>
                <w:top w:val="none" w:sz="0" w:space="0" w:color="auto"/>
                <w:left w:val="none" w:sz="0" w:space="0" w:color="auto"/>
                <w:bottom w:val="none" w:sz="0" w:space="0" w:color="auto"/>
                <w:right w:val="none" w:sz="0" w:space="0" w:color="auto"/>
              </w:divBdr>
              <w:divsChild>
                <w:div w:id="612176307">
                  <w:marLeft w:val="0"/>
                  <w:marRight w:val="0"/>
                  <w:marTop w:val="0"/>
                  <w:marBottom w:val="150"/>
                  <w:divBdr>
                    <w:top w:val="none" w:sz="0" w:space="0" w:color="auto"/>
                    <w:left w:val="none" w:sz="0" w:space="0" w:color="auto"/>
                    <w:bottom w:val="none" w:sz="0" w:space="0" w:color="auto"/>
                    <w:right w:val="none" w:sz="0" w:space="0" w:color="auto"/>
                  </w:divBdr>
                  <w:divsChild>
                    <w:div w:id="1105153210">
                      <w:marLeft w:val="0"/>
                      <w:marRight w:val="0"/>
                      <w:marTop w:val="0"/>
                      <w:marBottom w:val="0"/>
                      <w:divBdr>
                        <w:top w:val="none" w:sz="0" w:space="0" w:color="auto"/>
                        <w:left w:val="none" w:sz="0" w:space="0" w:color="auto"/>
                        <w:bottom w:val="none" w:sz="0" w:space="0" w:color="auto"/>
                        <w:right w:val="none" w:sz="0" w:space="0" w:color="auto"/>
                      </w:divBdr>
                      <w:divsChild>
                        <w:div w:id="11549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937002">
      <w:bodyDiv w:val="1"/>
      <w:marLeft w:val="0"/>
      <w:marRight w:val="0"/>
      <w:marTop w:val="0"/>
      <w:marBottom w:val="0"/>
      <w:divBdr>
        <w:top w:val="none" w:sz="0" w:space="0" w:color="auto"/>
        <w:left w:val="none" w:sz="0" w:space="0" w:color="auto"/>
        <w:bottom w:val="none" w:sz="0" w:space="0" w:color="auto"/>
        <w:right w:val="none" w:sz="0" w:space="0" w:color="auto"/>
      </w:divBdr>
    </w:div>
    <w:div w:id="145505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10804</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Številka: </vt:lpstr>
    </vt:vector>
  </TitlesOfParts>
  <Company>MJU</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Polona Srebotnjak Verbinc</dc:creator>
  <cp:keywords/>
  <cp:lastModifiedBy>Mojca Kustec</cp:lastModifiedBy>
  <cp:revision>3</cp:revision>
  <cp:lastPrinted>2012-06-14T14:26:00Z</cp:lastPrinted>
  <dcterms:created xsi:type="dcterms:W3CDTF">2020-09-15T08:59:00Z</dcterms:created>
  <dcterms:modified xsi:type="dcterms:W3CDTF">2020-09-15T08:59:00Z</dcterms:modified>
</cp:coreProperties>
</file>