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A72" w:rsidRDefault="00326A72" w:rsidP="00DC6A71">
      <w:pPr>
        <w:pStyle w:val="datumtevilka"/>
      </w:pPr>
    </w:p>
    <w:p w:rsidR="001867CE" w:rsidRDefault="001867CE" w:rsidP="00DC6A71">
      <w:pPr>
        <w:pStyle w:val="datumtevilka"/>
      </w:pPr>
    </w:p>
    <w:p w:rsidR="001867CE" w:rsidRDefault="001867CE" w:rsidP="00DC6A71">
      <w:pPr>
        <w:pStyle w:val="datumtevilka"/>
      </w:pPr>
    </w:p>
    <w:p w:rsidR="001867CE" w:rsidRDefault="001867CE" w:rsidP="00DC6A71">
      <w:pPr>
        <w:pStyle w:val="datumtevilka"/>
      </w:pPr>
    </w:p>
    <w:p w:rsidR="001867CE" w:rsidRDefault="001867CE" w:rsidP="00DC6A71">
      <w:pPr>
        <w:pStyle w:val="datumtevilka"/>
      </w:pPr>
    </w:p>
    <w:p w:rsidR="007D75CF" w:rsidRPr="00BA2FA5" w:rsidRDefault="007D75CF" w:rsidP="00DC6A71">
      <w:pPr>
        <w:pStyle w:val="datumtevilka"/>
      </w:pPr>
      <w:r w:rsidRPr="00BA2FA5">
        <w:t xml:space="preserve">Številka: </w:t>
      </w:r>
      <w:r w:rsidRPr="00BA2FA5">
        <w:tab/>
      </w:r>
      <w:r w:rsidR="00A5787C">
        <w:t>0100-13</w:t>
      </w:r>
      <w:r w:rsidR="00EB655C">
        <w:t>8/2019/2</w:t>
      </w:r>
    </w:p>
    <w:p w:rsidR="007D75CF" w:rsidRPr="00BA2FA5" w:rsidRDefault="00C250D5" w:rsidP="00DC6A71">
      <w:pPr>
        <w:pStyle w:val="datumtevilka"/>
      </w:pPr>
      <w:r w:rsidRPr="00BA2FA5">
        <w:t xml:space="preserve">Datum: </w:t>
      </w:r>
      <w:r w:rsidRPr="00BA2FA5">
        <w:tab/>
      </w:r>
      <w:r w:rsidR="0078500F">
        <w:t>6</w:t>
      </w:r>
      <w:r w:rsidR="0027624B">
        <w:t>.</w:t>
      </w:r>
      <w:r w:rsidR="0023005D">
        <w:t xml:space="preserve"> 2</w:t>
      </w:r>
      <w:r w:rsidR="00CF742D" w:rsidRPr="00BA2FA5">
        <w:t>. 2019</w:t>
      </w:r>
      <w:r w:rsidR="007D75CF" w:rsidRPr="00BA2FA5">
        <w:t xml:space="preserve"> </w:t>
      </w:r>
    </w:p>
    <w:p w:rsidR="00453F2E" w:rsidRDefault="00453F2E" w:rsidP="007D75CF">
      <w:pPr>
        <w:rPr>
          <w:szCs w:val="20"/>
          <w:lang w:val="sl-SI"/>
        </w:rPr>
      </w:pPr>
    </w:p>
    <w:p w:rsidR="00326A72" w:rsidRPr="00BA2FA5" w:rsidRDefault="00326A72" w:rsidP="007D75CF">
      <w:pPr>
        <w:rPr>
          <w:szCs w:val="20"/>
          <w:lang w:val="sl-SI"/>
        </w:rPr>
      </w:pPr>
    </w:p>
    <w:p w:rsidR="007D75CF" w:rsidRPr="00BA2FA5" w:rsidRDefault="007D75CF" w:rsidP="00A0137F">
      <w:pPr>
        <w:pStyle w:val="ZADEVA"/>
        <w:jc w:val="both"/>
        <w:rPr>
          <w:szCs w:val="20"/>
          <w:lang w:val="sl-SI"/>
        </w:rPr>
      </w:pPr>
      <w:r w:rsidRPr="00BA2FA5">
        <w:rPr>
          <w:szCs w:val="20"/>
          <w:lang w:val="sl-SI"/>
        </w:rPr>
        <w:t xml:space="preserve">Zadeva: </w:t>
      </w:r>
      <w:r w:rsidRPr="00BA2FA5">
        <w:rPr>
          <w:szCs w:val="20"/>
          <w:lang w:val="sl-SI"/>
        </w:rPr>
        <w:tab/>
      </w:r>
      <w:r w:rsidR="00A5787C">
        <w:rPr>
          <w:szCs w:val="20"/>
          <w:lang w:val="sl-SI"/>
        </w:rPr>
        <w:t xml:space="preserve">Vprašanje glede uvrščanja delovnih mest v plačne razrede pri </w:t>
      </w:r>
      <w:r w:rsidR="0023005D">
        <w:rPr>
          <w:szCs w:val="20"/>
          <w:lang w:val="sl-SI"/>
        </w:rPr>
        <w:t xml:space="preserve">drugih </w:t>
      </w:r>
      <w:r w:rsidR="00A5787C">
        <w:rPr>
          <w:szCs w:val="20"/>
          <w:lang w:val="sl-SI"/>
        </w:rPr>
        <w:t xml:space="preserve">državnih organih </w:t>
      </w:r>
      <w:r w:rsidR="00DA5235">
        <w:rPr>
          <w:szCs w:val="20"/>
          <w:lang w:val="sl-SI"/>
        </w:rPr>
        <w:t>–</w:t>
      </w:r>
      <w:r w:rsidR="00CF742D" w:rsidRPr="00BA2FA5">
        <w:rPr>
          <w:szCs w:val="20"/>
          <w:lang w:val="sl-SI"/>
        </w:rPr>
        <w:t xml:space="preserve"> odgovor</w:t>
      </w:r>
    </w:p>
    <w:p w:rsidR="00A0137F" w:rsidRPr="00BA2FA5" w:rsidRDefault="00A0137F" w:rsidP="007D75CF">
      <w:pPr>
        <w:rPr>
          <w:szCs w:val="20"/>
          <w:lang w:val="sl-SI"/>
        </w:rPr>
      </w:pPr>
    </w:p>
    <w:p w:rsidR="005D1041" w:rsidRPr="0022388B" w:rsidRDefault="005D1041" w:rsidP="00EC3F41">
      <w:pPr>
        <w:jc w:val="both"/>
        <w:rPr>
          <w:szCs w:val="20"/>
          <w:lang w:val="sl-SI"/>
        </w:rPr>
      </w:pPr>
      <w:r w:rsidRPr="0022388B">
        <w:rPr>
          <w:szCs w:val="20"/>
          <w:lang w:val="sl-SI"/>
        </w:rPr>
        <w:t>Prejeli smo vaše zaprosilo, v katerem navajate, da ste prejeli v vedn</w:t>
      </w:r>
      <w:r w:rsidR="0023005D">
        <w:rPr>
          <w:szCs w:val="20"/>
          <w:lang w:val="sl-SI"/>
        </w:rPr>
        <w:t>ost nov Akt o uvrstitvi delovnih</w:t>
      </w:r>
      <w:r w:rsidRPr="0022388B">
        <w:rPr>
          <w:szCs w:val="20"/>
          <w:lang w:val="sl-SI"/>
        </w:rPr>
        <w:t xml:space="preserve"> mest v plačne razrede in spremembo Akta o notranji organizaciji in sistemizaciji delovnih mest.</w:t>
      </w:r>
      <w:r w:rsidR="00A5787C" w:rsidRPr="0022388B">
        <w:rPr>
          <w:szCs w:val="20"/>
          <w:lang w:val="sl-SI"/>
        </w:rPr>
        <w:t xml:space="preserve"> Zanima v</w:t>
      </w:r>
      <w:r w:rsidRPr="0022388B">
        <w:rPr>
          <w:szCs w:val="20"/>
          <w:lang w:val="sl-SI"/>
        </w:rPr>
        <w:t>a</w:t>
      </w:r>
      <w:r w:rsidR="00A5787C" w:rsidRPr="0022388B">
        <w:rPr>
          <w:szCs w:val="20"/>
          <w:lang w:val="sl-SI"/>
        </w:rPr>
        <w:t>s</w:t>
      </w:r>
      <w:r w:rsidRPr="0022388B">
        <w:rPr>
          <w:szCs w:val="20"/>
          <w:lang w:val="sl-SI"/>
        </w:rPr>
        <w:t>, ali je v državnem organu, ki spada med neodvisne državne organe, pri uradniškem delovnem mestu, ki je uvrščeno v plačno skupino C in se opravlja le v enem nazivu, sekr</w:t>
      </w:r>
      <w:r w:rsidR="003F264A" w:rsidRPr="0022388B">
        <w:rPr>
          <w:szCs w:val="20"/>
          <w:lang w:val="sl-SI"/>
        </w:rPr>
        <w:t>etar, dovoljeno določiti število napredovanj</w:t>
      </w:r>
      <w:r w:rsidRPr="0022388B">
        <w:rPr>
          <w:szCs w:val="20"/>
          <w:lang w:val="sl-SI"/>
        </w:rPr>
        <w:t xml:space="preserve"> manj kot 10? Ali se z aktom o uvrstitvi delovnih mest lahko določi, da je izhodiščni plačni razred 45</w:t>
      </w:r>
      <w:r w:rsidR="005A45BA" w:rsidRPr="0022388B">
        <w:rPr>
          <w:szCs w:val="20"/>
          <w:lang w:val="sl-SI"/>
        </w:rPr>
        <w:t>.</w:t>
      </w:r>
      <w:r w:rsidRPr="0022388B">
        <w:rPr>
          <w:szCs w:val="20"/>
          <w:lang w:val="sl-SI"/>
        </w:rPr>
        <w:t>, plačni razred z na</w:t>
      </w:r>
      <w:r w:rsidR="00A5787C" w:rsidRPr="0022388B">
        <w:rPr>
          <w:szCs w:val="20"/>
          <w:lang w:val="sl-SI"/>
        </w:rPr>
        <w:t>predovanjem pa 52</w:t>
      </w:r>
      <w:r w:rsidR="005A45BA" w:rsidRPr="0022388B">
        <w:rPr>
          <w:szCs w:val="20"/>
          <w:lang w:val="sl-SI"/>
        </w:rPr>
        <w:t>.</w:t>
      </w:r>
      <w:r w:rsidR="00A5787C" w:rsidRPr="0022388B">
        <w:rPr>
          <w:szCs w:val="20"/>
          <w:lang w:val="sl-SI"/>
        </w:rPr>
        <w:t xml:space="preserve"> (namesto 55</w:t>
      </w:r>
      <w:r w:rsidR="00C063D8" w:rsidRPr="0022388B">
        <w:rPr>
          <w:szCs w:val="20"/>
          <w:lang w:val="sl-SI"/>
        </w:rPr>
        <w:t>.</w:t>
      </w:r>
      <w:r w:rsidR="00A5787C" w:rsidRPr="0022388B">
        <w:rPr>
          <w:szCs w:val="20"/>
          <w:lang w:val="sl-SI"/>
        </w:rPr>
        <w:t xml:space="preserve">)? </w:t>
      </w:r>
      <w:r w:rsidR="00C063D8" w:rsidRPr="0022388B">
        <w:rPr>
          <w:szCs w:val="20"/>
          <w:lang w:val="sl-SI"/>
        </w:rPr>
        <w:t>Zanima vas tudi, a</w:t>
      </w:r>
      <w:r w:rsidRPr="0022388B">
        <w:rPr>
          <w:szCs w:val="20"/>
          <w:lang w:val="sl-SI"/>
        </w:rPr>
        <w:t>li je dovoljeno, da se z istim aktom o uvrstitvi delovnega mesta predstojnika določi, da ima določeno delovno mest</w:t>
      </w:r>
      <w:r w:rsidR="0023005D">
        <w:rPr>
          <w:szCs w:val="20"/>
          <w:lang w:val="sl-SI"/>
        </w:rPr>
        <w:t>o</w:t>
      </w:r>
      <w:r w:rsidRPr="0022388B">
        <w:rPr>
          <w:szCs w:val="20"/>
          <w:lang w:val="sl-SI"/>
        </w:rPr>
        <w:t>, ki je uvrščeno v plačno skupino C in gre za uradniško delovno mesto, »fiksni«</w:t>
      </w:r>
      <w:r w:rsidR="00A5787C" w:rsidRPr="0022388B">
        <w:rPr>
          <w:szCs w:val="20"/>
          <w:lang w:val="sl-SI"/>
        </w:rPr>
        <w:t xml:space="preserve"> plačni razred (torej le en </w:t>
      </w:r>
      <w:r w:rsidRPr="0022388B">
        <w:rPr>
          <w:szCs w:val="20"/>
          <w:lang w:val="sl-SI"/>
        </w:rPr>
        <w:t>plačni razr</w:t>
      </w:r>
      <w:r w:rsidR="0023005D">
        <w:rPr>
          <w:szCs w:val="20"/>
          <w:lang w:val="sl-SI"/>
        </w:rPr>
        <w:t>ed</w:t>
      </w:r>
      <w:r w:rsidR="00A5787C" w:rsidRPr="0022388B">
        <w:rPr>
          <w:szCs w:val="20"/>
          <w:lang w:val="sl-SI"/>
        </w:rPr>
        <w:t xml:space="preserve"> brez možnosti napredovanja), zadeva se vam zdi sporna z vidika drugega odstavka 16. člena ZSPJ</w:t>
      </w:r>
      <w:r w:rsidR="0023005D">
        <w:rPr>
          <w:szCs w:val="20"/>
          <w:lang w:val="sl-SI"/>
        </w:rPr>
        <w:t>S.</w:t>
      </w:r>
    </w:p>
    <w:p w:rsidR="005D1041" w:rsidRPr="0022388B" w:rsidRDefault="005D1041" w:rsidP="00EC3F41">
      <w:pPr>
        <w:jc w:val="both"/>
        <w:rPr>
          <w:szCs w:val="20"/>
          <w:lang w:val="sl-SI"/>
        </w:rPr>
      </w:pPr>
    </w:p>
    <w:p w:rsidR="00256ECE" w:rsidRPr="0022388B" w:rsidRDefault="00256ECE" w:rsidP="00EC3F41">
      <w:pPr>
        <w:jc w:val="both"/>
        <w:rPr>
          <w:szCs w:val="20"/>
          <w:lang w:val="sl-SI"/>
        </w:rPr>
      </w:pPr>
      <w:r w:rsidRPr="0022388B">
        <w:rPr>
          <w:rFonts w:cs="Arial"/>
          <w:szCs w:val="20"/>
          <w:lang w:val="sl-SI" w:eastAsia="sl-SI"/>
        </w:rPr>
        <w:t>Uvodoma pojasnjujemo, da lahko Ministrstvo za javno upravo v okviru svojih pristojnosti posreduje le pojasnila glede izvajanja predpisov, ni pa pristojno za razlago določb zakonov ali kolektivnih pogodb. Ob tem poudarjamo, da so navedena pojasnila lahko v pomoč strokovni službi in delodajalcu, ki odloča o pravicah javnih uslužbencev na podlagi zakona, podzakonskega akta ali kolektivne pogodbe, še vedno pa je odločanje v konkretnem primeru v pristojnosti delodajalca.</w:t>
      </w:r>
    </w:p>
    <w:p w:rsidR="00C663B3" w:rsidRPr="0022388B" w:rsidRDefault="00C663B3" w:rsidP="00EC3F41">
      <w:pPr>
        <w:jc w:val="both"/>
        <w:rPr>
          <w:lang w:val="sl-SI"/>
        </w:rPr>
      </w:pPr>
    </w:p>
    <w:p w:rsidR="009F2082" w:rsidRPr="0022388B" w:rsidRDefault="00CB7CCF" w:rsidP="00EC3F41">
      <w:pPr>
        <w:jc w:val="both"/>
        <w:rPr>
          <w:lang w:val="sl-SI"/>
        </w:rPr>
      </w:pPr>
      <w:r w:rsidRPr="0022388B">
        <w:rPr>
          <w:lang w:val="sl-SI"/>
        </w:rPr>
        <w:t xml:space="preserve">Drugi državni organi kot jih določa Zakon o javnih uslužbencih (Uradni list RS, št. 108/09 – uradno prečiščeno besedilo, 13/10, 59/10, 85/10, 107/10, 35/11 – ORZSPJS49a, 27/12 – </w:t>
      </w:r>
      <w:proofErr w:type="spellStart"/>
      <w:r w:rsidRPr="0022388B">
        <w:rPr>
          <w:lang w:val="sl-SI"/>
        </w:rPr>
        <w:t>odl</w:t>
      </w:r>
      <w:proofErr w:type="spellEnd"/>
      <w:r w:rsidRPr="0022388B">
        <w:rPr>
          <w:lang w:val="sl-SI"/>
        </w:rPr>
        <w:t xml:space="preserve">. US, </w:t>
      </w:r>
      <w:r w:rsidR="00365DF9">
        <w:fldChar w:fldCharType="begin"/>
      </w:r>
      <w:r w:rsidR="00365DF9" w:rsidRPr="00365DF9">
        <w:rPr>
          <w:lang w:val="sl-SI"/>
        </w:rPr>
        <w:instrText xml:space="preserve"> HYPERLINK "http</w:instrText>
      </w:r>
      <w:r w:rsidR="00365DF9" w:rsidRPr="00365DF9">
        <w:rPr>
          <w:lang w:val="sl-SI"/>
        </w:rPr>
        <w:instrText xml:space="preserve">://www.uradni-list.si/1/objava.jsp?sop=2012-01-1700" \t "_blank" \o "Zakon za uravnoteženje javnih financ" </w:instrText>
      </w:r>
      <w:r w:rsidR="00365DF9">
        <w:fldChar w:fldCharType="separate"/>
      </w:r>
      <w:r w:rsidRPr="0022388B">
        <w:rPr>
          <w:lang w:val="sl-SI"/>
        </w:rPr>
        <w:t>40/12</w:t>
      </w:r>
      <w:r w:rsidR="00365DF9">
        <w:rPr>
          <w:lang w:val="sl-SI"/>
        </w:rPr>
        <w:fldChar w:fldCharType="end"/>
      </w:r>
      <w:r w:rsidRPr="0022388B">
        <w:rPr>
          <w:lang w:val="sl-SI"/>
        </w:rPr>
        <w:t xml:space="preserve"> – ZUJF, 46/13, 25/14 – ZFU, 50/14, 95/14 – ZUPPJS15, 82/15, 23/17 – </w:t>
      </w:r>
      <w:proofErr w:type="spellStart"/>
      <w:r w:rsidRPr="0022388B">
        <w:rPr>
          <w:lang w:val="sl-SI"/>
        </w:rPr>
        <w:t>ZDOdv</w:t>
      </w:r>
      <w:proofErr w:type="spellEnd"/>
      <w:r w:rsidRPr="0022388B">
        <w:rPr>
          <w:lang w:val="sl-SI"/>
        </w:rPr>
        <w:t>, 67/17 in 84/18) uvrščajo delovna mesta oziroma</w:t>
      </w:r>
      <w:r w:rsidR="00FE372C" w:rsidRPr="0022388B">
        <w:rPr>
          <w:lang w:val="sl-SI"/>
        </w:rPr>
        <w:t xml:space="preserve"> nazive</w:t>
      </w:r>
      <w:r w:rsidRPr="0022388B">
        <w:rPr>
          <w:lang w:val="sl-SI"/>
        </w:rPr>
        <w:t xml:space="preserve"> v plačni podskupini C1 (razen v državnem tožilstvu) v skladu s tretjim odstavkom 13. člena </w:t>
      </w:r>
      <w:r w:rsidR="00A5787C" w:rsidRPr="0022388B">
        <w:rPr>
          <w:lang w:val="sl-SI"/>
        </w:rPr>
        <w:t>Zakon</w:t>
      </w:r>
      <w:r w:rsidR="0023005D">
        <w:rPr>
          <w:lang w:val="sl-SI"/>
        </w:rPr>
        <w:t>a</w:t>
      </w:r>
      <w:r w:rsidR="00A5787C" w:rsidRPr="0022388B">
        <w:rPr>
          <w:lang w:val="sl-SI"/>
        </w:rPr>
        <w:t xml:space="preserve"> o sistemu plač v javnem sektorju (Uradni list RS, št. 108/09 – uradno prečiščeno besedilo, 13/10, 59/10, 85/10, 107/10, 35/11 – ORZSPJS49a, 27/12 – </w:t>
      </w:r>
      <w:proofErr w:type="spellStart"/>
      <w:r w:rsidR="00A5787C" w:rsidRPr="0022388B">
        <w:rPr>
          <w:lang w:val="sl-SI"/>
        </w:rPr>
        <w:t>odl</w:t>
      </w:r>
      <w:proofErr w:type="spellEnd"/>
      <w:r w:rsidR="00A5787C" w:rsidRPr="0022388B">
        <w:rPr>
          <w:lang w:val="sl-SI"/>
        </w:rPr>
        <w:t xml:space="preserve">. US, 40/12 – ZUJF, 46/13, 25/14 – ZFU, 50/14, 95/14 – ZUPPJS15, 82/15, 23/17 – </w:t>
      </w:r>
      <w:proofErr w:type="spellStart"/>
      <w:r w:rsidR="00A5787C" w:rsidRPr="0022388B">
        <w:rPr>
          <w:lang w:val="sl-SI"/>
        </w:rPr>
        <w:t>ZDOdv</w:t>
      </w:r>
      <w:proofErr w:type="spellEnd"/>
      <w:r w:rsidR="00A5787C" w:rsidRPr="0022388B">
        <w:rPr>
          <w:lang w:val="sl-SI"/>
        </w:rPr>
        <w:t>, 67/17 in 84/18, v nadaljevanju: ZSPJS)</w:t>
      </w:r>
      <w:r w:rsidR="005D1041" w:rsidRPr="0022388B">
        <w:rPr>
          <w:rFonts w:cs="Arial"/>
          <w:szCs w:val="20"/>
          <w:lang w:val="sl-SI" w:eastAsia="sl-SI"/>
        </w:rPr>
        <w:t xml:space="preserve"> v plačne r</w:t>
      </w:r>
      <w:r w:rsidR="00FE372C" w:rsidRPr="0022388B">
        <w:rPr>
          <w:rFonts w:cs="Arial"/>
          <w:szCs w:val="20"/>
          <w:lang w:val="sl-SI" w:eastAsia="sl-SI"/>
        </w:rPr>
        <w:t>azrede z aktom državnega organa (</w:t>
      </w:r>
      <w:r w:rsidR="005D1041" w:rsidRPr="0022388B">
        <w:rPr>
          <w:rFonts w:cs="Arial"/>
          <w:szCs w:val="20"/>
          <w:lang w:val="sl-SI" w:eastAsia="sl-SI"/>
        </w:rPr>
        <w:t xml:space="preserve">upoštevaje uvrstitev primerljivih delovnih mest in nazivov plačne skupine C v </w:t>
      </w:r>
      <w:bookmarkStart w:id="0" w:name="_Hlk173032"/>
      <w:r w:rsidR="005D1041" w:rsidRPr="0022388B">
        <w:rPr>
          <w:rFonts w:cs="Arial"/>
          <w:szCs w:val="20"/>
          <w:lang w:val="sl-SI" w:eastAsia="sl-SI"/>
        </w:rPr>
        <w:t>kolektivni pogodbi dejavnosti</w:t>
      </w:r>
      <w:bookmarkEnd w:id="0"/>
      <w:r w:rsidR="00FE372C" w:rsidRPr="0022388B">
        <w:rPr>
          <w:rFonts w:cs="Arial"/>
          <w:szCs w:val="20"/>
          <w:lang w:val="sl-SI" w:eastAsia="sl-SI"/>
        </w:rPr>
        <w:t>)</w:t>
      </w:r>
      <w:r w:rsidRPr="0022388B">
        <w:rPr>
          <w:rFonts w:cs="Arial"/>
          <w:szCs w:val="20"/>
          <w:lang w:val="sl-SI" w:eastAsia="sl-SI"/>
        </w:rPr>
        <w:t xml:space="preserve"> in ne s kolektivno pogodbo dejavnosti.</w:t>
      </w:r>
    </w:p>
    <w:p w:rsidR="00CB7CCF" w:rsidRPr="0022388B" w:rsidRDefault="00CB7CCF" w:rsidP="00EC3F41">
      <w:pPr>
        <w:jc w:val="both"/>
        <w:rPr>
          <w:rFonts w:cs="Arial"/>
          <w:szCs w:val="20"/>
          <w:lang w:val="sl-SI" w:eastAsia="sl-SI"/>
        </w:rPr>
      </w:pPr>
    </w:p>
    <w:p w:rsidR="0091055E" w:rsidRPr="0022388B" w:rsidRDefault="009D5DE5" w:rsidP="007A4A0D">
      <w:pPr>
        <w:jc w:val="both"/>
        <w:rPr>
          <w:lang w:val="sl-SI"/>
        </w:rPr>
      </w:pPr>
      <w:r w:rsidRPr="0022388B">
        <w:rPr>
          <w:rFonts w:cs="Arial"/>
          <w:szCs w:val="20"/>
          <w:lang w:val="sl-SI" w:eastAsia="sl-SI"/>
        </w:rPr>
        <w:t>Menimo, da tudi z</w:t>
      </w:r>
      <w:r w:rsidR="00B524CD" w:rsidRPr="0022388B">
        <w:rPr>
          <w:rFonts w:cs="Arial"/>
          <w:szCs w:val="20"/>
          <w:lang w:val="sl-SI" w:eastAsia="sl-SI"/>
        </w:rPr>
        <w:t>a d</w:t>
      </w:r>
      <w:r w:rsidR="00FE372C" w:rsidRPr="0022388B">
        <w:rPr>
          <w:rFonts w:cs="Arial"/>
          <w:szCs w:val="20"/>
          <w:lang w:val="sl-SI" w:eastAsia="sl-SI"/>
        </w:rPr>
        <w:t>ruge državne organe velja, da je treba pri določanju razpona možnih napredovanj upoštevati 16. člen ZSPJS, ki v drugem odstavku določa</w:t>
      </w:r>
      <w:r w:rsidR="009F2082" w:rsidRPr="0022388B">
        <w:rPr>
          <w:rFonts w:cs="Arial"/>
          <w:szCs w:val="20"/>
          <w:lang w:val="sl-SI" w:eastAsia="sl-SI"/>
        </w:rPr>
        <w:t xml:space="preserve">, da </w:t>
      </w:r>
      <w:bookmarkStart w:id="1" w:name="_Hlk174950"/>
      <w:r w:rsidR="009F2082" w:rsidRPr="0022388B">
        <w:rPr>
          <w:rFonts w:cs="Arial"/>
          <w:szCs w:val="20"/>
          <w:lang w:val="sl-SI" w:eastAsia="sl-SI"/>
        </w:rPr>
        <w:t xml:space="preserve">lahko </w:t>
      </w:r>
      <w:r w:rsidR="009F2082" w:rsidRPr="0022388B">
        <w:rPr>
          <w:lang w:val="sl-SI"/>
        </w:rPr>
        <w:t xml:space="preserve">javni uslužbenci na delovnih mestih, kjer je mogoče tudi napredovanje v višji naziv, v posameznem nazivu napredujejo največ za pet plačnih razredov, javni uslužbenci, kjer ni mogoče napredovati v naziv, </w:t>
      </w:r>
      <w:r w:rsidR="00C063D8" w:rsidRPr="0022388B">
        <w:rPr>
          <w:lang w:val="sl-SI"/>
        </w:rPr>
        <w:t xml:space="preserve">pa </w:t>
      </w:r>
      <w:r w:rsidR="009F2082" w:rsidRPr="0022388B">
        <w:rPr>
          <w:lang w:val="sl-SI"/>
        </w:rPr>
        <w:t xml:space="preserve">lahko na delovnem mestu napredujejo največ za deset plačnih razredov. Če z napredovanjem na delovnih mestih, kjer je mogoče napredovanje v naziv, skupaj v vseh nazivih ni mogoče </w:t>
      </w:r>
      <w:r w:rsidR="009F2082" w:rsidRPr="0022388B">
        <w:rPr>
          <w:lang w:val="sl-SI"/>
        </w:rPr>
        <w:lastRenderedPageBreak/>
        <w:t>napredovanje za deset plačnih razredov, je v najvišjem nazivu mogoče napredovati za toliko plačnih razredov, da je doseženo napredovanje v nazivih skupno za deset plačnih razredov.</w:t>
      </w:r>
      <w:r w:rsidR="00B524CD" w:rsidRPr="0022388B">
        <w:rPr>
          <w:lang w:val="sl-SI"/>
        </w:rPr>
        <w:t xml:space="preserve"> </w:t>
      </w:r>
      <w:bookmarkEnd w:id="1"/>
    </w:p>
    <w:p w:rsidR="0091055E" w:rsidRPr="0022388B" w:rsidRDefault="0091055E" w:rsidP="007A4A0D">
      <w:pPr>
        <w:jc w:val="both"/>
        <w:rPr>
          <w:lang w:val="sl-SI"/>
        </w:rPr>
      </w:pPr>
    </w:p>
    <w:p w:rsidR="00D855CE" w:rsidRDefault="00FE372C" w:rsidP="007A4A0D">
      <w:pPr>
        <w:jc w:val="both"/>
        <w:rPr>
          <w:rFonts w:cs="Arial"/>
          <w:szCs w:val="20"/>
          <w:lang w:val="sl-SI"/>
        </w:rPr>
      </w:pPr>
      <w:r w:rsidRPr="0022388B">
        <w:rPr>
          <w:rFonts w:cs="Arial"/>
          <w:szCs w:val="20"/>
          <w:lang w:val="sl-SI"/>
        </w:rPr>
        <w:t xml:space="preserve">Glede na navedeno menimo, da ni možno sistemizirati </w:t>
      </w:r>
      <w:r w:rsidR="00B524CD" w:rsidRPr="0022388B">
        <w:rPr>
          <w:rFonts w:cs="Arial"/>
          <w:szCs w:val="20"/>
          <w:lang w:val="sl-SI"/>
        </w:rPr>
        <w:t>delovnega mesta zgolj v enem plačnem razredu</w:t>
      </w:r>
      <w:r w:rsidR="0022388B" w:rsidRPr="0022388B">
        <w:rPr>
          <w:rFonts w:cs="Arial"/>
          <w:szCs w:val="20"/>
          <w:lang w:val="sl-SI"/>
        </w:rPr>
        <w:t xml:space="preserve">, ker se s tem ne daje </w:t>
      </w:r>
      <w:r w:rsidR="00B524CD" w:rsidRPr="0022388B">
        <w:rPr>
          <w:rFonts w:cs="Arial"/>
          <w:szCs w:val="20"/>
          <w:lang w:val="sl-SI"/>
        </w:rPr>
        <w:t>možnosti napredovanja javnim uslužbencem, ki zasedajo takšno</w:t>
      </w:r>
      <w:r w:rsidR="0022388B" w:rsidRPr="0022388B">
        <w:rPr>
          <w:rFonts w:cs="Arial"/>
          <w:szCs w:val="20"/>
          <w:lang w:val="sl-SI"/>
        </w:rPr>
        <w:t xml:space="preserve"> delovno mesto. V skladu s predpisi</w:t>
      </w:r>
      <w:r w:rsidR="00D60B7C">
        <w:rPr>
          <w:rFonts w:cs="Arial"/>
          <w:szCs w:val="20"/>
          <w:lang w:val="sl-SI"/>
        </w:rPr>
        <w:t xml:space="preserve"> smejo</w:t>
      </w:r>
      <w:r w:rsidR="0023005D">
        <w:rPr>
          <w:rFonts w:cs="Arial"/>
          <w:szCs w:val="20"/>
          <w:lang w:val="sl-SI"/>
        </w:rPr>
        <w:t xml:space="preserve"> namreč</w:t>
      </w:r>
      <w:r w:rsidR="00D60B7C">
        <w:rPr>
          <w:rFonts w:cs="Arial"/>
          <w:szCs w:val="20"/>
          <w:lang w:val="sl-SI"/>
        </w:rPr>
        <w:t xml:space="preserve"> </w:t>
      </w:r>
      <w:r w:rsidR="009D5DE5" w:rsidRPr="0022388B">
        <w:rPr>
          <w:rFonts w:cs="Arial"/>
          <w:szCs w:val="20"/>
          <w:lang w:val="sl-SI"/>
        </w:rPr>
        <w:t>d</w:t>
      </w:r>
      <w:r w:rsidR="00B524CD" w:rsidRPr="0022388B">
        <w:rPr>
          <w:rFonts w:cs="Arial"/>
          <w:szCs w:val="20"/>
          <w:lang w:val="sl-SI"/>
        </w:rPr>
        <w:t xml:space="preserve">elovna mesta </w:t>
      </w:r>
      <w:r w:rsidR="009D5DE5" w:rsidRPr="0022388B">
        <w:rPr>
          <w:rFonts w:cs="Arial"/>
          <w:szCs w:val="20"/>
          <w:lang w:val="sl-SI"/>
        </w:rPr>
        <w:t xml:space="preserve">s fiksnim plačnim razredom </w:t>
      </w:r>
      <w:r w:rsidR="00D60B7C">
        <w:rPr>
          <w:rFonts w:cs="Arial"/>
          <w:szCs w:val="20"/>
          <w:lang w:val="sl-SI"/>
        </w:rPr>
        <w:t>zasedati</w:t>
      </w:r>
      <w:r w:rsidR="00B524CD" w:rsidRPr="0022388B">
        <w:rPr>
          <w:rFonts w:cs="Arial"/>
          <w:szCs w:val="20"/>
          <w:lang w:val="sl-SI"/>
        </w:rPr>
        <w:t xml:space="preserve"> zgolj funkcionarji in direktorji. </w:t>
      </w:r>
    </w:p>
    <w:p w:rsidR="00D855CE" w:rsidRDefault="00D855CE" w:rsidP="007A4A0D">
      <w:pPr>
        <w:jc w:val="both"/>
        <w:rPr>
          <w:rFonts w:cs="Arial"/>
          <w:szCs w:val="20"/>
          <w:lang w:val="sl-SI"/>
        </w:rPr>
      </w:pPr>
    </w:p>
    <w:p w:rsidR="002D6713" w:rsidRDefault="00B524CD" w:rsidP="007A4A0D">
      <w:pPr>
        <w:jc w:val="both"/>
        <w:rPr>
          <w:rFonts w:cs="Arial"/>
          <w:szCs w:val="20"/>
          <w:lang w:val="sl-SI"/>
        </w:rPr>
      </w:pPr>
      <w:r w:rsidRPr="0022388B">
        <w:rPr>
          <w:rFonts w:cs="Arial"/>
          <w:szCs w:val="20"/>
          <w:lang w:val="sl-SI"/>
        </w:rPr>
        <w:t>Menimo, da je treba upoštevati določbo prvega stavka drugega odstavka 16. člena ZSPJS, ki implicira, da imajo javni uslužbenci na delovnih mestih,</w:t>
      </w:r>
      <w:r w:rsidRPr="0022388B">
        <w:rPr>
          <w:lang w:val="sl-SI"/>
        </w:rPr>
        <w:t xml:space="preserve"> kjer ni mogoče napredovati v naziv,</w:t>
      </w:r>
      <w:r w:rsidRPr="0022388B">
        <w:rPr>
          <w:rFonts w:cs="Arial"/>
          <w:szCs w:val="20"/>
          <w:lang w:val="sl-SI"/>
        </w:rPr>
        <w:t xml:space="preserve"> možnost napredovanja za 10 plačnih razredov</w:t>
      </w:r>
      <w:r w:rsidR="009D5DE5" w:rsidRPr="0022388B">
        <w:rPr>
          <w:rFonts w:cs="Arial"/>
          <w:szCs w:val="20"/>
          <w:lang w:val="sl-SI"/>
        </w:rPr>
        <w:t>, saj d</w:t>
      </w:r>
      <w:r w:rsidRPr="0022388B">
        <w:rPr>
          <w:rFonts w:cs="Arial"/>
          <w:szCs w:val="20"/>
          <w:lang w:val="sl-SI"/>
        </w:rPr>
        <w:t>rugi stavek drugega o</w:t>
      </w:r>
      <w:r w:rsidR="0022388B" w:rsidRPr="0022388B">
        <w:rPr>
          <w:rFonts w:cs="Arial"/>
          <w:szCs w:val="20"/>
          <w:lang w:val="sl-SI"/>
        </w:rPr>
        <w:t>d</w:t>
      </w:r>
      <w:r w:rsidRPr="0022388B">
        <w:rPr>
          <w:rFonts w:cs="Arial"/>
          <w:szCs w:val="20"/>
          <w:lang w:val="sl-SI"/>
        </w:rPr>
        <w:t>stavka 16. čl</w:t>
      </w:r>
      <w:r w:rsidR="009D5DE5" w:rsidRPr="0022388B">
        <w:rPr>
          <w:rFonts w:cs="Arial"/>
          <w:szCs w:val="20"/>
          <w:lang w:val="sl-SI"/>
        </w:rPr>
        <w:t>ena ZSPJS nadalje jasno izraža namen in voljo zakonodajalca,</w:t>
      </w:r>
      <w:r w:rsidRPr="0022388B">
        <w:rPr>
          <w:rFonts w:cs="Arial"/>
          <w:szCs w:val="20"/>
          <w:lang w:val="sl-SI"/>
        </w:rPr>
        <w:t xml:space="preserve"> </w:t>
      </w:r>
      <w:r w:rsidR="0022388B" w:rsidRPr="0022388B">
        <w:rPr>
          <w:rFonts w:cs="Arial"/>
          <w:szCs w:val="20"/>
          <w:lang w:val="sl-SI"/>
        </w:rPr>
        <w:t>d</w:t>
      </w:r>
      <w:r w:rsidR="0022388B">
        <w:rPr>
          <w:rFonts w:cs="Arial"/>
          <w:szCs w:val="20"/>
          <w:lang w:val="sl-SI"/>
        </w:rPr>
        <w:t>a imajo</w:t>
      </w:r>
      <w:r w:rsidR="0022388B" w:rsidRPr="0022388B">
        <w:rPr>
          <w:rFonts w:cs="Arial"/>
          <w:szCs w:val="20"/>
          <w:lang w:val="sl-SI"/>
        </w:rPr>
        <w:t xml:space="preserve"> javni uslužbenci mo</w:t>
      </w:r>
      <w:r w:rsidR="00D855CE">
        <w:rPr>
          <w:rFonts w:cs="Arial"/>
          <w:szCs w:val="20"/>
          <w:lang w:val="sl-SI"/>
        </w:rPr>
        <w:t>žnost napredovanja za</w:t>
      </w:r>
      <w:r w:rsidR="0022388B" w:rsidRPr="0022388B">
        <w:rPr>
          <w:rFonts w:cs="Arial"/>
          <w:szCs w:val="20"/>
          <w:lang w:val="sl-SI"/>
        </w:rPr>
        <w:t xml:space="preserve"> 10 plačnih razredov, ne glede na to, ali zasedajo delovna mesta, na katerih je možno napredovati</w:t>
      </w:r>
      <w:r w:rsidR="006944F6">
        <w:rPr>
          <w:rFonts w:cs="Arial"/>
          <w:szCs w:val="20"/>
          <w:lang w:val="sl-SI"/>
        </w:rPr>
        <w:t xml:space="preserve"> v naziv ali ne. Sistem napredova</w:t>
      </w:r>
      <w:r w:rsidR="00632046">
        <w:rPr>
          <w:rFonts w:cs="Arial"/>
          <w:szCs w:val="20"/>
          <w:lang w:val="sl-SI"/>
        </w:rPr>
        <w:t>nja je namreč naravnan tako, da</w:t>
      </w:r>
      <w:r w:rsidR="006944F6">
        <w:rPr>
          <w:rFonts w:cs="Arial"/>
          <w:szCs w:val="20"/>
          <w:lang w:val="sl-SI"/>
        </w:rPr>
        <w:t xml:space="preserve"> javni uslužbenci</w:t>
      </w:r>
      <w:r w:rsidR="009F228B">
        <w:rPr>
          <w:rFonts w:cs="Arial"/>
          <w:szCs w:val="20"/>
          <w:lang w:val="sl-SI"/>
        </w:rPr>
        <w:t xml:space="preserve"> (izjema so direktorji)</w:t>
      </w:r>
      <w:r w:rsidR="00D60B7C">
        <w:rPr>
          <w:rFonts w:cs="Arial"/>
          <w:szCs w:val="20"/>
          <w:lang w:val="sl-SI"/>
        </w:rPr>
        <w:t>, če izpolnijo pogoje</w:t>
      </w:r>
      <w:r w:rsidR="009F228B">
        <w:rPr>
          <w:rFonts w:cs="Arial"/>
          <w:szCs w:val="20"/>
          <w:lang w:val="sl-SI"/>
        </w:rPr>
        <w:t xml:space="preserve"> za napredovanje, </w:t>
      </w:r>
      <w:r w:rsidR="00B6692A">
        <w:rPr>
          <w:rFonts w:cs="Arial"/>
          <w:szCs w:val="20"/>
          <w:lang w:val="sl-SI"/>
        </w:rPr>
        <w:t>ne morejo imeti manj kot 10</w:t>
      </w:r>
      <w:r w:rsidR="00D60B7C">
        <w:rPr>
          <w:rFonts w:cs="Arial"/>
          <w:szCs w:val="20"/>
          <w:lang w:val="sl-SI"/>
        </w:rPr>
        <w:t xml:space="preserve"> plačnih razredov</w:t>
      </w:r>
      <w:r w:rsidR="00632046">
        <w:rPr>
          <w:rFonts w:cs="Arial"/>
          <w:szCs w:val="20"/>
          <w:lang w:val="sl-SI"/>
        </w:rPr>
        <w:t xml:space="preserve"> napredovanj</w:t>
      </w:r>
      <w:r w:rsidR="002D6713">
        <w:rPr>
          <w:rFonts w:cs="Arial"/>
          <w:szCs w:val="20"/>
          <w:lang w:val="sl-SI"/>
        </w:rPr>
        <w:t xml:space="preserve">. </w:t>
      </w:r>
    </w:p>
    <w:p w:rsidR="002D6713" w:rsidRDefault="002D6713" w:rsidP="007A4A0D">
      <w:pPr>
        <w:jc w:val="both"/>
        <w:rPr>
          <w:rFonts w:cs="Arial"/>
          <w:szCs w:val="20"/>
          <w:lang w:val="sl-SI"/>
        </w:rPr>
      </w:pPr>
    </w:p>
    <w:p w:rsidR="002D6713" w:rsidRDefault="00D60B7C" w:rsidP="002D6713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Drugi stavek </w:t>
      </w:r>
      <w:r w:rsidRPr="0022388B">
        <w:rPr>
          <w:rFonts w:cs="Arial"/>
          <w:szCs w:val="20"/>
          <w:lang w:val="sl-SI"/>
        </w:rPr>
        <w:t>drugega odstavka 16. člena ZSPJS</w:t>
      </w:r>
      <w:r>
        <w:rPr>
          <w:rFonts w:cs="Arial"/>
          <w:szCs w:val="20"/>
          <w:lang w:val="sl-SI"/>
        </w:rPr>
        <w:t xml:space="preserve"> tako nesporno potrjuje </w:t>
      </w:r>
      <w:r w:rsidR="009F228B">
        <w:rPr>
          <w:rFonts w:cs="Arial"/>
          <w:szCs w:val="20"/>
          <w:lang w:val="sl-SI"/>
        </w:rPr>
        <w:t>namen ra</w:t>
      </w:r>
      <w:r w:rsidR="00D36244">
        <w:rPr>
          <w:rFonts w:cs="Arial"/>
          <w:szCs w:val="20"/>
          <w:lang w:val="sl-SI"/>
        </w:rPr>
        <w:t xml:space="preserve">zpona </w:t>
      </w:r>
      <w:r w:rsidR="00A11142">
        <w:rPr>
          <w:rFonts w:cs="Arial"/>
          <w:szCs w:val="20"/>
          <w:lang w:val="sl-SI"/>
        </w:rPr>
        <w:t>napredovanj</w:t>
      </w:r>
      <w:r w:rsidR="009F228B">
        <w:rPr>
          <w:rFonts w:cs="Arial"/>
          <w:szCs w:val="20"/>
          <w:lang w:val="sl-SI"/>
        </w:rPr>
        <w:t xml:space="preserve"> za 10 plačnih razredov </w:t>
      </w:r>
      <w:r>
        <w:rPr>
          <w:rFonts w:cs="Arial"/>
          <w:szCs w:val="20"/>
          <w:lang w:val="sl-SI"/>
        </w:rPr>
        <w:t>pr</w:t>
      </w:r>
      <w:r w:rsidR="0023005D">
        <w:rPr>
          <w:rFonts w:cs="Arial"/>
          <w:szCs w:val="20"/>
          <w:lang w:val="sl-SI"/>
        </w:rPr>
        <w:t>vega</w:t>
      </w:r>
      <w:r w:rsidR="009F228B">
        <w:rPr>
          <w:rFonts w:cs="Arial"/>
          <w:szCs w:val="20"/>
          <w:lang w:val="sl-SI"/>
        </w:rPr>
        <w:t xml:space="preserve"> stavka</w:t>
      </w:r>
      <w:r>
        <w:rPr>
          <w:rFonts w:cs="Arial"/>
          <w:szCs w:val="20"/>
          <w:lang w:val="sl-SI"/>
        </w:rPr>
        <w:t xml:space="preserve"> </w:t>
      </w:r>
      <w:r w:rsidRPr="0022388B">
        <w:rPr>
          <w:rFonts w:cs="Arial"/>
          <w:szCs w:val="20"/>
          <w:lang w:val="sl-SI"/>
        </w:rPr>
        <w:t>drugega odstavka 16. člena ZSPJS</w:t>
      </w:r>
      <w:r w:rsidR="00D36244">
        <w:rPr>
          <w:rFonts w:cs="Arial"/>
          <w:szCs w:val="20"/>
          <w:lang w:val="sl-SI"/>
        </w:rPr>
        <w:t>. T</w:t>
      </w:r>
      <w:r>
        <w:rPr>
          <w:rFonts w:cs="Arial"/>
          <w:szCs w:val="20"/>
          <w:lang w:val="sl-SI"/>
        </w:rPr>
        <w:t xml:space="preserve">udi za druge državne organe </w:t>
      </w:r>
      <w:r w:rsidR="00D36244">
        <w:rPr>
          <w:rFonts w:cs="Arial"/>
          <w:szCs w:val="20"/>
          <w:lang w:val="sl-SI"/>
        </w:rPr>
        <w:t xml:space="preserve">torej </w:t>
      </w:r>
      <w:r>
        <w:rPr>
          <w:rFonts w:cs="Arial"/>
          <w:szCs w:val="20"/>
          <w:lang w:val="sl-SI"/>
        </w:rPr>
        <w:t>velja, d</w:t>
      </w:r>
      <w:r w:rsidR="009F228B">
        <w:rPr>
          <w:rFonts w:cs="Arial"/>
          <w:szCs w:val="20"/>
          <w:lang w:val="sl-SI"/>
        </w:rPr>
        <w:t>a je treba pri določanju</w:t>
      </w:r>
      <w:r>
        <w:rPr>
          <w:rFonts w:cs="Arial"/>
          <w:szCs w:val="20"/>
          <w:lang w:val="sl-SI"/>
        </w:rPr>
        <w:t xml:space="preserve"> možnih napredovanj upoštevati </w:t>
      </w:r>
      <w:r w:rsidR="009F228B">
        <w:rPr>
          <w:rFonts w:cs="Arial"/>
          <w:szCs w:val="20"/>
          <w:lang w:val="sl-SI"/>
        </w:rPr>
        <w:t xml:space="preserve">razpon </w:t>
      </w:r>
      <w:r w:rsidR="00D36244">
        <w:rPr>
          <w:rFonts w:cs="Arial"/>
          <w:szCs w:val="20"/>
          <w:lang w:val="sl-SI"/>
        </w:rPr>
        <w:t>napredovanj za 10 plačnih razredov.</w:t>
      </w:r>
      <w:r w:rsidR="002D6713" w:rsidRPr="002D6713">
        <w:rPr>
          <w:rFonts w:cs="Arial"/>
          <w:szCs w:val="20"/>
          <w:lang w:val="sl-SI"/>
        </w:rPr>
        <w:t xml:space="preserve"> </w:t>
      </w:r>
      <w:r w:rsidR="002D6713" w:rsidRPr="00BF7BBE">
        <w:rPr>
          <w:rFonts w:cs="Arial"/>
          <w:szCs w:val="20"/>
          <w:lang w:val="sl-SI"/>
        </w:rPr>
        <w:t>Napredovanje za manj kot 10 plačnih razredov pa je možno zgolj v primeru, da bi bil z 10 napredovanji presežen 57. plačni razred, ki glede na 7. člen ZSPJS velja kot najvišja možna omejitev tudi za javne uslužbence v drugih državnih organih.</w:t>
      </w:r>
    </w:p>
    <w:p w:rsidR="006944F6" w:rsidRDefault="006944F6" w:rsidP="007A4A0D">
      <w:pPr>
        <w:jc w:val="both"/>
        <w:rPr>
          <w:rFonts w:cs="Arial"/>
          <w:szCs w:val="20"/>
          <w:lang w:val="sl-SI"/>
        </w:rPr>
      </w:pPr>
    </w:p>
    <w:p w:rsidR="00D60B7C" w:rsidRDefault="00D60B7C" w:rsidP="007A4A0D">
      <w:pPr>
        <w:jc w:val="both"/>
        <w:rPr>
          <w:rFonts w:cs="Arial"/>
          <w:szCs w:val="20"/>
          <w:lang w:val="sl-SI"/>
        </w:rPr>
      </w:pPr>
    </w:p>
    <w:p w:rsidR="007D75CF" w:rsidRPr="0022388B" w:rsidRDefault="007D75CF" w:rsidP="007A4A0D">
      <w:pPr>
        <w:jc w:val="both"/>
        <w:rPr>
          <w:szCs w:val="20"/>
          <w:lang w:val="sl-SI"/>
        </w:rPr>
      </w:pPr>
      <w:r w:rsidRPr="0022388B">
        <w:rPr>
          <w:szCs w:val="20"/>
          <w:lang w:val="sl-SI"/>
        </w:rPr>
        <w:t>S spoštovanjem,</w:t>
      </w:r>
    </w:p>
    <w:p w:rsidR="007D75CF" w:rsidRPr="0022388B" w:rsidRDefault="007D75CF" w:rsidP="00F42CAA">
      <w:pPr>
        <w:rPr>
          <w:szCs w:val="20"/>
          <w:lang w:val="sl-SI"/>
        </w:rPr>
      </w:pPr>
    </w:p>
    <w:p w:rsidR="00326A72" w:rsidRPr="0022388B" w:rsidRDefault="00326A72" w:rsidP="00F42CAA">
      <w:pPr>
        <w:rPr>
          <w:szCs w:val="20"/>
          <w:lang w:val="sl-SI"/>
        </w:rPr>
      </w:pPr>
    </w:p>
    <w:p w:rsidR="007D75CF" w:rsidRPr="0022388B" w:rsidRDefault="003E1C74" w:rsidP="00F42CAA">
      <w:pPr>
        <w:pStyle w:val="podpisi"/>
        <w:rPr>
          <w:szCs w:val="20"/>
          <w:lang w:val="sl-SI"/>
        </w:rPr>
      </w:pPr>
      <w:r w:rsidRPr="0022388B">
        <w:rPr>
          <w:szCs w:val="20"/>
          <w:lang w:val="sl-SI"/>
        </w:rPr>
        <w:tab/>
      </w:r>
      <w:r w:rsidR="00566BBB">
        <w:rPr>
          <w:szCs w:val="20"/>
          <w:lang w:val="sl-SI"/>
        </w:rPr>
        <w:t xml:space="preserve">                  </w:t>
      </w:r>
      <w:r w:rsidR="00636D8F">
        <w:rPr>
          <w:szCs w:val="20"/>
          <w:lang w:val="sl-SI"/>
        </w:rPr>
        <w:t xml:space="preserve">          </w:t>
      </w:r>
      <w:r w:rsidR="00566BBB">
        <w:rPr>
          <w:szCs w:val="20"/>
          <w:lang w:val="sl-SI"/>
        </w:rPr>
        <w:t xml:space="preserve"> </w:t>
      </w:r>
      <w:r w:rsidR="00636D8F">
        <w:rPr>
          <w:szCs w:val="20"/>
          <w:lang w:val="sl-SI"/>
        </w:rPr>
        <w:t>Peter Pogačar</w:t>
      </w:r>
    </w:p>
    <w:p w:rsidR="00326A72" w:rsidRPr="0022388B" w:rsidRDefault="003E1C74" w:rsidP="00F42CAA">
      <w:pPr>
        <w:pStyle w:val="podpisi"/>
        <w:rPr>
          <w:szCs w:val="20"/>
          <w:lang w:val="sl-SI"/>
        </w:rPr>
      </w:pPr>
      <w:r w:rsidRPr="0022388B">
        <w:rPr>
          <w:szCs w:val="20"/>
          <w:lang w:val="sl-SI"/>
        </w:rPr>
        <w:tab/>
      </w:r>
      <w:r w:rsidR="00566BBB">
        <w:rPr>
          <w:szCs w:val="20"/>
          <w:lang w:val="sl-SI"/>
        </w:rPr>
        <w:t xml:space="preserve">                   </w:t>
      </w:r>
      <w:r w:rsidR="00636D8F">
        <w:rPr>
          <w:szCs w:val="20"/>
          <w:lang w:val="sl-SI"/>
        </w:rPr>
        <w:t xml:space="preserve">v. d. </w:t>
      </w:r>
      <w:proofErr w:type="spellStart"/>
      <w:r w:rsidR="00636D8F">
        <w:rPr>
          <w:szCs w:val="20"/>
          <w:lang w:val="sl-SI"/>
        </w:rPr>
        <w:t>generanega</w:t>
      </w:r>
      <w:proofErr w:type="spellEnd"/>
      <w:r w:rsidR="00636D8F">
        <w:rPr>
          <w:szCs w:val="20"/>
          <w:lang w:val="sl-SI"/>
        </w:rPr>
        <w:t xml:space="preserve"> direktorja</w:t>
      </w:r>
    </w:p>
    <w:p w:rsidR="00EC3F41" w:rsidRDefault="00EC3F41" w:rsidP="00F42CAA">
      <w:pPr>
        <w:pStyle w:val="podpisi"/>
        <w:rPr>
          <w:szCs w:val="20"/>
          <w:lang w:val="sl-SI"/>
        </w:rPr>
      </w:pPr>
    </w:p>
    <w:p w:rsidR="00A12FC7" w:rsidRPr="0022388B" w:rsidRDefault="00A12FC7" w:rsidP="00F42CAA">
      <w:pPr>
        <w:pStyle w:val="podpisi"/>
        <w:rPr>
          <w:szCs w:val="20"/>
          <w:lang w:val="sl-SI"/>
        </w:rPr>
      </w:pPr>
    </w:p>
    <w:p w:rsidR="00EC3F41" w:rsidRPr="0022388B" w:rsidRDefault="00EC3F41" w:rsidP="00F42CAA">
      <w:pPr>
        <w:pStyle w:val="podpisi"/>
        <w:rPr>
          <w:szCs w:val="20"/>
          <w:lang w:val="sl-SI"/>
        </w:rPr>
      </w:pPr>
    </w:p>
    <w:p w:rsidR="00A84CEE" w:rsidRPr="0022388B" w:rsidRDefault="00A84CEE" w:rsidP="00F42CAA">
      <w:pPr>
        <w:pStyle w:val="podpisi"/>
        <w:rPr>
          <w:szCs w:val="20"/>
          <w:lang w:val="sl-SI"/>
        </w:rPr>
      </w:pPr>
      <w:r w:rsidRPr="0022388B">
        <w:rPr>
          <w:szCs w:val="20"/>
          <w:lang w:val="sl-SI"/>
        </w:rPr>
        <w:t>Poslano:</w:t>
      </w:r>
    </w:p>
    <w:p w:rsidR="00A84CEE" w:rsidRPr="0022388B" w:rsidRDefault="00A84CEE" w:rsidP="00F42CAA">
      <w:pPr>
        <w:pStyle w:val="podpisi"/>
        <w:rPr>
          <w:szCs w:val="20"/>
          <w:lang w:val="sl-SI"/>
        </w:rPr>
      </w:pPr>
      <w:r w:rsidRPr="0022388B">
        <w:rPr>
          <w:szCs w:val="20"/>
          <w:lang w:val="sl-SI"/>
        </w:rPr>
        <w:t>- naslovniku – po e-pošti</w:t>
      </w:r>
    </w:p>
    <w:p w:rsidR="00A84CEE" w:rsidRPr="0022388B" w:rsidRDefault="00A84CEE" w:rsidP="00F42CAA">
      <w:pPr>
        <w:pStyle w:val="podpisi"/>
        <w:rPr>
          <w:szCs w:val="20"/>
          <w:lang w:val="sl-SI"/>
        </w:rPr>
      </w:pPr>
    </w:p>
    <w:sectPr w:rsidR="00A84CEE" w:rsidRPr="0022388B" w:rsidSect="00623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D1" w:rsidRDefault="00654BD1">
      <w:r>
        <w:separator/>
      </w:r>
    </w:p>
  </w:endnote>
  <w:endnote w:type="continuationSeparator" w:id="0">
    <w:p w:rsidR="00654BD1" w:rsidRDefault="0065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77" w:rsidRDefault="00C75F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77" w:rsidRDefault="00C75F7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77" w:rsidRDefault="00C75F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D1" w:rsidRDefault="00654BD1">
      <w:r>
        <w:separator/>
      </w:r>
    </w:p>
  </w:footnote>
  <w:footnote w:type="continuationSeparator" w:id="0">
    <w:p w:rsidR="00654BD1" w:rsidRDefault="00654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77" w:rsidRDefault="00C75F7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A6" w:rsidRPr="008F3500" w:rsidRDefault="009E044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bookmarkStart w:id="2" w:name="_GoBack"/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30" name="Slika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MJU D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r w:rsidR="006E25B1">
      <w:rPr>
        <w:rFonts w:cs="Arial"/>
        <w:sz w:val="16"/>
        <w:lang w:val="sl-SI"/>
      </w:rPr>
      <w:t>Tržaška cesta 21, 1000</w:t>
    </w:r>
    <w:r w:rsidR="00623E8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623E84">
      <w:rPr>
        <w:rFonts w:cs="Arial"/>
        <w:sz w:val="16"/>
        <w:lang w:val="sl-SI"/>
      </w:rPr>
      <w:t xml:space="preserve">01 </w:t>
    </w:r>
    <w:r w:rsidR="00C75F77">
      <w:rPr>
        <w:rFonts w:cs="Arial"/>
        <w:sz w:val="16"/>
        <w:lang w:val="sl-SI"/>
      </w:rPr>
      <w:t>478 16 50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BE0B5E">
      <w:rPr>
        <w:rFonts w:cs="Arial"/>
        <w:sz w:val="16"/>
        <w:lang w:val="sl-SI"/>
      </w:rPr>
      <w:t xml:space="preserve">01 </w:t>
    </w:r>
    <w:r w:rsidR="00C75F77">
      <w:rPr>
        <w:rFonts w:cs="Arial"/>
        <w:sz w:val="16"/>
        <w:lang w:val="sl-SI"/>
      </w:rPr>
      <w:t>478 16 99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BE0B5E">
      <w:rPr>
        <w:rFonts w:cs="Arial"/>
        <w:sz w:val="16"/>
        <w:lang w:val="sl-SI"/>
      </w:rPr>
      <w:t>gp</w:t>
    </w:r>
    <w:r w:rsidR="00CB716C">
      <w:rPr>
        <w:rFonts w:cs="Arial"/>
        <w:sz w:val="16"/>
        <w:lang w:val="sl-SI"/>
      </w:rPr>
      <w:t>.mju</w:t>
    </w:r>
    <w:r w:rsidR="00623E84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E467C4">
      <w:rPr>
        <w:rFonts w:cs="Arial"/>
        <w:sz w:val="16"/>
        <w:lang w:val="sl-SI"/>
      </w:rPr>
      <w:t>www.mju</w:t>
    </w:r>
    <w:r w:rsidR="00623E84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EE"/>
    <w:rsid w:val="0000128F"/>
    <w:rsid w:val="00023A88"/>
    <w:rsid w:val="00055ECF"/>
    <w:rsid w:val="000A7238"/>
    <w:rsid w:val="000B150D"/>
    <w:rsid w:val="000C33B0"/>
    <w:rsid w:val="000F6618"/>
    <w:rsid w:val="00124E67"/>
    <w:rsid w:val="001357B2"/>
    <w:rsid w:val="001363E8"/>
    <w:rsid w:val="001402DE"/>
    <w:rsid w:val="001540AE"/>
    <w:rsid w:val="00156B6D"/>
    <w:rsid w:val="00161711"/>
    <w:rsid w:val="0017478F"/>
    <w:rsid w:val="00183E0F"/>
    <w:rsid w:val="001867CE"/>
    <w:rsid w:val="00196D35"/>
    <w:rsid w:val="001A3042"/>
    <w:rsid w:val="001A4DE0"/>
    <w:rsid w:val="001C7AEC"/>
    <w:rsid w:val="001D4DDC"/>
    <w:rsid w:val="001E2A7A"/>
    <w:rsid w:val="00202A77"/>
    <w:rsid w:val="00222E06"/>
    <w:rsid w:val="0022388B"/>
    <w:rsid w:val="0023005D"/>
    <w:rsid w:val="00233747"/>
    <w:rsid w:val="002455B2"/>
    <w:rsid w:val="002563E4"/>
    <w:rsid w:val="00256ECE"/>
    <w:rsid w:val="00271CE5"/>
    <w:rsid w:val="0027624B"/>
    <w:rsid w:val="00281197"/>
    <w:rsid w:val="00282020"/>
    <w:rsid w:val="002835DD"/>
    <w:rsid w:val="002877C5"/>
    <w:rsid w:val="002A2B69"/>
    <w:rsid w:val="002A6C9F"/>
    <w:rsid w:val="002C0019"/>
    <w:rsid w:val="002D1448"/>
    <w:rsid w:val="002D244A"/>
    <w:rsid w:val="002D6713"/>
    <w:rsid w:val="002F464D"/>
    <w:rsid w:val="002F5BA4"/>
    <w:rsid w:val="0031263B"/>
    <w:rsid w:val="003157F2"/>
    <w:rsid w:val="00324197"/>
    <w:rsid w:val="00326A72"/>
    <w:rsid w:val="003636BF"/>
    <w:rsid w:val="00365DF9"/>
    <w:rsid w:val="0036641C"/>
    <w:rsid w:val="00371442"/>
    <w:rsid w:val="003822C8"/>
    <w:rsid w:val="003845B4"/>
    <w:rsid w:val="00387B1A"/>
    <w:rsid w:val="0039356A"/>
    <w:rsid w:val="00395CE8"/>
    <w:rsid w:val="003B7930"/>
    <w:rsid w:val="003C5EE5"/>
    <w:rsid w:val="003C65AC"/>
    <w:rsid w:val="003E1C74"/>
    <w:rsid w:val="003F1855"/>
    <w:rsid w:val="003F264A"/>
    <w:rsid w:val="003F727C"/>
    <w:rsid w:val="004015B9"/>
    <w:rsid w:val="00404D75"/>
    <w:rsid w:val="00417D18"/>
    <w:rsid w:val="00453F2E"/>
    <w:rsid w:val="00454CA1"/>
    <w:rsid w:val="004657EE"/>
    <w:rsid w:val="0049217D"/>
    <w:rsid w:val="004B58BF"/>
    <w:rsid w:val="004B6BB2"/>
    <w:rsid w:val="004E10D4"/>
    <w:rsid w:val="00516C79"/>
    <w:rsid w:val="00526246"/>
    <w:rsid w:val="00535D20"/>
    <w:rsid w:val="00537353"/>
    <w:rsid w:val="005417CE"/>
    <w:rsid w:val="00557C75"/>
    <w:rsid w:val="00566BBB"/>
    <w:rsid w:val="00567106"/>
    <w:rsid w:val="00571255"/>
    <w:rsid w:val="00572813"/>
    <w:rsid w:val="005869FF"/>
    <w:rsid w:val="005A45BA"/>
    <w:rsid w:val="005A56E0"/>
    <w:rsid w:val="005C1995"/>
    <w:rsid w:val="005C5DE0"/>
    <w:rsid w:val="005D1041"/>
    <w:rsid w:val="005D5166"/>
    <w:rsid w:val="005E1D3C"/>
    <w:rsid w:val="005E23AD"/>
    <w:rsid w:val="005E25CE"/>
    <w:rsid w:val="00623E84"/>
    <w:rsid w:val="006242EF"/>
    <w:rsid w:val="00625AE6"/>
    <w:rsid w:val="00632046"/>
    <w:rsid w:val="00632253"/>
    <w:rsid w:val="00633DA3"/>
    <w:rsid w:val="00636D8F"/>
    <w:rsid w:val="00642714"/>
    <w:rsid w:val="006455CE"/>
    <w:rsid w:val="00647A86"/>
    <w:rsid w:val="00654BD1"/>
    <w:rsid w:val="00655841"/>
    <w:rsid w:val="0066014E"/>
    <w:rsid w:val="0066727D"/>
    <w:rsid w:val="006944F6"/>
    <w:rsid w:val="00696242"/>
    <w:rsid w:val="006A18CD"/>
    <w:rsid w:val="006D739E"/>
    <w:rsid w:val="006E25B1"/>
    <w:rsid w:val="006E7986"/>
    <w:rsid w:val="006F06CC"/>
    <w:rsid w:val="006F10F0"/>
    <w:rsid w:val="00706CB5"/>
    <w:rsid w:val="00710310"/>
    <w:rsid w:val="007151C3"/>
    <w:rsid w:val="00725C5F"/>
    <w:rsid w:val="00733017"/>
    <w:rsid w:val="007419F6"/>
    <w:rsid w:val="00754190"/>
    <w:rsid w:val="00773720"/>
    <w:rsid w:val="00783310"/>
    <w:rsid w:val="0078500F"/>
    <w:rsid w:val="007855C6"/>
    <w:rsid w:val="007A49AA"/>
    <w:rsid w:val="007A4A0D"/>
    <w:rsid w:val="007A4A6D"/>
    <w:rsid w:val="007C5F16"/>
    <w:rsid w:val="007D1BCF"/>
    <w:rsid w:val="007D75CF"/>
    <w:rsid w:val="007E0440"/>
    <w:rsid w:val="007E6DC5"/>
    <w:rsid w:val="007F2664"/>
    <w:rsid w:val="007F56C5"/>
    <w:rsid w:val="00815657"/>
    <w:rsid w:val="008262A8"/>
    <w:rsid w:val="008316AC"/>
    <w:rsid w:val="00852180"/>
    <w:rsid w:val="008757E5"/>
    <w:rsid w:val="0088043C"/>
    <w:rsid w:val="00884889"/>
    <w:rsid w:val="008906C9"/>
    <w:rsid w:val="00890A17"/>
    <w:rsid w:val="008C1514"/>
    <w:rsid w:val="008C5738"/>
    <w:rsid w:val="008D04F0"/>
    <w:rsid w:val="008D588E"/>
    <w:rsid w:val="008D5F69"/>
    <w:rsid w:val="008F3500"/>
    <w:rsid w:val="0091055E"/>
    <w:rsid w:val="00914504"/>
    <w:rsid w:val="00924E3C"/>
    <w:rsid w:val="009612BB"/>
    <w:rsid w:val="009649C9"/>
    <w:rsid w:val="00964BF5"/>
    <w:rsid w:val="009653CA"/>
    <w:rsid w:val="009C740A"/>
    <w:rsid w:val="009D5DE5"/>
    <w:rsid w:val="009D6313"/>
    <w:rsid w:val="009E0445"/>
    <w:rsid w:val="009F2082"/>
    <w:rsid w:val="009F228B"/>
    <w:rsid w:val="009F6FAF"/>
    <w:rsid w:val="00A0137F"/>
    <w:rsid w:val="00A11142"/>
    <w:rsid w:val="00A125C5"/>
    <w:rsid w:val="00A12FC7"/>
    <w:rsid w:val="00A14109"/>
    <w:rsid w:val="00A2451C"/>
    <w:rsid w:val="00A26766"/>
    <w:rsid w:val="00A43EF7"/>
    <w:rsid w:val="00A5787C"/>
    <w:rsid w:val="00A65EE7"/>
    <w:rsid w:val="00A70133"/>
    <w:rsid w:val="00A770A6"/>
    <w:rsid w:val="00A813B1"/>
    <w:rsid w:val="00A84CEE"/>
    <w:rsid w:val="00A96C55"/>
    <w:rsid w:val="00AB36C4"/>
    <w:rsid w:val="00AC2705"/>
    <w:rsid w:val="00AC32B2"/>
    <w:rsid w:val="00AD22B7"/>
    <w:rsid w:val="00AE7440"/>
    <w:rsid w:val="00B17141"/>
    <w:rsid w:val="00B31575"/>
    <w:rsid w:val="00B43F61"/>
    <w:rsid w:val="00B524CD"/>
    <w:rsid w:val="00B53AED"/>
    <w:rsid w:val="00B6692A"/>
    <w:rsid w:val="00B76E36"/>
    <w:rsid w:val="00B80658"/>
    <w:rsid w:val="00B8547D"/>
    <w:rsid w:val="00BA2FA5"/>
    <w:rsid w:val="00BA55C3"/>
    <w:rsid w:val="00BB1718"/>
    <w:rsid w:val="00BD06AD"/>
    <w:rsid w:val="00BE0B5E"/>
    <w:rsid w:val="00BF30EA"/>
    <w:rsid w:val="00BF7BBE"/>
    <w:rsid w:val="00C063D8"/>
    <w:rsid w:val="00C11191"/>
    <w:rsid w:val="00C1655C"/>
    <w:rsid w:val="00C250D5"/>
    <w:rsid w:val="00C35666"/>
    <w:rsid w:val="00C42998"/>
    <w:rsid w:val="00C42FF7"/>
    <w:rsid w:val="00C663B3"/>
    <w:rsid w:val="00C75F77"/>
    <w:rsid w:val="00C92898"/>
    <w:rsid w:val="00CA4340"/>
    <w:rsid w:val="00CB716C"/>
    <w:rsid w:val="00CB7C3E"/>
    <w:rsid w:val="00CB7CCF"/>
    <w:rsid w:val="00CC46DA"/>
    <w:rsid w:val="00CC57F8"/>
    <w:rsid w:val="00CD01E2"/>
    <w:rsid w:val="00CE5238"/>
    <w:rsid w:val="00CE69B6"/>
    <w:rsid w:val="00CE7514"/>
    <w:rsid w:val="00CF1E7F"/>
    <w:rsid w:val="00CF2BE9"/>
    <w:rsid w:val="00CF742D"/>
    <w:rsid w:val="00D01B53"/>
    <w:rsid w:val="00D01F03"/>
    <w:rsid w:val="00D06FF0"/>
    <w:rsid w:val="00D248DE"/>
    <w:rsid w:val="00D26904"/>
    <w:rsid w:val="00D36244"/>
    <w:rsid w:val="00D51F5F"/>
    <w:rsid w:val="00D57283"/>
    <w:rsid w:val="00D60B7C"/>
    <w:rsid w:val="00D8542D"/>
    <w:rsid w:val="00D855CE"/>
    <w:rsid w:val="00DA5235"/>
    <w:rsid w:val="00DC1A60"/>
    <w:rsid w:val="00DC1B13"/>
    <w:rsid w:val="00DC619B"/>
    <w:rsid w:val="00DC6A71"/>
    <w:rsid w:val="00DD700C"/>
    <w:rsid w:val="00DE180A"/>
    <w:rsid w:val="00DE6CB0"/>
    <w:rsid w:val="00DF5D35"/>
    <w:rsid w:val="00E0357D"/>
    <w:rsid w:val="00E03E68"/>
    <w:rsid w:val="00E14DD5"/>
    <w:rsid w:val="00E467C4"/>
    <w:rsid w:val="00E604F3"/>
    <w:rsid w:val="00E70005"/>
    <w:rsid w:val="00E8445F"/>
    <w:rsid w:val="00EB655C"/>
    <w:rsid w:val="00EC3F41"/>
    <w:rsid w:val="00EC5927"/>
    <w:rsid w:val="00ED1C3E"/>
    <w:rsid w:val="00EE7283"/>
    <w:rsid w:val="00F04592"/>
    <w:rsid w:val="00F240BB"/>
    <w:rsid w:val="00F331CE"/>
    <w:rsid w:val="00F42CAA"/>
    <w:rsid w:val="00F57FED"/>
    <w:rsid w:val="00F63004"/>
    <w:rsid w:val="00F667D6"/>
    <w:rsid w:val="00F679F7"/>
    <w:rsid w:val="00F8029F"/>
    <w:rsid w:val="00FA7A5C"/>
    <w:rsid w:val="00FB09FC"/>
    <w:rsid w:val="00FC7E23"/>
    <w:rsid w:val="00FD44A2"/>
    <w:rsid w:val="00FE372C"/>
    <w:rsid w:val="00FE68D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21FD3662-DE5F-471A-8A3B-44A171FD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rsid w:val="002455B2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455B2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2455B2"/>
    <w:rPr>
      <w:vertAlign w:val="superscript"/>
    </w:rPr>
  </w:style>
  <w:style w:type="paragraph" w:customStyle="1" w:styleId="len">
    <w:name w:val="len"/>
    <w:basedOn w:val="Navaden"/>
    <w:rsid w:val="0028119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aslov">
    <w:name w:val="lennaslov"/>
    <w:basedOn w:val="Navaden"/>
    <w:rsid w:val="0028119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28119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B76E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76E36"/>
    <w:rPr>
      <w:rFonts w:ascii="Segoe UI" w:hAnsi="Segoe UI" w:cs="Segoe UI"/>
      <w:sz w:val="18"/>
      <w:szCs w:val="18"/>
      <w:lang w:val="en-US" w:eastAsia="en-US"/>
    </w:rPr>
  </w:style>
  <w:style w:type="paragraph" w:styleId="Navadensplet">
    <w:name w:val="Normal (Web)"/>
    <w:basedOn w:val="Navaden"/>
    <w:rsid w:val="00326A7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86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7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1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6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_DJ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F24197-D09A-408F-9483-121A06E0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MJU_DJS</Template>
  <TotalTime>2</TotalTime>
  <Pages>2</Pages>
  <Words>729</Words>
  <Characters>4271</Characters>
  <Application>Microsoft Office Word</Application>
  <DocSecurity>4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Pogorevc</dc:creator>
  <cp:keywords/>
  <cp:lastModifiedBy>Mojca Kustec</cp:lastModifiedBy>
  <cp:revision>2</cp:revision>
  <cp:lastPrinted>2019-01-22T09:21:00Z</cp:lastPrinted>
  <dcterms:created xsi:type="dcterms:W3CDTF">2020-10-09T09:07:00Z</dcterms:created>
  <dcterms:modified xsi:type="dcterms:W3CDTF">2020-10-09T09:07:00Z</dcterms:modified>
</cp:coreProperties>
</file>