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B3B1" w14:textId="77777777" w:rsidR="00923656" w:rsidRDefault="00923656" w:rsidP="00ED6410">
      <w:pPr>
        <w:pStyle w:val="datumtevilka"/>
        <w:rPr>
          <w:rFonts w:cs="Arial"/>
        </w:rPr>
      </w:pPr>
    </w:p>
    <w:p w14:paraId="09ED2669" w14:textId="77777777" w:rsidR="00923656" w:rsidRDefault="00923656" w:rsidP="00ED6410">
      <w:pPr>
        <w:pStyle w:val="datumtevilka"/>
        <w:rPr>
          <w:rFonts w:cs="Arial"/>
        </w:rPr>
      </w:pPr>
    </w:p>
    <w:p w14:paraId="665F1800" w14:textId="77777777" w:rsidR="00923656" w:rsidRDefault="00923656" w:rsidP="00ED6410">
      <w:pPr>
        <w:pStyle w:val="datumtevilka"/>
        <w:rPr>
          <w:rFonts w:cs="Arial"/>
        </w:rPr>
      </w:pPr>
    </w:p>
    <w:p w14:paraId="59D378B3" w14:textId="77777777" w:rsidR="00923656" w:rsidRDefault="00923656" w:rsidP="00ED6410">
      <w:pPr>
        <w:pStyle w:val="datumtevilka"/>
        <w:rPr>
          <w:rFonts w:cs="Arial"/>
        </w:rPr>
      </w:pPr>
    </w:p>
    <w:p w14:paraId="0D336E21" w14:textId="77777777" w:rsidR="00923656" w:rsidRDefault="00923656" w:rsidP="00ED6410">
      <w:pPr>
        <w:pStyle w:val="datumtevilka"/>
        <w:rPr>
          <w:rFonts w:cs="Arial"/>
        </w:rPr>
      </w:pPr>
    </w:p>
    <w:p w14:paraId="79E45023" w14:textId="77777777" w:rsidR="00923656" w:rsidRDefault="00923656" w:rsidP="00ED6410">
      <w:pPr>
        <w:pStyle w:val="datumtevilka"/>
        <w:rPr>
          <w:rFonts w:cs="Arial"/>
        </w:rPr>
      </w:pPr>
    </w:p>
    <w:p w14:paraId="1729B836" w14:textId="77777777" w:rsidR="00923656" w:rsidRDefault="00923656" w:rsidP="00ED6410">
      <w:pPr>
        <w:pStyle w:val="datumtevilka"/>
        <w:rPr>
          <w:rFonts w:cs="Arial"/>
        </w:rPr>
      </w:pPr>
    </w:p>
    <w:p w14:paraId="4C6800BE" w14:textId="77777777" w:rsidR="00923656" w:rsidRDefault="00923656" w:rsidP="00ED6410">
      <w:pPr>
        <w:pStyle w:val="datumtevilka"/>
        <w:rPr>
          <w:rFonts w:cs="Arial"/>
        </w:rPr>
      </w:pPr>
    </w:p>
    <w:p w14:paraId="639CBC15" w14:textId="77777777" w:rsidR="00923656" w:rsidRDefault="00923656" w:rsidP="00ED6410">
      <w:pPr>
        <w:pStyle w:val="datumtevilka"/>
        <w:rPr>
          <w:rFonts w:cs="Arial"/>
        </w:rPr>
      </w:pPr>
    </w:p>
    <w:p w14:paraId="01A3E0C2" w14:textId="77777777" w:rsidR="00923656" w:rsidRDefault="00923656" w:rsidP="00ED6410">
      <w:pPr>
        <w:pStyle w:val="datumtevilka"/>
        <w:rPr>
          <w:rFonts w:cs="Arial"/>
        </w:rPr>
      </w:pPr>
    </w:p>
    <w:p w14:paraId="151C56FF" w14:textId="77777777" w:rsidR="00923656" w:rsidRDefault="00923656" w:rsidP="00ED6410">
      <w:pPr>
        <w:pStyle w:val="datumtevilka"/>
        <w:rPr>
          <w:rFonts w:cs="Arial"/>
        </w:rPr>
      </w:pPr>
    </w:p>
    <w:p w14:paraId="103688F4" w14:textId="06F2365E" w:rsidR="00ED6410" w:rsidRPr="0056780B" w:rsidRDefault="00ED6410" w:rsidP="00ED6410">
      <w:pPr>
        <w:pStyle w:val="datumtevilka"/>
        <w:rPr>
          <w:rFonts w:cs="Arial"/>
        </w:rPr>
      </w:pPr>
      <w:r w:rsidRPr="0056780B">
        <w:rPr>
          <w:rFonts w:cs="Arial"/>
        </w:rPr>
        <w:t xml:space="preserve">Številka: </w:t>
      </w:r>
      <w:r w:rsidRPr="0056780B">
        <w:rPr>
          <w:rFonts w:cs="Arial"/>
        </w:rPr>
        <w:tab/>
      </w:r>
      <w:r w:rsidR="00A822C1" w:rsidRPr="00A822C1">
        <w:t>0100-552/2023</w:t>
      </w:r>
      <w:r w:rsidRPr="00A822C1">
        <w:rPr>
          <w:rFonts w:cs="Arial"/>
        </w:rPr>
        <w:t>/2</w:t>
      </w:r>
    </w:p>
    <w:p w14:paraId="1730C405" w14:textId="3351B66C" w:rsidR="00ED6410" w:rsidRPr="0056780B" w:rsidRDefault="00ED6410" w:rsidP="00ED6410">
      <w:pPr>
        <w:pStyle w:val="datumtevilka"/>
        <w:rPr>
          <w:rFonts w:cs="Arial"/>
        </w:rPr>
      </w:pPr>
      <w:r w:rsidRPr="0056780B">
        <w:rPr>
          <w:rFonts w:cs="Arial"/>
        </w:rPr>
        <w:t xml:space="preserve">Datum: </w:t>
      </w:r>
      <w:r w:rsidRPr="0056780B">
        <w:rPr>
          <w:rFonts w:cs="Arial"/>
        </w:rPr>
        <w:tab/>
        <w:t xml:space="preserve">26. 6. 2023 </w:t>
      </w:r>
    </w:p>
    <w:p w14:paraId="44DCC351" w14:textId="77777777" w:rsidR="00ED6410" w:rsidRPr="0056780B" w:rsidRDefault="00ED6410" w:rsidP="00ED6410">
      <w:pPr>
        <w:rPr>
          <w:rFonts w:cs="Arial"/>
          <w:szCs w:val="20"/>
          <w:lang w:val="sl-SI"/>
        </w:rPr>
      </w:pPr>
    </w:p>
    <w:p w14:paraId="643DC98C" w14:textId="77777777" w:rsidR="00ED6410" w:rsidRPr="00923656" w:rsidRDefault="00ED6410" w:rsidP="00ED6410">
      <w:pPr>
        <w:rPr>
          <w:rFonts w:cs="Arial"/>
          <w:color w:val="000000" w:themeColor="text1"/>
          <w:szCs w:val="20"/>
          <w:lang w:val="sl-SI"/>
        </w:rPr>
      </w:pPr>
    </w:p>
    <w:p w14:paraId="3169F8DF" w14:textId="09701E41" w:rsidR="00ED6410" w:rsidRPr="00923656" w:rsidRDefault="00ED6410" w:rsidP="00923656">
      <w:pPr>
        <w:pStyle w:val="Naslov1"/>
        <w:rPr>
          <w:rFonts w:ascii="Arial" w:hAnsi="Arial" w:cs="Arial"/>
          <w:b/>
          <w:bCs/>
          <w:color w:val="000000" w:themeColor="text1"/>
          <w:sz w:val="20"/>
          <w:szCs w:val="20"/>
          <w:lang w:val="sl-SI"/>
        </w:rPr>
      </w:pPr>
      <w:r w:rsidRPr="00923656">
        <w:rPr>
          <w:rFonts w:ascii="Arial" w:hAnsi="Arial" w:cs="Arial"/>
          <w:color w:val="000000" w:themeColor="text1"/>
          <w:sz w:val="20"/>
          <w:szCs w:val="20"/>
          <w:lang w:val="sl-SI"/>
        </w:rPr>
        <w:t xml:space="preserve">Zadeva: </w:t>
      </w:r>
      <w:r w:rsidR="00040502" w:rsidRPr="00923656">
        <w:rPr>
          <w:rFonts w:ascii="Arial" w:hAnsi="Arial" w:cs="Arial"/>
          <w:b/>
          <w:bCs/>
          <w:color w:val="000000" w:themeColor="text1"/>
          <w:sz w:val="20"/>
          <w:szCs w:val="20"/>
          <w:lang w:val="sl-SI"/>
        </w:rPr>
        <w:t>Odgovori na vprašanj</w:t>
      </w:r>
      <w:r w:rsidR="00152A5D" w:rsidRPr="00923656">
        <w:rPr>
          <w:rFonts w:ascii="Arial" w:hAnsi="Arial" w:cs="Arial"/>
          <w:b/>
          <w:bCs/>
          <w:color w:val="000000" w:themeColor="text1"/>
          <w:sz w:val="20"/>
          <w:szCs w:val="20"/>
          <w:lang w:val="sl-SI"/>
        </w:rPr>
        <w:t>a</w:t>
      </w:r>
      <w:r w:rsidR="00040502" w:rsidRPr="00923656">
        <w:rPr>
          <w:rFonts w:ascii="Arial" w:hAnsi="Arial" w:cs="Arial"/>
          <w:b/>
          <w:bCs/>
          <w:color w:val="000000" w:themeColor="text1"/>
          <w:sz w:val="20"/>
          <w:szCs w:val="20"/>
          <w:lang w:val="sl-SI"/>
        </w:rPr>
        <w:t xml:space="preserve"> glede i</w:t>
      </w:r>
      <w:r w:rsidRPr="00923656">
        <w:rPr>
          <w:rFonts w:ascii="Arial" w:hAnsi="Arial" w:cs="Arial"/>
          <w:b/>
          <w:bCs/>
          <w:color w:val="000000" w:themeColor="text1"/>
          <w:sz w:val="20"/>
          <w:szCs w:val="20"/>
          <w:lang w:val="sl-SI"/>
        </w:rPr>
        <w:t>zplačil</w:t>
      </w:r>
      <w:r w:rsidR="00040502" w:rsidRPr="00923656">
        <w:rPr>
          <w:rFonts w:ascii="Arial" w:hAnsi="Arial" w:cs="Arial"/>
          <w:b/>
          <w:bCs/>
          <w:color w:val="000000" w:themeColor="text1"/>
          <w:sz w:val="20"/>
          <w:szCs w:val="20"/>
          <w:lang w:val="sl-SI"/>
        </w:rPr>
        <w:t>a</w:t>
      </w:r>
      <w:r w:rsidRPr="00923656">
        <w:rPr>
          <w:rFonts w:ascii="Arial" w:hAnsi="Arial" w:cs="Arial"/>
          <w:b/>
          <w:bCs/>
          <w:color w:val="000000" w:themeColor="text1"/>
          <w:sz w:val="20"/>
          <w:szCs w:val="20"/>
          <w:lang w:val="sl-SI"/>
        </w:rPr>
        <w:t xml:space="preserve"> delovne uspešnosti iz naslova povečanega</w:t>
      </w:r>
      <w:r w:rsidR="00923656" w:rsidRPr="00923656">
        <w:rPr>
          <w:rFonts w:ascii="Arial" w:hAnsi="Arial" w:cs="Arial"/>
          <w:b/>
          <w:bCs/>
          <w:color w:val="000000" w:themeColor="text1"/>
          <w:sz w:val="20"/>
          <w:szCs w:val="20"/>
          <w:lang w:val="sl-SI"/>
        </w:rPr>
        <w:t xml:space="preserve"> </w:t>
      </w:r>
      <w:r w:rsidR="00923656">
        <w:rPr>
          <w:rFonts w:ascii="Arial" w:hAnsi="Arial" w:cs="Arial"/>
          <w:b/>
          <w:bCs/>
          <w:color w:val="000000" w:themeColor="text1"/>
          <w:sz w:val="20"/>
          <w:szCs w:val="20"/>
          <w:lang w:val="sl-SI"/>
        </w:rPr>
        <w:t>o</w:t>
      </w:r>
      <w:r w:rsidRPr="00923656">
        <w:rPr>
          <w:rFonts w:ascii="Arial" w:hAnsi="Arial" w:cs="Arial"/>
          <w:b/>
          <w:bCs/>
          <w:color w:val="000000" w:themeColor="text1"/>
          <w:sz w:val="20"/>
          <w:szCs w:val="20"/>
          <w:lang w:val="sl-SI"/>
        </w:rPr>
        <w:t>bsega dela iz sredstev</w:t>
      </w:r>
      <w:r w:rsidR="00040502" w:rsidRPr="00923656">
        <w:rPr>
          <w:rFonts w:ascii="Arial" w:hAnsi="Arial" w:cs="Arial"/>
          <w:b/>
          <w:bCs/>
          <w:color w:val="000000" w:themeColor="text1"/>
          <w:sz w:val="20"/>
          <w:szCs w:val="20"/>
          <w:lang w:val="sl-SI"/>
        </w:rPr>
        <w:t xml:space="preserve"> </w:t>
      </w:r>
      <w:r w:rsidRPr="00923656">
        <w:rPr>
          <w:rFonts w:ascii="Arial" w:hAnsi="Arial" w:cs="Arial"/>
          <w:b/>
          <w:bCs/>
          <w:color w:val="000000" w:themeColor="text1"/>
          <w:sz w:val="20"/>
          <w:szCs w:val="20"/>
          <w:lang w:val="sl-SI"/>
        </w:rPr>
        <w:t>projekta</w:t>
      </w:r>
    </w:p>
    <w:p w14:paraId="00524EBD" w14:textId="77777777" w:rsidR="00ED6410" w:rsidRPr="0056780B" w:rsidRDefault="00ED6410" w:rsidP="0056780B">
      <w:pPr>
        <w:spacing w:line="240" w:lineRule="exact"/>
        <w:jc w:val="both"/>
        <w:rPr>
          <w:rFonts w:cs="Arial"/>
          <w:szCs w:val="20"/>
          <w:lang w:val="sl-SI"/>
        </w:rPr>
      </w:pPr>
    </w:p>
    <w:p w14:paraId="42FBFFF4" w14:textId="77777777" w:rsidR="00ED6410" w:rsidRPr="0056780B" w:rsidRDefault="00ED6410" w:rsidP="00ED6410">
      <w:pPr>
        <w:spacing w:line="240" w:lineRule="exact"/>
        <w:jc w:val="both"/>
        <w:rPr>
          <w:rFonts w:cs="Arial"/>
          <w:szCs w:val="20"/>
          <w:lang w:val="sl-SI"/>
        </w:rPr>
      </w:pPr>
    </w:p>
    <w:p w14:paraId="2DDDA873" w14:textId="08B1E7B7" w:rsidR="00ED6410" w:rsidRPr="0056780B" w:rsidRDefault="00ED6410" w:rsidP="00ED6410">
      <w:pPr>
        <w:spacing w:line="240" w:lineRule="exact"/>
        <w:jc w:val="both"/>
        <w:rPr>
          <w:rFonts w:cs="Arial"/>
          <w:szCs w:val="20"/>
          <w:lang w:val="sl-SI"/>
        </w:rPr>
      </w:pPr>
      <w:r w:rsidRPr="0056780B">
        <w:rPr>
          <w:rFonts w:cs="Arial"/>
          <w:szCs w:val="20"/>
          <w:lang w:val="sl-SI"/>
        </w:rPr>
        <w:t>Prejeli smo vaš</w:t>
      </w:r>
      <w:r w:rsidR="00B32992">
        <w:rPr>
          <w:rFonts w:cs="Arial"/>
          <w:szCs w:val="20"/>
          <w:lang w:val="sl-SI"/>
        </w:rPr>
        <w:t>e</w:t>
      </w:r>
      <w:r w:rsidRPr="0056780B">
        <w:rPr>
          <w:rFonts w:cs="Arial"/>
          <w:szCs w:val="20"/>
          <w:lang w:val="sl-SI"/>
        </w:rPr>
        <w:t xml:space="preserve"> </w:t>
      </w:r>
      <w:r w:rsidR="00B32992">
        <w:rPr>
          <w:rFonts w:cs="Arial"/>
          <w:szCs w:val="20"/>
          <w:lang w:val="sl-SI"/>
        </w:rPr>
        <w:t xml:space="preserve">zaprosilo </w:t>
      </w:r>
      <w:r w:rsidRPr="0056780B">
        <w:rPr>
          <w:rFonts w:cs="Arial"/>
          <w:szCs w:val="20"/>
          <w:lang w:val="sl-SI"/>
        </w:rPr>
        <w:t xml:space="preserve">za odgovore na konkretna vprašanje glede izplačevanja delovne uspešnosti iz naslova povečanega obsega dela v primeru, ko javni uslužbenci opravljajo povečan obseg dela na projektu in se delovna uspešnost izplačuje iz sredstev projekta. </w:t>
      </w:r>
    </w:p>
    <w:p w14:paraId="68497BEF" w14:textId="66246068" w:rsidR="00ED6410" w:rsidRPr="0056780B" w:rsidRDefault="00ED6410" w:rsidP="00ED6410">
      <w:pPr>
        <w:spacing w:line="240" w:lineRule="exact"/>
        <w:jc w:val="both"/>
        <w:rPr>
          <w:rFonts w:cs="Arial"/>
          <w:szCs w:val="20"/>
          <w:lang w:val="sl-SI"/>
        </w:rPr>
      </w:pPr>
    </w:p>
    <w:p w14:paraId="1C9354CB" w14:textId="6D5DD5FC" w:rsidR="00ED6410" w:rsidRDefault="00ED6410" w:rsidP="00ED6410">
      <w:pPr>
        <w:spacing w:line="240" w:lineRule="exact"/>
        <w:jc w:val="both"/>
        <w:rPr>
          <w:rFonts w:cs="Arial"/>
          <w:szCs w:val="20"/>
          <w:lang w:val="sl-SI"/>
        </w:rPr>
      </w:pPr>
      <w:r w:rsidRPr="0056780B">
        <w:rPr>
          <w:rFonts w:cs="Arial"/>
          <w:szCs w:val="20"/>
          <w:lang w:val="sl-SI"/>
        </w:rPr>
        <w:t xml:space="preserve">V nadaljevanju </w:t>
      </w:r>
      <w:r w:rsidR="00B32992">
        <w:rPr>
          <w:rFonts w:cs="Arial"/>
          <w:szCs w:val="20"/>
          <w:lang w:val="sl-SI"/>
        </w:rPr>
        <w:t>podajamo</w:t>
      </w:r>
      <w:r w:rsidRPr="0056780B">
        <w:rPr>
          <w:rFonts w:cs="Arial"/>
          <w:szCs w:val="20"/>
          <w:lang w:val="sl-SI"/>
        </w:rPr>
        <w:t xml:space="preserve"> </w:t>
      </w:r>
      <w:r w:rsidR="0056780B" w:rsidRPr="0056780B">
        <w:rPr>
          <w:rFonts w:cs="Arial"/>
          <w:szCs w:val="20"/>
          <w:lang w:val="sl-SI"/>
        </w:rPr>
        <w:t>odgovore na vaša vprašanja:</w:t>
      </w:r>
    </w:p>
    <w:p w14:paraId="16DDC4E3" w14:textId="77777777" w:rsidR="0056780B" w:rsidRPr="0056780B" w:rsidRDefault="0056780B" w:rsidP="00ED6410">
      <w:pPr>
        <w:spacing w:line="240" w:lineRule="exact"/>
        <w:jc w:val="both"/>
        <w:rPr>
          <w:rFonts w:cs="Arial"/>
          <w:szCs w:val="20"/>
          <w:lang w:val="sl-SI"/>
        </w:rPr>
      </w:pPr>
    </w:p>
    <w:p w14:paraId="47785C4F" w14:textId="6F7A2753" w:rsidR="0056780B" w:rsidRPr="0056780B" w:rsidRDefault="0056780B" w:rsidP="00ED6410">
      <w:pPr>
        <w:spacing w:line="240" w:lineRule="exact"/>
        <w:jc w:val="both"/>
        <w:rPr>
          <w:rFonts w:cs="Arial"/>
          <w:szCs w:val="20"/>
          <w:lang w:val="sl-SI"/>
        </w:rPr>
      </w:pPr>
    </w:p>
    <w:p w14:paraId="6CF6FA38" w14:textId="646A40C5" w:rsidR="0056780B" w:rsidRPr="0056780B" w:rsidRDefault="0056780B" w:rsidP="0056780B">
      <w:pPr>
        <w:pStyle w:val="Odstavekseznama"/>
        <w:numPr>
          <w:ilvl w:val="0"/>
          <w:numId w:val="2"/>
        </w:numPr>
        <w:jc w:val="both"/>
        <w:rPr>
          <w:rFonts w:ascii="Arial" w:hAnsi="Arial" w:cs="Arial"/>
          <w:b/>
          <w:bCs/>
          <w:sz w:val="20"/>
          <w:szCs w:val="20"/>
        </w:rPr>
      </w:pPr>
      <w:r w:rsidRPr="0056780B">
        <w:rPr>
          <w:rFonts w:ascii="Arial" w:hAnsi="Arial" w:cs="Arial"/>
          <w:b/>
          <w:bCs/>
          <w:sz w:val="20"/>
          <w:szCs w:val="20"/>
        </w:rPr>
        <w:t xml:space="preserve">Ali zakonodaja omogoča, da oseba, ki je sicer zaposlena za izvajanje integralnih nalog, lahko opravlja naloge </w:t>
      </w:r>
      <w:r w:rsidRPr="0056780B">
        <w:rPr>
          <w:rFonts w:ascii="Arial" w:hAnsi="Arial" w:cs="Arial"/>
          <w:b/>
          <w:bCs/>
          <w:sz w:val="20"/>
          <w:szCs w:val="20"/>
          <w:u w:val="single"/>
        </w:rPr>
        <w:t>na projektu</w:t>
      </w:r>
      <w:r w:rsidRPr="0056780B">
        <w:rPr>
          <w:rFonts w:ascii="Arial" w:hAnsi="Arial" w:cs="Arial"/>
          <w:b/>
          <w:bCs/>
          <w:sz w:val="20"/>
          <w:szCs w:val="20"/>
        </w:rPr>
        <w:t xml:space="preserve"> v okviru povečanega obsega dela? Ali mora biti nujno v deležu zaposlena tudi za izvajanje nalog na projektu? </w:t>
      </w:r>
    </w:p>
    <w:p w14:paraId="08B7308F" w14:textId="5B439FEE" w:rsidR="0056780B" w:rsidRDefault="0056780B" w:rsidP="0056780B">
      <w:pPr>
        <w:jc w:val="both"/>
        <w:rPr>
          <w:rFonts w:cs="Arial"/>
          <w:szCs w:val="20"/>
          <w:lang w:val="sl-SI"/>
        </w:rPr>
      </w:pPr>
      <w:r w:rsidRPr="0056780B">
        <w:rPr>
          <w:rFonts w:cs="Arial"/>
          <w:szCs w:val="20"/>
          <w:lang w:val="sl-SI"/>
        </w:rPr>
        <w:t xml:space="preserve">Ministrstvo za javno upravo je v mnenju: </w:t>
      </w:r>
      <w:hyperlink r:id="rId7" w:history="1">
        <w:r w:rsidRPr="0056780B">
          <w:rPr>
            <w:rStyle w:val="Hiperpovezava"/>
            <w:rFonts w:cs="Arial"/>
            <w:szCs w:val="20"/>
            <w:lang w:val="sl-SI"/>
          </w:rPr>
          <w:t>Izplačilo delovne uspešnosti iz naslova povečanega obsega dela (7. 5. 2019)</w:t>
        </w:r>
      </w:hyperlink>
      <w:r w:rsidRPr="0056780B">
        <w:rPr>
          <w:rFonts w:cs="Arial"/>
          <w:szCs w:val="20"/>
          <w:lang w:val="sl-SI"/>
        </w:rPr>
        <w:t xml:space="preserve"> pojasnilo, da se javnemu uslužbencu lahko delovna uspešnost iz naslova povečanega obsega dela izplačuje za opravljanje povečanega obsega dela pri opravljanju rednih nalog, pri čemer so vir sredstev prihranki, </w:t>
      </w:r>
      <w:r w:rsidRPr="0056780B">
        <w:rPr>
          <w:rFonts w:cs="Arial"/>
          <w:b/>
          <w:bCs/>
          <w:szCs w:val="20"/>
          <w:u w:val="single"/>
          <w:lang w:val="sl-SI"/>
        </w:rPr>
        <w:t>in za opravljanje povečanega obsega dela pri opravljanju nalog na projektu, pri čemer mora biti iz posebnega akta (na primer sklep o imenovanju projektne skupine, aneks k pogodbi o zaposlitvi) razvidno, da javni uslužbenec opravlja delo tudi na projektu;</w:t>
      </w:r>
      <w:r w:rsidRPr="0056780B">
        <w:rPr>
          <w:rFonts w:cs="Arial"/>
          <w:szCs w:val="20"/>
          <w:lang w:val="sl-SI"/>
        </w:rPr>
        <w:t xml:space="preserve"> vir sredstev v tem primeru so prihranki na postavki za plače (odsotnost na primer zaradi bolezni, nezasedena delovna mesta) v okviru projekta in sredstva, ki so v okviru finančnega načrta projekta namenjena za stroške dela. </w:t>
      </w:r>
    </w:p>
    <w:p w14:paraId="4C5B498C" w14:textId="77777777" w:rsidR="0056780B" w:rsidRPr="0056780B" w:rsidRDefault="0056780B" w:rsidP="0056780B">
      <w:pPr>
        <w:jc w:val="both"/>
        <w:rPr>
          <w:rFonts w:cs="Arial"/>
          <w:szCs w:val="20"/>
          <w:lang w:val="sl-SI"/>
        </w:rPr>
      </w:pPr>
    </w:p>
    <w:p w14:paraId="76CE95B1" w14:textId="3FFC0045" w:rsidR="0056780B" w:rsidRDefault="0056780B" w:rsidP="0056780B">
      <w:pPr>
        <w:jc w:val="both"/>
        <w:rPr>
          <w:rFonts w:cs="Arial"/>
          <w:szCs w:val="20"/>
          <w:lang w:val="sl-SI"/>
        </w:rPr>
      </w:pPr>
      <w:r w:rsidRPr="0056780B">
        <w:rPr>
          <w:rFonts w:cs="Arial"/>
          <w:szCs w:val="20"/>
          <w:lang w:val="sl-SI"/>
        </w:rPr>
        <w:t xml:space="preserve">Navedeno stališče ministrstva izhaja iz veljavnih določb Zakona o sistemu plač v javnem sektorju (Uradni list RS, št. </w:t>
      </w:r>
      <w:hyperlink r:id="rId8" w:tgtFrame="_blank" w:tooltip="Zakon o sistemu plač v javnem sektorju (uradno prečiščeno besedilo)" w:history="1">
        <w:r w:rsidRPr="0056780B">
          <w:rPr>
            <w:lang w:val="sl-SI"/>
          </w:rPr>
          <w:t>108/09</w:t>
        </w:r>
      </w:hyperlink>
      <w:r w:rsidRPr="0056780B">
        <w:rPr>
          <w:rFonts w:cs="Arial"/>
          <w:szCs w:val="20"/>
          <w:lang w:val="sl-SI"/>
        </w:rPr>
        <w:t xml:space="preserve"> – uradno prečiščeno besedilo, </w:t>
      </w:r>
      <w:hyperlink r:id="rId9" w:tgtFrame="_blank" w:tooltip="Zakon o spremembah Zakona o sistemu plač v javnem sektorju" w:history="1">
        <w:r w:rsidRPr="0056780B">
          <w:rPr>
            <w:lang w:val="sl-SI"/>
          </w:rPr>
          <w:t>13/10</w:t>
        </w:r>
      </w:hyperlink>
      <w:r w:rsidRPr="0056780B">
        <w:rPr>
          <w:rFonts w:cs="Arial"/>
          <w:szCs w:val="20"/>
          <w:lang w:val="sl-SI"/>
        </w:rPr>
        <w:t xml:space="preserve">, </w:t>
      </w:r>
      <w:hyperlink r:id="rId10" w:tgtFrame="_blank" w:tooltip="Zakon o spremembah in dopolnitvah Zakona o sistemu plač v javnem sektorju" w:history="1">
        <w:r w:rsidRPr="0056780B">
          <w:rPr>
            <w:lang w:val="sl-SI"/>
          </w:rPr>
          <w:t>59/10</w:t>
        </w:r>
      </w:hyperlink>
      <w:r w:rsidRPr="0056780B">
        <w:rPr>
          <w:rFonts w:cs="Arial"/>
          <w:szCs w:val="20"/>
          <w:lang w:val="sl-SI"/>
        </w:rPr>
        <w:t xml:space="preserve">, </w:t>
      </w:r>
      <w:hyperlink r:id="rId11" w:tgtFrame="_blank" w:tooltip="Zakon o spremembi Zakona o sistemu plač v javnem sektorju" w:history="1">
        <w:r w:rsidRPr="0056780B">
          <w:rPr>
            <w:lang w:val="sl-SI"/>
          </w:rPr>
          <w:t>85/10</w:t>
        </w:r>
      </w:hyperlink>
      <w:r w:rsidRPr="0056780B">
        <w:rPr>
          <w:rFonts w:cs="Arial"/>
          <w:szCs w:val="20"/>
          <w:lang w:val="sl-SI"/>
        </w:rPr>
        <w:t xml:space="preserve">, </w:t>
      </w:r>
      <w:hyperlink r:id="rId12" w:tgtFrame="_blank" w:tooltip="Zakon o spremembi Zakona o sistemu plač v javnem sektorju" w:history="1">
        <w:r w:rsidRPr="0056780B">
          <w:rPr>
            <w:lang w:val="sl-SI"/>
          </w:rPr>
          <w:t>107/10</w:t>
        </w:r>
      </w:hyperlink>
      <w:r w:rsidRPr="0056780B">
        <w:rPr>
          <w:rFonts w:cs="Arial"/>
          <w:szCs w:val="20"/>
          <w:lang w:val="sl-SI"/>
        </w:rPr>
        <w:t xml:space="preserve">, </w:t>
      </w:r>
      <w:hyperlink r:id="rId13" w:tgtFrame="_blank" w:tooltip="Avtentična razlaga 49.a člena Zakona o sistemu plač v javnem sektorju" w:history="1">
        <w:r w:rsidRPr="0056780B">
          <w:rPr>
            <w:lang w:val="sl-SI"/>
          </w:rPr>
          <w:t>35/11</w:t>
        </w:r>
      </w:hyperlink>
      <w:r w:rsidRPr="0056780B">
        <w:rPr>
          <w:rFonts w:cs="Arial"/>
          <w:szCs w:val="20"/>
          <w:lang w:val="sl-SI"/>
        </w:rPr>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56780B">
          <w:rPr>
            <w:lang w:val="sl-SI"/>
          </w:rPr>
          <w:t>27/12</w:t>
        </w:r>
      </w:hyperlink>
      <w:r w:rsidRPr="0056780B">
        <w:rPr>
          <w:rFonts w:cs="Arial"/>
          <w:szCs w:val="20"/>
          <w:lang w:val="sl-SI"/>
        </w:rPr>
        <w:t xml:space="preserve"> – </w:t>
      </w:r>
      <w:proofErr w:type="spellStart"/>
      <w:r w:rsidRPr="0056780B">
        <w:rPr>
          <w:rFonts w:cs="Arial"/>
          <w:szCs w:val="20"/>
          <w:lang w:val="sl-SI"/>
        </w:rPr>
        <w:t>odl</w:t>
      </w:r>
      <w:proofErr w:type="spellEnd"/>
      <w:r w:rsidRPr="0056780B">
        <w:rPr>
          <w:rFonts w:cs="Arial"/>
          <w:szCs w:val="20"/>
          <w:lang w:val="sl-SI"/>
        </w:rPr>
        <w:t xml:space="preserve">. US, </w:t>
      </w:r>
      <w:hyperlink r:id="rId15" w:tgtFrame="_blank" w:tooltip="Zakon za uravnoteženje javnih financ" w:history="1">
        <w:r w:rsidRPr="0056780B">
          <w:rPr>
            <w:lang w:val="sl-SI"/>
          </w:rPr>
          <w:t>40/12</w:t>
        </w:r>
      </w:hyperlink>
      <w:r w:rsidRPr="0056780B">
        <w:rPr>
          <w:rFonts w:cs="Arial"/>
          <w:szCs w:val="20"/>
          <w:lang w:val="sl-SI"/>
        </w:rPr>
        <w:t xml:space="preserve"> – ZUJF, </w:t>
      </w:r>
      <w:hyperlink r:id="rId16" w:tgtFrame="_blank" w:tooltip="Zakon o spremembi in dopolnitvah Zakona o sistemu plač v javnem sektorju" w:history="1">
        <w:r w:rsidRPr="0056780B">
          <w:rPr>
            <w:lang w:val="sl-SI"/>
          </w:rPr>
          <w:t>46/13</w:t>
        </w:r>
      </w:hyperlink>
      <w:r w:rsidRPr="0056780B">
        <w:rPr>
          <w:rFonts w:cs="Arial"/>
          <w:szCs w:val="20"/>
          <w:lang w:val="sl-SI"/>
        </w:rPr>
        <w:t xml:space="preserve">, </w:t>
      </w:r>
      <w:hyperlink r:id="rId17" w:tgtFrame="_blank" w:tooltip="Zakon o finančni upravi" w:history="1">
        <w:r w:rsidRPr="0056780B">
          <w:rPr>
            <w:lang w:val="sl-SI"/>
          </w:rPr>
          <w:t>25/14</w:t>
        </w:r>
      </w:hyperlink>
      <w:r w:rsidRPr="0056780B">
        <w:rPr>
          <w:rFonts w:cs="Arial"/>
          <w:szCs w:val="20"/>
          <w:lang w:val="sl-SI"/>
        </w:rPr>
        <w:t xml:space="preserve"> – ZFU, </w:t>
      </w:r>
      <w:hyperlink r:id="rId18" w:tgtFrame="_blank" w:tooltip="Zakon o spremembah Zakona o sistemu plač v javnem sektorju" w:history="1">
        <w:r w:rsidRPr="0056780B">
          <w:rPr>
            <w:lang w:val="sl-SI"/>
          </w:rPr>
          <w:t>50/14</w:t>
        </w:r>
      </w:hyperlink>
      <w:r w:rsidRPr="0056780B">
        <w:rPr>
          <w:rFonts w:cs="Arial"/>
          <w:szCs w:val="20"/>
          <w:lang w:val="sl-SI"/>
        </w:rPr>
        <w:t xml:space="preserve">, </w:t>
      </w:r>
      <w:hyperlink r:id="rId19" w:tgtFrame="_blank" w:tooltip="Zakon o ukrepih na področju plač in drugih stroškov dela v javnem sektorju za leto 2015" w:history="1">
        <w:r w:rsidRPr="0056780B">
          <w:rPr>
            <w:lang w:val="sl-SI"/>
          </w:rPr>
          <w:t>95/14</w:t>
        </w:r>
      </w:hyperlink>
      <w:r w:rsidRPr="0056780B">
        <w:rPr>
          <w:rFonts w:cs="Arial"/>
          <w:szCs w:val="20"/>
          <w:lang w:val="sl-SI"/>
        </w:rPr>
        <w:t xml:space="preserve"> – ZUPPJS15, </w:t>
      </w:r>
      <w:hyperlink r:id="rId20" w:tgtFrame="_blank" w:tooltip="Zakon o dopolnitvi Zakona o sistemu plač v javnem sektorju" w:history="1">
        <w:r w:rsidRPr="0056780B">
          <w:rPr>
            <w:lang w:val="sl-SI"/>
          </w:rPr>
          <w:t>82/15</w:t>
        </w:r>
      </w:hyperlink>
      <w:r w:rsidRPr="0056780B">
        <w:rPr>
          <w:rFonts w:cs="Arial"/>
          <w:szCs w:val="20"/>
          <w:lang w:val="sl-SI"/>
        </w:rPr>
        <w:t xml:space="preserve">, </w:t>
      </w:r>
      <w:hyperlink r:id="rId21" w:tgtFrame="_blank" w:tooltip="Zakon o državnem odvetništvu" w:history="1">
        <w:r w:rsidRPr="0056780B">
          <w:rPr>
            <w:lang w:val="sl-SI"/>
          </w:rPr>
          <w:t>23/17</w:t>
        </w:r>
      </w:hyperlink>
      <w:r w:rsidRPr="0056780B">
        <w:rPr>
          <w:rFonts w:cs="Arial"/>
          <w:szCs w:val="20"/>
          <w:lang w:val="sl-SI"/>
        </w:rPr>
        <w:t xml:space="preserve"> – </w:t>
      </w:r>
      <w:proofErr w:type="spellStart"/>
      <w:r w:rsidRPr="0056780B">
        <w:rPr>
          <w:rFonts w:cs="Arial"/>
          <w:szCs w:val="20"/>
          <w:lang w:val="sl-SI"/>
        </w:rPr>
        <w:t>ZDOdv</w:t>
      </w:r>
      <w:proofErr w:type="spellEnd"/>
      <w:r w:rsidRPr="0056780B">
        <w:rPr>
          <w:rFonts w:cs="Arial"/>
          <w:szCs w:val="20"/>
          <w:lang w:val="sl-SI"/>
        </w:rPr>
        <w:t xml:space="preserve">, </w:t>
      </w:r>
      <w:hyperlink r:id="rId22" w:tgtFrame="_blank" w:tooltip="Zakon o spremembah Zakona o sistemu plač v javnem sektorju" w:history="1">
        <w:r w:rsidRPr="0056780B">
          <w:rPr>
            <w:lang w:val="sl-SI"/>
          </w:rPr>
          <w:t>67/17</w:t>
        </w:r>
      </w:hyperlink>
      <w:r w:rsidRPr="0056780B">
        <w:rPr>
          <w:rFonts w:cs="Arial"/>
          <w:szCs w:val="20"/>
          <w:lang w:val="sl-SI"/>
        </w:rPr>
        <w:t xml:space="preserve">, </w:t>
      </w:r>
      <w:hyperlink r:id="rId23" w:tgtFrame="_blank" w:tooltip="Zakon o spremembi in dopolnitvah Zakona o sistemu plač v javnem sektorju" w:history="1">
        <w:r w:rsidRPr="0056780B">
          <w:rPr>
            <w:lang w:val="sl-SI"/>
          </w:rPr>
          <w:t>84/18</w:t>
        </w:r>
      </w:hyperlink>
      <w:r w:rsidRPr="0056780B">
        <w:rPr>
          <w:rFonts w:cs="Arial"/>
          <w:szCs w:val="20"/>
          <w:lang w:val="sl-SI"/>
        </w:rPr>
        <w:t xml:space="preserve">, </w:t>
      </w:r>
      <w:hyperlink r:id="rId24" w:tgtFrame="_blank" w:tooltip="Zakon o spremembi Zakona o sistemu plač v javnem sektorju" w:history="1">
        <w:r w:rsidRPr="0056780B">
          <w:rPr>
            <w:lang w:val="sl-SI"/>
          </w:rPr>
          <w:t>204/21</w:t>
        </w:r>
      </w:hyperlink>
      <w:r w:rsidRPr="0056780B">
        <w:rPr>
          <w:rFonts w:cs="Arial"/>
          <w:szCs w:val="20"/>
          <w:lang w:val="sl-SI"/>
        </w:rPr>
        <w:t xml:space="preserve"> in </w:t>
      </w:r>
      <w:hyperlink r:id="rId25" w:tgtFrame="_blank" w:tooltip="Zakon o spremembah in dopolnitvah Zakona o sistemu plač v javnem sektorju" w:history="1">
        <w:r w:rsidRPr="0056780B">
          <w:rPr>
            <w:lang w:val="sl-SI"/>
          </w:rPr>
          <w:t>139/22</w:t>
        </w:r>
      </w:hyperlink>
      <w:r>
        <w:rPr>
          <w:lang w:val="sl-SI"/>
        </w:rPr>
        <w:t>; v nadaljevanju: ZSPJS</w:t>
      </w:r>
      <w:r w:rsidRPr="0056780B">
        <w:rPr>
          <w:rFonts w:cs="Arial"/>
          <w:szCs w:val="20"/>
          <w:lang w:val="sl-SI"/>
        </w:rPr>
        <w:t xml:space="preserve">) in Uredbe o delovni uspešnosti iz naslova povečanega obsega dela za javne uslužbence (Uradni list RS, št. </w:t>
      </w:r>
      <w:hyperlink r:id="rId26" w:tgtFrame="_blank" w:tooltip="Uredba o delovni uspešnosti iz naslova povečanega obsega dela za javne uslužbence" w:history="1">
        <w:r w:rsidRPr="0056780B">
          <w:rPr>
            <w:lang w:val="sl-SI"/>
          </w:rPr>
          <w:t>53/08</w:t>
        </w:r>
      </w:hyperlink>
      <w:r w:rsidRPr="0056780B">
        <w:rPr>
          <w:rFonts w:cs="Arial"/>
          <w:szCs w:val="20"/>
          <w:lang w:val="sl-SI"/>
        </w:rPr>
        <w:t xml:space="preserve">, </w:t>
      </w:r>
      <w:hyperlink r:id="rId27" w:tgtFrame="_blank" w:tooltip="Uredba o dopolnitvah Uredbe o delovni uspešnosti iz naslova povečanega obsega dela za javne uslužbence" w:history="1">
        <w:r w:rsidRPr="0056780B">
          <w:rPr>
            <w:lang w:val="sl-SI"/>
          </w:rPr>
          <w:t>89/08</w:t>
        </w:r>
      </w:hyperlink>
      <w:r w:rsidRPr="0056780B">
        <w:rPr>
          <w:rFonts w:cs="Arial"/>
          <w:szCs w:val="20"/>
          <w:lang w:val="sl-SI"/>
        </w:rPr>
        <w:t xml:space="preserve"> in </w:t>
      </w:r>
      <w:hyperlink r:id="rId28" w:tgtFrame="_blank" w:tooltip="Uredba o spremembah Uredbe o delovni uspešnosti iz naslova povečanega obsega dela za javne uslužbence" w:history="1">
        <w:r w:rsidRPr="0056780B">
          <w:rPr>
            <w:lang w:val="sl-SI"/>
          </w:rPr>
          <w:t>175/20</w:t>
        </w:r>
      </w:hyperlink>
      <w:r>
        <w:rPr>
          <w:lang w:val="sl-SI"/>
        </w:rPr>
        <w:t>; v nadaljevanju: Uredba</w:t>
      </w:r>
      <w:r w:rsidRPr="0056780B">
        <w:rPr>
          <w:rFonts w:cs="Arial"/>
          <w:szCs w:val="20"/>
          <w:lang w:val="sl-SI"/>
        </w:rPr>
        <w:t xml:space="preserve">), ki ne vežeta izplačila delovne uspešnosti iz naslova povečanega obsega dela iz sredstev projekta na zaposlitev javnega uslužbenca na projektu. Tudi javni uslužbenec, ki nima sklenjene pogodbe o zaposlitvi za opravljanje dela na projektu, je pa s sklepom imenovan npr. v projektno skupino in opravi povečan obseg dela v </w:t>
      </w:r>
      <w:r w:rsidRPr="0056780B">
        <w:rPr>
          <w:rFonts w:cs="Arial"/>
          <w:szCs w:val="20"/>
          <w:lang w:val="sl-SI"/>
        </w:rPr>
        <w:lastRenderedPageBreak/>
        <w:t xml:space="preserve">okviru projekta, lahko prejme izplačilo delovne uspešnosti iz naslova povečanega obsega dela pod predpostavko, da so za ta namen zagotovljena sredstva v okviru finančnega načrta projekta. </w:t>
      </w:r>
    </w:p>
    <w:p w14:paraId="1DDAA810" w14:textId="77777777" w:rsidR="0056780B" w:rsidRPr="0056780B" w:rsidRDefault="0056780B" w:rsidP="0056780B">
      <w:pPr>
        <w:jc w:val="both"/>
        <w:rPr>
          <w:rFonts w:cs="Arial"/>
          <w:szCs w:val="20"/>
          <w:lang w:val="sl-SI"/>
        </w:rPr>
      </w:pPr>
    </w:p>
    <w:p w14:paraId="6E51ACE5" w14:textId="77777777" w:rsidR="0056780B" w:rsidRPr="0056780B" w:rsidRDefault="0056780B" w:rsidP="0056780B">
      <w:pPr>
        <w:pStyle w:val="Odstavekseznama"/>
        <w:numPr>
          <w:ilvl w:val="0"/>
          <w:numId w:val="2"/>
        </w:numPr>
        <w:jc w:val="both"/>
        <w:rPr>
          <w:rFonts w:ascii="Arial" w:hAnsi="Arial" w:cs="Arial"/>
          <w:b/>
          <w:bCs/>
          <w:sz w:val="20"/>
          <w:szCs w:val="20"/>
        </w:rPr>
      </w:pPr>
      <w:r w:rsidRPr="0056780B">
        <w:rPr>
          <w:rFonts w:ascii="Arial" w:hAnsi="Arial" w:cs="Arial"/>
          <w:b/>
          <w:bCs/>
          <w:sz w:val="20"/>
          <w:szCs w:val="20"/>
        </w:rPr>
        <w:t>Ali zakonodaja predvideva beleženje ur, ki jih zaposleni opravi iz naslova povečanega obsega dela?</w:t>
      </w:r>
    </w:p>
    <w:p w14:paraId="3EAAF63C" w14:textId="652162C3" w:rsidR="0056780B" w:rsidRDefault="0056780B" w:rsidP="0056780B">
      <w:pPr>
        <w:jc w:val="both"/>
        <w:rPr>
          <w:rFonts w:cs="Arial"/>
          <w:szCs w:val="20"/>
          <w:lang w:val="sl-SI"/>
        </w:rPr>
      </w:pPr>
      <w:r w:rsidRPr="0056780B">
        <w:rPr>
          <w:rFonts w:cs="Arial"/>
          <w:szCs w:val="20"/>
          <w:lang w:val="sl-SI"/>
        </w:rPr>
        <w:t xml:space="preserve">Delovna uspešnost iz naslova povečanega obsega dela se ne obračunava od ur rednega dela, ampak od osnovne plače javnega uslužbenca (več o tem je pojasnjeno v odgovoru na 3. vprašanje), zato tudi posebno beleženje ur v ZSPJS in Uredbi ni predvideno, niti glede na institut delovne uspešnosti ni ustrezno. </w:t>
      </w:r>
    </w:p>
    <w:p w14:paraId="4CD6CA0D" w14:textId="77777777" w:rsidR="0056780B" w:rsidRPr="0056780B" w:rsidRDefault="0056780B" w:rsidP="0056780B">
      <w:pPr>
        <w:jc w:val="both"/>
        <w:rPr>
          <w:rFonts w:cs="Arial"/>
          <w:szCs w:val="20"/>
          <w:lang w:val="sl-SI"/>
        </w:rPr>
      </w:pPr>
    </w:p>
    <w:p w14:paraId="3FB5217B" w14:textId="41A32AFC" w:rsidR="0056780B" w:rsidRDefault="0056780B" w:rsidP="0056780B">
      <w:pPr>
        <w:jc w:val="both"/>
        <w:rPr>
          <w:rFonts w:cs="Arial"/>
          <w:szCs w:val="20"/>
          <w:lang w:val="sl-SI"/>
        </w:rPr>
      </w:pPr>
      <w:r w:rsidRPr="0056780B">
        <w:rPr>
          <w:rFonts w:cs="Arial"/>
          <w:szCs w:val="20"/>
          <w:lang w:val="sl-SI"/>
        </w:rPr>
        <w:t xml:space="preserve">Skladno s prvim odstavkom 22.e člena ZSPJS se lahko javnemu uslužbencu izplača del plače za delovno uspešnost iz naslova povečanega obsega dela </w:t>
      </w:r>
      <w:r w:rsidRPr="0056780B">
        <w:rPr>
          <w:rFonts w:cs="Arial"/>
          <w:szCs w:val="20"/>
          <w:u w:val="single"/>
          <w:lang w:val="sl-SI"/>
        </w:rPr>
        <w:t>za opravljeno delo, ki presega pričakovane rezultate dela v posameznem mesecu, če je na ta način mogoče zagotoviti racionalnejše izvajanje nalog uporabnika proračuna</w:t>
      </w:r>
      <w:r w:rsidRPr="0056780B">
        <w:rPr>
          <w:rFonts w:cs="Arial"/>
          <w:szCs w:val="20"/>
          <w:lang w:val="sl-SI"/>
        </w:rPr>
        <w:t xml:space="preserve">. Pisno odločitev o povečanem obsegu dela in plačilu delovne uspešnosti iz naslova povečanega obsega dela sprejme predstojnik oziroma direktor uporabnika proračuna za posamezni mesec na podlagi </w:t>
      </w:r>
      <w:r w:rsidRPr="0056780B">
        <w:rPr>
          <w:rFonts w:cs="Arial"/>
          <w:b/>
          <w:bCs/>
          <w:szCs w:val="20"/>
          <w:u w:val="single"/>
          <w:lang w:val="sl-SI"/>
        </w:rPr>
        <w:t>pisnega dogovora</w:t>
      </w:r>
      <w:r w:rsidRPr="0056780B">
        <w:rPr>
          <w:rFonts w:cs="Arial"/>
          <w:szCs w:val="20"/>
          <w:lang w:val="sl-SI"/>
        </w:rPr>
        <w:t xml:space="preserve"> med javnim uslužbencem in predstojnikom oziroma direktorjem ali javnim uslužbencem, pooblaščenim za organizacijo dela, ki ga lahko skleneta za daljše obdobje.</w:t>
      </w:r>
    </w:p>
    <w:p w14:paraId="2BB4F02C" w14:textId="77777777" w:rsidR="0056780B" w:rsidRPr="0056780B" w:rsidRDefault="0056780B" w:rsidP="0056780B">
      <w:pPr>
        <w:jc w:val="both"/>
        <w:rPr>
          <w:rFonts w:cs="Arial"/>
          <w:szCs w:val="20"/>
          <w:lang w:val="sl-SI"/>
        </w:rPr>
      </w:pPr>
    </w:p>
    <w:p w14:paraId="22D242AD" w14:textId="576E8DAB" w:rsidR="0056780B" w:rsidRDefault="0056780B" w:rsidP="0056780B">
      <w:pPr>
        <w:jc w:val="both"/>
        <w:rPr>
          <w:rFonts w:cs="Arial"/>
          <w:szCs w:val="20"/>
          <w:lang w:val="sl-SI"/>
        </w:rPr>
      </w:pPr>
      <w:r w:rsidRPr="0056780B">
        <w:rPr>
          <w:rFonts w:cs="Arial"/>
          <w:szCs w:val="20"/>
          <w:lang w:val="sl-SI"/>
        </w:rPr>
        <w:t xml:space="preserve">Posebnega </w:t>
      </w:r>
      <w:r w:rsidRPr="0056780B">
        <w:rPr>
          <w:rFonts w:cs="Arial"/>
          <w:b/>
          <w:bCs/>
          <w:szCs w:val="20"/>
          <w:u w:val="single"/>
          <w:lang w:val="sl-SI"/>
        </w:rPr>
        <w:t>poročila</w:t>
      </w:r>
      <w:r w:rsidRPr="0056780B">
        <w:rPr>
          <w:rFonts w:cs="Arial"/>
          <w:szCs w:val="20"/>
          <w:lang w:val="sl-SI"/>
        </w:rPr>
        <w:t xml:space="preserve"> o opravljanju povečanega obsega dela sicer zakonodaja ne predvideva, vendar predlagamo, da javni uslužbenec ustrezno evidentira, katero delo iz dogovora o opravljanju povečanega obsega dela je bilo v posameznem mesecu opravljano. Na podlagi poročila nato o delu plače za plačilo delovne uspešnosti iz naslova povečanega obsega dela javnega uslužbenca s </w:t>
      </w:r>
      <w:r w:rsidRPr="0056780B">
        <w:rPr>
          <w:rFonts w:cs="Arial"/>
          <w:b/>
          <w:bCs/>
          <w:szCs w:val="20"/>
          <w:u w:val="single"/>
          <w:lang w:val="sl-SI"/>
        </w:rPr>
        <w:t>sklepom</w:t>
      </w:r>
      <w:r w:rsidRPr="0056780B">
        <w:rPr>
          <w:rFonts w:cs="Arial"/>
          <w:szCs w:val="20"/>
          <w:lang w:val="sl-SI"/>
        </w:rPr>
        <w:t xml:space="preserve"> odloči direktor oziroma predstojnik, kot to določa prvi odstavek 5. člena Uredbe.  </w:t>
      </w:r>
    </w:p>
    <w:p w14:paraId="473DB01D" w14:textId="77777777" w:rsidR="0056780B" w:rsidRPr="0056780B" w:rsidRDefault="0056780B" w:rsidP="0056780B">
      <w:pPr>
        <w:jc w:val="both"/>
        <w:rPr>
          <w:rFonts w:cs="Arial"/>
          <w:szCs w:val="20"/>
          <w:lang w:val="sl-SI"/>
        </w:rPr>
      </w:pPr>
    </w:p>
    <w:p w14:paraId="7754BC43" w14:textId="77777777" w:rsidR="0056780B" w:rsidRPr="0056780B" w:rsidRDefault="0056780B" w:rsidP="0056780B">
      <w:pPr>
        <w:jc w:val="both"/>
        <w:rPr>
          <w:rFonts w:cs="Arial"/>
          <w:szCs w:val="20"/>
          <w:lang w:val="sl-SI"/>
        </w:rPr>
      </w:pPr>
      <w:r w:rsidRPr="0056780B">
        <w:rPr>
          <w:rFonts w:cs="Arial"/>
          <w:szCs w:val="20"/>
          <w:lang w:val="sl-SI"/>
        </w:rPr>
        <w:t xml:space="preserve">Izplačilo delovne uspešnosti iz naslova povečanega obsega dela se torej opravi na podlagi sklenjenega dogovora o opravljanju povečanega obsega dela, ustreznega evidentiranja opravljenega dela iz dogovora - poročila javnega uslužbenca in izdaje sklepa o višini izplačila delovne uspešnosti. </w:t>
      </w:r>
    </w:p>
    <w:p w14:paraId="08C7593E" w14:textId="77777777" w:rsidR="0056780B" w:rsidRPr="0056780B" w:rsidRDefault="0056780B" w:rsidP="0056780B">
      <w:pPr>
        <w:jc w:val="both"/>
        <w:rPr>
          <w:rFonts w:cs="Arial"/>
          <w:szCs w:val="20"/>
          <w:lang w:val="sl-SI"/>
        </w:rPr>
      </w:pPr>
    </w:p>
    <w:p w14:paraId="62B75F96" w14:textId="52989911" w:rsidR="0056780B" w:rsidRPr="0056780B" w:rsidRDefault="0056780B" w:rsidP="0056780B">
      <w:pPr>
        <w:pStyle w:val="Odstavekseznama"/>
        <w:numPr>
          <w:ilvl w:val="0"/>
          <w:numId w:val="2"/>
        </w:numPr>
        <w:jc w:val="both"/>
        <w:rPr>
          <w:rFonts w:ascii="Arial" w:hAnsi="Arial" w:cs="Arial"/>
          <w:b/>
          <w:bCs/>
          <w:sz w:val="20"/>
          <w:szCs w:val="20"/>
        </w:rPr>
      </w:pPr>
      <w:r w:rsidRPr="0056780B">
        <w:rPr>
          <w:rFonts w:ascii="Arial" w:hAnsi="Arial" w:cs="Arial"/>
          <w:b/>
          <w:bCs/>
          <w:sz w:val="20"/>
          <w:szCs w:val="20"/>
        </w:rPr>
        <w:t>Kaj je osnova za obračun stroška delovne uspešnosti iz naslova povečanega obsega dela? Ali je odstotek izplačila delovne uspešnosti iz naslova povečanega obsega dela (določen v sklepu o izplačilu delovne uspešnosti i</w:t>
      </w:r>
      <w:r>
        <w:rPr>
          <w:rFonts w:ascii="Arial" w:hAnsi="Arial" w:cs="Arial"/>
          <w:b/>
          <w:bCs/>
          <w:sz w:val="20"/>
          <w:szCs w:val="20"/>
        </w:rPr>
        <w:t>z</w:t>
      </w:r>
      <w:r w:rsidRPr="0056780B">
        <w:rPr>
          <w:rFonts w:ascii="Arial" w:hAnsi="Arial" w:cs="Arial"/>
          <w:b/>
          <w:bCs/>
          <w:sz w:val="20"/>
          <w:szCs w:val="20"/>
        </w:rPr>
        <w:t xml:space="preserve"> naslova POD) kakorkoli vezan na prisotnost javnega uslužbenca v mesecu, ko je POD obračunan? Ali zakonodaja predvideva kakšne omejitve v zvezi z izplačevanjem delovne uspešnosti iz naslova POD (pogostost, višina, …)</w:t>
      </w:r>
      <w:r>
        <w:rPr>
          <w:rFonts w:ascii="Arial" w:hAnsi="Arial" w:cs="Arial"/>
          <w:b/>
          <w:bCs/>
          <w:sz w:val="20"/>
          <w:szCs w:val="20"/>
        </w:rPr>
        <w:t>?</w:t>
      </w:r>
    </w:p>
    <w:p w14:paraId="7B413580" w14:textId="477BF62D" w:rsidR="0056780B" w:rsidRDefault="0056780B" w:rsidP="0056780B">
      <w:pPr>
        <w:jc w:val="both"/>
        <w:rPr>
          <w:rFonts w:cs="Arial"/>
          <w:szCs w:val="20"/>
          <w:lang w:val="sl-SI"/>
        </w:rPr>
      </w:pPr>
      <w:r w:rsidRPr="0056780B">
        <w:rPr>
          <w:rFonts w:cs="Arial"/>
          <w:szCs w:val="20"/>
          <w:lang w:val="sl-SI"/>
        </w:rPr>
        <w:t xml:space="preserve">Skladno s 4. členom Uredbe se višina delovne uspešnosti iz naslova povečanega obsega dela izračuna v odstotku od osnovne plače javnega uslužbenca. </w:t>
      </w:r>
    </w:p>
    <w:p w14:paraId="79A002B2" w14:textId="77777777" w:rsidR="0056780B" w:rsidRPr="0056780B" w:rsidRDefault="0056780B" w:rsidP="0056780B">
      <w:pPr>
        <w:jc w:val="both"/>
        <w:rPr>
          <w:rFonts w:cs="Arial"/>
          <w:szCs w:val="20"/>
          <w:lang w:val="sl-SI"/>
        </w:rPr>
      </w:pPr>
    </w:p>
    <w:p w14:paraId="0FAE7CAB" w14:textId="0A946B84" w:rsidR="0056780B" w:rsidRDefault="0056780B" w:rsidP="0056780B">
      <w:pPr>
        <w:jc w:val="both"/>
        <w:rPr>
          <w:rFonts w:cs="Arial"/>
          <w:szCs w:val="20"/>
          <w:lang w:val="sl-SI"/>
        </w:rPr>
      </w:pPr>
      <w:r w:rsidRPr="0056780B">
        <w:rPr>
          <w:rFonts w:cs="Arial"/>
          <w:szCs w:val="20"/>
          <w:lang w:val="sl-SI"/>
        </w:rPr>
        <w:t>Osnovna plača javnega uslužbenca se določi z uvrstitvijo v plačni razred (prvi odstavek 9. člena ZSPJS).</w:t>
      </w:r>
    </w:p>
    <w:p w14:paraId="7AED5C60" w14:textId="77777777" w:rsidR="0056780B" w:rsidRPr="0056780B" w:rsidRDefault="0056780B" w:rsidP="0056780B">
      <w:pPr>
        <w:jc w:val="both"/>
        <w:rPr>
          <w:rFonts w:cs="Arial"/>
          <w:szCs w:val="20"/>
          <w:lang w:val="sl-SI"/>
        </w:rPr>
      </w:pPr>
    </w:p>
    <w:p w14:paraId="33F167B1" w14:textId="7EFDBC44" w:rsidR="0056780B" w:rsidRDefault="0056780B" w:rsidP="0056780B">
      <w:pPr>
        <w:jc w:val="both"/>
        <w:rPr>
          <w:rStyle w:val="Hiperpovezava"/>
          <w:rFonts w:cs="Arial"/>
          <w:szCs w:val="20"/>
          <w:lang w:val="sl-SI"/>
        </w:rPr>
      </w:pPr>
      <w:r w:rsidRPr="0056780B">
        <w:rPr>
          <w:rFonts w:cs="Arial"/>
          <w:szCs w:val="20"/>
          <w:lang w:val="sl-SI"/>
        </w:rPr>
        <w:t>Ministrstvo za javno upravo je glede obračunavanja delovne uspešnosti iz naslova povečanega obsega dela že podalo pojasnilo, da se višino dela plače za delovno uspešnost iz naslova povečanega obsega dela, izraženo v odstotnem deležu, določi za opravljeno delo, ki presega pričakovane rezultate dela. Pri določitvi odstotnega deleža je torej potrebno</w:t>
      </w:r>
      <w:r w:rsidRPr="0056780B">
        <w:rPr>
          <w:rFonts w:cs="Arial"/>
          <w:b/>
          <w:szCs w:val="20"/>
          <w:lang w:val="sl-SI"/>
        </w:rPr>
        <w:t xml:space="preserve"> </w:t>
      </w:r>
      <w:r w:rsidRPr="0056780B">
        <w:rPr>
          <w:rFonts w:cs="Arial"/>
          <w:szCs w:val="20"/>
          <w:lang w:val="sl-SI"/>
        </w:rPr>
        <w:t xml:space="preserve">upoštevati </w:t>
      </w:r>
      <w:r w:rsidRPr="0056780B">
        <w:rPr>
          <w:rFonts w:cs="Arial"/>
          <w:b/>
          <w:szCs w:val="20"/>
          <w:u w:val="single"/>
          <w:lang w:val="sl-SI"/>
        </w:rPr>
        <w:t>opravljeno delo v posameznem mesecu</w:t>
      </w:r>
      <w:r w:rsidRPr="0056780B">
        <w:rPr>
          <w:rFonts w:cs="Arial"/>
          <w:szCs w:val="20"/>
          <w:lang w:val="sl-SI"/>
        </w:rPr>
        <w:t xml:space="preserve">, zato </w:t>
      </w:r>
      <w:r w:rsidRPr="0056780B">
        <w:rPr>
          <w:rFonts w:cs="Arial"/>
          <w:b/>
          <w:bCs/>
          <w:szCs w:val="20"/>
          <w:u w:val="single"/>
          <w:lang w:val="sl-SI"/>
        </w:rPr>
        <w:t>sama odsotnost javnega uslužbenca nima neposrednega vpliva na višino izplačane plače za delovno uspešnost iz naslova povečanega obsega dela</w:t>
      </w:r>
      <w:r w:rsidRPr="0056780B">
        <w:rPr>
          <w:rFonts w:cs="Arial"/>
          <w:b/>
          <w:bCs/>
          <w:szCs w:val="20"/>
          <w:lang w:val="sl-SI"/>
        </w:rPr>
        <w:t>.</w:t>
      </w:r>
      <w:r w:rsidRPr="0056780B">
        <w:rPr>
          <w:rFonts w:cs="Arial"/>
          <w:szCs w:val="20"/>
          <w:lang w:val="sl-SI"/>
        </w:rPr>
        <w:t xml:space="preserve"> Za določitev višine delovne uspešnosti iz naslova povečanega </w:t>
      </w:r>
      <w:r w:rsidRPr="0056780B">
        <w:rPr>
          <w:rFonts w:cs="Arial"/>
          <w:szCs w:val="20"/>
          <w:lang w:val="sl-SI"/>
        </w:rPr>
        <w:lastRenderedPageBreak/>
        <w:t xml:space="preserve">obsega dela je namreč </w:t>
      </w:r>
      <w:r w:rsidRPr="0056780B">
        <w:rPr>
          <w:rFonts w:cs="Arial"/>
          <w:b/>
          <w:bCs/>
          <w:szCs w:val="20"/>
          <w:u w:val="single"/>
          <w:lang w:val="sl-SI"/>
        </w:rPr>
        <w:t>relevanten</w:t>
      </w:r>
      <w:r w:rsidRPr="0056780B">
        <w:rPr>
          <w:rFonts w:cs="Arial"/>
          <w:b/>
          <w:bCs/>
          <w:szCs w:val="20"/>
          <w:lang w:val="sl-SI"/>
        </w:rPr>
        <w:t xml:space="preserve"> </w:t>
      </w:r>
      <w:r w:rsidRPr="0056780B">
        <w:rPr>
          <w:rFonts w:cs="Arial"/>
          <w:b/>
          <w:bCs/>
          <w:szCs w:val="20"/>
          <w:u w:val="single"/>
          <w:lang w:val="sl-SI"/>
        </w:rPr>
        <w:t>delež realiziranega dela</w:t>
      </w:r>
      <w:r w:rsidRPr="0056780B">
        <w:rPr>
          <w:rFonts w:cs="Arial"/>
          <w:szCs w:val="20"/>
          <w:lang w:val="sl-SI"/>
        </w:rPr>
        <w:t>, ki je bilo dogovorjeno v dogovoru o povečanem obsegu dela. Podrobnejše pojasnilo v tej zvezi je dostopno na spletni strani Ministrstva za javno upravo na naslednji povezavi</w:t>
      </w:r>
      <w:r w:rsidRPr="0056780B">
        <w:rPr>
          <w:rFonts w:cs="Arial"/>
          <w:color w:val="000000"/>
          <w:szCs w:val="20"/>
          <w:lang w:val="sl-SI"/>
        </w:rPr>
        <w:t xml:space="preserve">: </w:t>
      </w:r>
      <w:hyperlink r:id="rId29" w:history="1">
        <w:r w:rsidRPr="0056780B">
          <w:rPr>
            <w:rStyle w:val="Hiperpovezava"/>
            <w:rFonts w:cs="Arial"/>
            <w:szCs w:val="20"/>
            <w:lang w:val="sl-SI"/>
          </w:rPr>
          <w:t>Razlaga načina obračuna delovne uspešnosti in dodatkov v primeru odsotnosti javnega uslužbenca (27. 6. 2011)</w:t>
        </w:r>
      </w:hyperlink>
      <w:r w:rsidRPr="0056780B">
        <w:rPr>
          <w:rStyle w:val="Hiperpovezava"/>
          <w:rFonts w:cs="Arial"/>
          <w:szCs w:val="20"/>
          <w:lang w:val="sl-SI"/>
        </w:rPr>
        <w:t>.</w:t>
      </w:r>
    </w:p>
    <w:p w14:paraId="672C8465" w14:textId="77777777" w:rsidR="0056780B" w:rsidRPr="0056780B" w:rsidRDefault="0056780B" w:rsidP="0056780B">
      <w:pPr>
        <w:jc w:val="both"/>
        <w:rPr>
          <w:rStyle w:val="Hiperpovezava"/>
          <w:rFonts w:cs="Arial"/>
          <w:szCs w:val="20"/>
          <w:lang w:val="sl-SI"/>
        </w:rPr>
      </w:pPr>
    </w:p>
    <w:p w14:paraId="4F23B449" w14:textId="31E01519" w:rsidR="0056780B" w:rsidRDefault="0056780B" w:rsidP="0056780B">
      <w:pPr>
        <w:jc w:val="both"/>
        <w:rPr>
          <w:rFonts w:cs="Arial"/>
          <w:szCs w:val="20"/>
          <w:lang w:val="sl-SI"/>
        </w:rPr>
      </w:pPr>
      <w:r w:rsidRPr="0056780B">
        <w:rPr>
          <w:rFonts w:cs="Arial"/>
          <w:szCs w:val="20"/>
          <w:lang w:val="sl-SI"/>
        </w:rPr>
        <w:t xml:space="preserve">Drugače velja pri izplačilu redne delovne uspešnosti, pri kateri je skladno s tretjim odstavkom 28. člena Kolektivne pogodbe za javni sektor (Uradni list RS, št. </w:t>
      </w:r>
      <w:hyperlink r:id="rId30" w:tgtFrame="_blank" w:tooltip="Kolektivna pogodba za javni sektor (KPJS)" w:history="1">
        <w:r w:rsidRPr="0056780B">
          <w:rPr>
            <w:rFonts w:cs="Arial"/>
            <w:szCs w:val="20"/>
            <w:lang w:val="sl-SI"/>
          </w:rPr>
          <w:t>57/08</w:t>
        </w:r>
      </w:hyperlink>
      <w:r w:rsidRPr="0056780B">
        <w:rPr>
          <w:rFonts w:cs="Arial"/>
          <w:szCs w:val="20"/>
          <w:lang w:val="sl-SI"/>
        </w:rPr>
        <w:t xml:space="preserve">, </w:t>
      </w:r>
      <w:hyperlink r:id="rId31" w:tgtFrame="_blank" w:tooltip="Aneks št. 1 h Kolektivni pogodbi za javni sektor" w:history="1">
        <w:r w:rsidRPr="0056780B">
          <w:rPr>
            <w:rFonts w:cs="Arial"/>
            <w:szCs w:val="20"/>
            <w:lang w:val="sl-SI"/>
          </w:rPr>
          <w:t>23/09</w:t>
        </w:r>
      </w:hyperlink>
      <w:r w:rsidRPr="0056780B">
        <w:rPr>
          <w:rFonts w:cs="Arial"/>
          <w:szCs w:val="20"/>
          <w:lang w:val="sl-SI"/>
        </w:rPr>
        <w:t xml:space="preserve">, </w:t>
      </w:r>
      <w:hyperlink r:id="rId32" w:tgtFrame="_blank" w:tooltip="Aneks št. 2 h Kolektivni pogodbi za javni sektor" w:history="1">
        <w:r w:rsidRPr="0056780B">
          <w:rPr>
            <w:rFonts w:cs="Arial"/>
            <w:szCs w:val="20"/>
            <w:lang w:val="sl-SI"/>
          </w:rPr>
          <w:t>91/09</w:t>
        </w:r>
      </w:hyperlink>
      <w:r w:rsidRPr="0056780B">
        <w:rPr>
          <w:rFonts w:cs="Arial"/>
          <w:szCs w:val="20"/>
          <w:lang w:val="sl-SI"/>
        </w:rPr>
        <w:t xml:space="preserve">, </w:t>
      </w:r>
      <w:hyperlink r:id="rId33" w:tgtFrame="_blank" w:tooltip="Aneks št. 3 h Kolektivni pogodbi za javni sektor" w:history="1">
        <w:r w:rsidRPr="0056780B">
          <w:rPr>
            <w:rFonts w:cs="Arial"/>
            <w:szCs w:val="20"/>
            <w:lang w:val="sl-SI"/>
          </w:rPr>
          <w:t>89/10</w:t>
        </w:r>
      </w:hyperlink>
      <w:r w:rsidRPr="0056780B">
        <w:rPr>
          <w:rFonts w:cs="Arial"/>
          <w:szCs w:val="20"/>
          <w:lang w:val="sl-SI"/>
        </w:rPr>
        <w:t xml:space="preserve">, </w:t>
      </w:r>
      <w:hyperlink r:id="rId34" w:tgtFrame="_blank" w:tooltip="Aneks št. 4 h Kolektivni pogodbi za javni sektor" w:history="1">
        <w:r w:rsidRPr="0056780B">
          <w:rPr>
            <w:rFonts w:cs="Arial"/>
            <w:szCs w:val="20"/>
            <w:lang w:val="sl-SI"/>
          </w:rPr>
          <w:t>89/10</w:t>
        </w:r>
      </w:hyperlink>
      <w:r w:rsidRPr="0056780B">
        <w:rPr>
          <w:rFonts w:cs="Arial"/>
          <w:szCs w:val="20"/>
          <w:lang w:val="sl-SI"/>
        </w:rPr>
        <w:t xml:space="preserve">, </w:t>
      </w:r>
      <w:hyperlink r:id="rId35" w:tgtFrame="_blank" w:tooltip="Aneks št. 5 h Kolektivni pogodbi za javni sektor (KPJS)" w:history="1">
        <w:r w:rsidRPr="0056780B">
          <w:rPr>
            <w:rFonts w:cs="Arial"/>
            <w:szCs w:val="20"/>
            <w:lang w:val="sl-SI"/>
          </w:rPr>
          <w:t>40/12</w:t>
        </w:r>
      </w:hyperlink>
      <w:r w:rsidRPr="0056780B">
        <w:rPr>
          <w:rFonts w:cs="Arial"/>
          <w:szCs w:val="20"/>
          <w:lang w:val="sl-SI"/>
        </w:rPr>
        <w:t xml:space="preserve">, </w:t>
      </w:r>
      <w:hyperlink r:id="rId36" w:tgtFrame="_blank" w:tooltip="Aneks št. 6 h Kolektivni pogodbi za javni sektor (KPJS)" w:history="1">
        <w:r w:rsidRPr="0056780B">
          <w:rPr>
            <w:rFonts w:cs="Arial"/>
            <w:szCs w:val="20"/>
            <w:lang w:val="sl-SI"/>
          </w:rPr>
          <w:t>46/13</w:t>
        </w:r>
      </w:hyperlink>
      <w:r w:rsidRPr="0056780B">
        <w:rPr>
          <w:rFonts w:cs="Arial"/>
          <w:szCs w:val="20"/>
          <w:lang w:val="sl-SI"/>
        </w:rPr>
        <w:t xml:space="preserve">, </w:t>
      </w:r>
      <w:hyperlink r:id="rId37" w:tgtFrame="_blank" w:tooltip="Aneks št. 7 h Kolektivni pogodbi za javni sektor (KPJS)" w:history="1">
        <w:r w:rsidRPr="0056780B">
          <w:rPr>
            <w:rFonts w:cs="Arial"/>
            <w:szCs w:val="20"/>
            <w:lang w:val="sl-SI"/>
          </w:rPr>
          <w:t>95/14</w:t>
        </w:r>
      </w:hyperlink>
      <w:r w:rsidRPr="0056780B">
        <w:rPr>
          <w:rFonts w:cs="Arial"/>
          <w:szCs w:val="20"/>
          <w:lang w:val="sl-SI"/>
        </w:rPr>
        <w:t xml:space="preserve">, </w:t>
      </w:r>
      <w:hyperlink r:id="rId38" w:tgtFrame="_blank" w:tooltip="Aneks št. 8 h Kolektivni pogodbi za javni sektor (KPJS)" w:history="1">
        <w:r w:rsidRPr="0056780B">
          <w:rPr>
            <w:rFonts w:cs="Arial"/>
            <w:szCs w:val="20"/>
            <w:lang w:val="sl-SI"/>
          </w:rPr>
          <w:t>91/15</w:t>
        </w:r>
      </w:hyperlink>
      <w:r w:rsidRPr="0056780B">
        <w:rPr>
          <w:rFonts w:cs="Arial"/>
          <w:szCs w:val="20"/>
          <w:lang w:val="sl-SI"/>
        </w:rPr>
        <w:t xml:space="preserve">, </w:t>
      </w:r>
      <w:hyperlink r:id="rId39" w:tgtFrame="_blank" w:tooltip="Aneks št. 9 h Kolektivni pogodbi za javni sektor (KPJS)" w:history="1">
        <w:r w:rsidRPr="0056780B">
          <w:rPr>
            <w:rFonts w:cs="Arial"/>
            <w:szCs w:val="20"/>
            <w:lang w:val="sl-SI"/>
          </w:rPr>
          <w:t>21/17</w:t>
        </w:r>
      </w:hyperlink>
      <w:r w:rsidRPr="0056780B">
        <w:rPr>
          <w:rFonts w:cs="Arial"/>
          <w:szCs w:val="20"/>
          <w:lang w:val="sl-SI"/>
        </w:rPr>
        <w:t xml:space="preserve">, </w:t>
      </w:r>
      <w:hyperlink r:id="rId40" w:tgtFrame="_blank" w:tooltip="Aneks št. 10 h Kolektivni pogodbi za javni sektor (KPJS)" w:history="1">
        <w:r w:rsidRPr="0056780B">
          <w:rPr>
            <w:rFonts w:cs="Arial"/>
            <w:szCs w:val="20"/>
            <w:lang w:val="sl-SI"/>
          </w:rPr>
          <w:t>46/17</w:t>
        </w:r>
      </w:hyperlink>
      <w:r w:rsidRPr="0056780B">
        <w:rPr>
          <w:rFonts w:cs="Arial"/>
          <w:szCs w:val="20"/>
          <w:lang w:val="sl-SI"/>
        </w:rPr>
        <w:t xml:space="preserve">, </w:t>
      </w:r>
      <w:hyperlink r:id="rId41" w:tgtFrame="_blank" w:tooltip="Aneks št. 11 h Kolektivni pogodbi za javni sektor (KPJS)" w:history="1">
        <w:r w:rsidRPr="0056780B">
          <w:rPr>
            <w:rFonts w:cs="Arial"/>
            <w:szCs w:val="20"/>
            <w:lang w:val="sl-SI"/>
          </w:rPr>
          <w:t>69/17</w:t>
        </w:r>
      </w:hyperlink>
      <w:r w:rsidRPr="0056780B">
        <w:rPr>
          <w:rFonts w:cs="Arial"/>
          <w:szCs w:val="20"/>
          <w:lang w:val="sl-SI"/>
        </w:rPr>
        <w:t xml:space="preserve">, </w:t>
      </w:r>
      <w:hyperlink r:id="rId42" w:tgtFrame="_blank" w:tooltip="Aneks št. 12 h Kolektivni pogodbi za javni sektor (KPJS)" w:history="1">
        <w:r w:rsidRPr="0056780B">
          <w:rPr>
            <w:rFonts w:cs="Arial"/>
            <w:szCs w:val="20"/>
            <w:lang w:val="sl-SI"/>
          </w:rPr>
          <w:t>80/18</w:t>
        </w:r>
      </w:hyperlink>
      <w:r w:rsidRPr="0056780B">
        <w:rPr>
          <w:rFonts w:cs="Arial"/>
          <w:szCs w:val="20"/>
          <w:lang w:val="sl-SI"/>
        </w:rPr>
        <w:t xml:space="preserve"> in </w:t>
      </w:r>
      <w:hyperlink r:id="rId43" w:tgtFrame="_blank" w:tooltip="Aneks št. 13 h Kolektivni pogodbi za javni sektor (KPJS)" w:history="1">
        <w:r w:rsidRPr="0056780B">
          <w:rPr>
            <w:rFonts w:cs="Arial"/>
            <w:szCs w:val="20"/>
            <w:lang w:val="sl-SI"/>
          </w:rPr>
          <w:t>136/22</w:t>
        </w:r>
      </w:hyperlink>
      <w:r w:rsidRPr="0056780B">
        <w:rPr>
          <w:rFonts w:cs="Arial"/>
          <w:szCs w:val="20"/>
          <w:lang w:val="sl-SI"/>
        </w:rPr>
        <w:t>) osnova za obračun osnovna plača javnega uslužbenca za čas rednega dela v ocenjevalnem obdobju. Pri izračunu redne delovne uspešnosti se torej upoštevajo ure rednega dela v ocenjevalnem obdobju (šifra A010 po Uredbi o enotni metodologiji in obrazcih za obračun in izplačilo plač v javnem sektorju).</w:t>
      </w:r>
    </w:p>
    <w:p w14:paraId="7C9623F7" w14:textId="77777777" w:rsidR="0056780B" w:rsidRPr="0056780B" w:rsidRDefault="0056780B" w:rsidP="0056780B">
      <w:pPr>
        <w:jc w:val="both"/>
        <w:rPr>
          <w:rFonts w:cs="Arial"/>
          <w:szCs w:val="20"/>
          <w:lang w:val="sl-SI"/>
        </w:rPr>
      </w:pPr>
    </w:p>
    <w:p w14:paraId="27C83D32" w14:textId="26EEAA4D" w:rsidR="0056780B" w:rsidRDefault="0056780B" w:rsidP="0056780B">
      <w:pPr>
        <w:spacing w:line="240" w:lineRule="auto"/>
        <w:jc w:val="both"/>
        <w:rPr>
          <w:rFonts w:cs="Arial"/>
          <w:szCs w:val="20"/>
          <w:lang w:val="sl-SI"/>
        </w:rPr>
      </w:pPr>
      <w:r w:rsidRPr="0056780B">
        <w:rPr>
          <w:rFonts w:cs="Arial"/>
          <w:szCs w:val="20"/>
          <w:lang w:val="sl-SI"/>
        </w:rPr>
        <w:t>ZSPJS in Uredba omejitev glede pogostosti izplačevanja delovne uspešnosti iz naslova povečanega obsega dela ne določata. Dogovor o opravljanju povečanega obsega se lahko skladno z ZSPJS sklene tudi za daljše obdobje.</w:t>
      </w:r>
    </w:p>
    <w:p w14:paraId="2D081148" w14:textId="77777777" w:rsidR="0056780B" w:rsidRPr="0056780B" w:rsidRDefault="0056780B" w:rsidP="0056780B">
      <w:pPr>
        <w:spacing w:line="240" w:lineRule="auto"/>
        <w:jc w:val="both"/>
        <w:rPr>
          <w:rFonts w:cs="Arial"/>
          <w:szCs w:val="20"/>
          <w:lang w:val="sl-SI"/>
        </w:rPr>
      </w:pPr>
    </w:p>
    <w:p w14:paraId="73F77724" w14:textId="77777777" w:rsidR="0056780B" w:rsidRDefault="0056780B" w:rsidP="0056780B">
      <w:pPr>
        <w:jc w:val="both"/>
        <w:rPr>
          <w:rFonts w:cs="Arial"/>
          <w:szCs w:val="20"/>
          <w:lang w:val="sl-SI"/>
        </w:rPr>
      </w:pPr>
      <w:r w:rsidRPr="0056780B">
        <w:rPr>
          <w:rFonts w:cs="Arial"/>
          <w:szCs w:val="20"/>
          <w:lang w:val="sl-SI"/>
        </w:rPr>
        <w:t xml:space="preserve">Glede višine pa 4. člen Uredbe določa, da višina dela plače za plačilo delovne uspešnosti iz naslova povečanega obsega dela iz 1. točke prvega odstavka 2. člena te uredbe (povečan obseg del pri opravljanju rednih delovnih nalog uporabnika proračuna ali projekta, načrtovanega v okviru sprejetega finančnega načrta uporabnika proračuna) lahko znaša za javnega uslužbenca največ 20 odstotkov osnovne plače. </w:t>
      </w:r>
    </w:p>
    <w:p w14:paraId="350B5A8E" w14:textId="77777777" w:rsidR="0056780B" w:rsidRDefault="0056780B" w:rsidP="0056780B">
      <w:pPr>
        <w:jc w:val="both"/>
        <w:rPr>
          <w:rFonts w:cs="Arial"/>
          <w:szCs w:val="20"/>
          <w:lang w:val="sl-SI"/>
        </w:rPr>
      </w:pPr>
    </w:p>
    <w:p w14:paraId="35C1C2E4" w14:textId="77777777" w:rsidR="0056780B" w:rsidRDefault="0056780B" w:rsidP="0056780B">
      <w:pPr>
        <w:jc w:val="both"/>
        <w:rPr>
          <w:rFonts w:cs="Arial"/>
          <w:szCs w:val="20"/>
          <w:lang w:val="sl-SI"/>
        </w:rPr>
      </w:pPr>
      <w:r w:rsidRPr="0056780B">
        <w:rPr>
          <w:rFonts w:cs="Arial"/>
          <w:szCs w:val="20"/>
          <w:lang w:val="sl-SI"/>
        </w:rPr>
        <w:t xml:space="preserve">Višina dela plače za plačilo delovne uspešnosti iz naslova povečanega obsega dela iz 2. točke prvega odstavka 2. člena te uredbe (povečan obseg dela v okviru sodelovanja pri izvajanju posebnega projekta, ki ga določi Vlada Republike Slovenije s svojim aktom in za katerega so zagotovljena dodatna sredstva) lahko znaša za javnega uslužbenca največ 30 odstotkov osnovne plače. </w:t>
      </w:r>
    </w:p>
    <w:p w14:paraId="72821692" w14:textId="77777777" w:rsidR="0056780B" w:rsidRDefault="0056780B" w:rsidP="0056780B">
      <w:pPr>
        <w:jc w:val="both"/>
        <w:rPr>
          <w:rFonts w:cs="Arial"/>
          <w:szCs w:val="20"/>
          <w:lang w:val="sl-SI"/>
        </w:rPr>
      </w:pPr>
    </w:p>
    <w:p w14:paraId="47E0777D" w14:textId="03A8CE29" w:rsidR="0056780B" w:rsidRDefault="0056780B" w:rsidP="0056780B">
      <w:pPr>
        <w:jc w:val="both"/>
        <w:rPr>
          <w:rFonts w:cs="Arial"/>
          <w:szCs w:val="20"/>
          <w:lang w:val="sl-SI"/>
        </w:rPr>
      </w:pPr>
      <w:r w:rsidRPr="0056780B">
        <w:rPr>
          <w:rFonts w:cs="Arial"/>
          <w:szCs w:val="20"/>
          <w:lang w:val="sl-SI"/>
        </w:rPr>
        <w:t>Izplačili delovne uspešnosti se med seboj ne izključujeta. Najvišje možno izplačilo iz obeh naslovov torej lahko znaša 50 odstotkov osnovne plače javnega uslužbenca mesečno.</w:t>
      </w:r>
    </w:p>
    <w:p w14:paraId="7DF9BCC1" w14:textId="77777777" w:rsidR="0056780B" w:rsidRPr="0056780B" w:rsidRDefault="0056780B" w:rsidP="0056780B">
      <w:pPr>
        <w:jc w:val="both"/>
        <w:rPr>
          <w:rFonts w:cs="Arial"/>
          <w:szCs w:val="20"/>
          <w:lang w:val="sl-SI"/>
        </w:rPr>
      </w:pPr>
    </w:p>
    <w:p w14:paraId="0954C577" w14:textId="70CB2B5A" w:rsidR="0056780B" w:rsidRDefault="0056780B" w:rsidP="0056780B">
      <w:pPr>
        <w:jc w:val="both"/>
        <w:rPr>
          <w:rFonts w:cs="Arial"/>
          <w:szCs w:val="20"/>
          <w:lang w:val="sl-SI"/>
        </w:rPr>
      </w:pPr>
      <w:r w:rsidRPr="0056780B">
        <w:rPr>
          <w:rFonts w:cs="Arial"/>
          <w:szCs w:val="20"/>
          <w:lang w:val="sl-SI"/>
        </w:rPr>
        <w:t xml:space="preserve">Glede hkratnega izplačila delovne uspešnosti iz naslova povečanega obsega dela in dela preko polnega delovnega časa pa drugi odstavek 2. člena Uredbe določa, da javnemu uslužbencu, ki prejema del plače za plačilo delovne uspešnosti iz naslova povečanega obsega dela iz prejšnjega odstavka, direktor oziroma predstojnik </w:t>
      </w:r>
      <w:r w:rsidRPr="0056780B">
        <w:rPr>
          <w:rFonts w:cs="Arial"/>
          <w:szCs w:val="20"/>
          <w:u w:val="single"/>
          <w:lang w:val="sl-SI"/>
        </w:rPr>
        <w:t>za iste naloge</w:t>
      </w:r>
      <w:r w:rsidRPr="0056780B">
        <w:rPr>
          <w:rFonts w:cs="Arial"/>
          <w:szCs w:val="20"/>
          <w:lang w:val="sl-SI"/>
        </w:rPr>
        <w:t xml:space="preserve"> ne sme odrediti dela prek polnega delovnega časa.</w:t>
      </w:r>
    </w:p>
    <w:p w14:paraId="3D4B039F" w14:textId="77777777" w:rsidR="0056780B" w:rsidRPr="0056780B" w:rsidRDefault="0056780B" w:rsidP="0056780B">
      <w:pPr>
        <w:jc w:val="both"/>
        <w:rPr>
          <w:rFonts w:cs="Arial"/>
          <w:szCs w:val="20"/>
          <w:lang w:val="sl-SI"/>
        </w:rPr>
      </w:pPr>
    </w:p>
    <w:p w14:paraId="14280B8C" w14:textId="77777777" w:rsidR="0056780B" w:rsidRPr="0056780B" w:rsidRDefault="0056780B" w:rsidP="0056780B">
      <w:pPr>
        <w:pStyle w:val="Odstavekseznama"/>
        <w:numPr>
          <w:ilvl w:val="0"/>
          <w:numId w:val="2"/>
        </w:numPr>
        <w:jc w:val="both"/>
        <w:rPr>
          <w:rFonts w:ascii="Arial" w:hAnsi="Arial" w:cs="Arial"/>
          <w:b/>
          <w:bCs/>
          <w:sz w:val="20"/>
          <w:szCs w:val="20"/>
        </w:rPr>
      </w:pPr>
      <w:r w:rsidRPr="0056780B">
        <w:rPr>
          <w:rFonts w:ascii="Arial" w:hAnsi="Arial" w:cs="Arial"/>
          <w:b/>
          <w:bCs/>
          <w:sz w:val="20"/>
          <w:szCs w:val="20"/>
        </w:rPr>
        <w:t>Pod katero kategorijo stroškov dela sodi »delovna uspešnost«? Jo lahko uvrstimo med plačo in dodatke z vsemi pripadajočimi davki in prispevki delodajalca ali gre za ločeno kategorijo?</w:t>
      </w:r>
    </w:p>
    <w:p w14:paraId="5F4FBEDE" w14:textId="01D6C235" w:rsidR="0056780B" w:rsidRDefault="0056780B" w:rsidP="0056780B">
      <w:pPr>
        <w:jc w:val="both"/>
        <w:rPr>
          <w:rFonts w:cs="Arial"/>
          <w:szCs w:val="20"/>
          <w:lang w:val="sl-SI"/>
        </w:rPr>
      </w:pPr>
      <w:r w:rsidRPr="0056780B">
        <w:rPr>
          <w:rFonts w:cs="Arial"/>
          <w:szCs w:val="20"/>
          <w:lang w:val="sl-SI"/>
        </w:rPr>
        <w:t xml:space="preserve">Skladno s prvim odstavkom 5. člena ZSPJS je plača je sestavljena iz osnovne plače, dela plače za delovno uspešnost in dodatkov. </w:t>
      </w:r>
    </w:p>
    <w:p w14:paraId="26E51DC2" w14:textId="77777777" w:rsidR="0056780B" w:rsidRPr="0056780B" w:rsidRDefault="0056780B" w:rsidP="0056780B">
      <w:pPr>
        <w:jc w:val="both"/>
        <w:rPr>
          <w:rFonts w:cs="Arial"/>
          <w:szCs w:val="20"/>
          <w:lang w:val="sl-SI"/>
        </w:rPr>
      </w:pPr>
    </w:p>
    <w:p w14:paraId="025B7320" w14:textId="77777777" w:rsidR="0056780B" w:rsidRDefault="0056780B" w:rsidP="0056780B">
      <w:pPr>
        <w:jc w:val="both"/>
        <w:rPr>
          <w:rFonts w:cs="Arial"/>
          <w:szCs w:val="20"/>
          <w:lang w:val="sl-SI"/>
        </w:rPr>
      </w:pPr>
      <w:r w:rsidRPr="0056780B">
        <w:rPr>
          <w:rFonts w:cs="Arial"/>
          <w:szCs w:val="20"/>
          <w:lang w:val="sl-SI"/>
        </w:rPr>
        <w:t xml:space="preserve">Delovna uspešnost iz naslova povečanega obsega dela je ena od treh vrst delovne uspešnosti, ki jih določa ZSPJS (poleg delovne uspešnosti iz naslova povečanega obsega dela ZSPJS ureja še redno delovno uspešnost in delovno uspešnost iz naslova prodaje blaga in storitev na trgu). </w:t>
      </w:r>
    </w:p>
    <w:p w14:paraId="35E5AF01" w14:textId="77777777" w:rsidR="0056780B" w:rsidRDefault="0056780B" w:rsidP="0056780B">
      <w:pPr>
        <w:jc w:val="both"/>
        <w:rPr>
          <w:rFonts w:cs="Arial"/>
          <w:szCs w:val="20"/>
          <w:lang w:val="sl-SI"/>
        </w:rPr>
      </w:pPr>
    </w:p>
    <w:p w14:paraId="115A2FA8" w14:textId="095C52EB" w:rsidR="0056780B" w:rsidRPr="0056780B" w:rsidRDefault="0056780B" w:rsidP="0056780B">
      <w:pPr>
        <w:jc w:val="both"/>
        <w:rPr>
          <w:rFonts w:cs="Arial"/>
          <w:szCs w:val="20"/>
          <w:lang w:val="sl-SI"/>
        </w:rPr>
      </w:pPr>
      <w:r w:rsidRPr="0056780B">
        <w:rPr>
          <w:rFonts w:cs="Arial"/>
          <w:szCs w:val="20"/>
          <w:lang w:val="sl-SI"/>
        </w:rPr>
        <w:t xml:space="preserve">Delovna uspešnost iz naslova povečanega obsega dela je torej sestavina plače, ne sodi pa delovna uspešnost med dodatke. </w:t>
      </w:r>
    </w:p>
    <w:p w14:paraId="4BE2EDD0" w14:textId="77777777" w:rsidR="0056780B" w:rsidRPr="0056780B" w:rsidRDefault="0056780B" w:rsidP="0056780B">
      <w:pPr>
        <w:jc w:val="both"/>
        <w:rPr>
          <w:rFonts w:cs="Arial"/>
          <w:szCs w:val="20"/>
          <w:lang w:val="sl-SI"/>
        </w:rPr>
      </w:pPr>
    </w:p>
    <w:p w14:paraId="73E34840" w14:textId="5F1EBD32" w:rsidR="0056780B" w:rsidRPr="0056780B" w:rsidRDefault="0056780B" w:rsidP="0056780B">
      <w:pPr>
        <w:pStyle w:val="Odstavekseznama"/>
        <w:numPr>
          <w:ilvl w:val="0"/>
          <w:numId w:val="2"/>
        </w:numPr>
        <w:jc w:val="both"/>
        <w:rPr>
          <w:rFonts w:ascii="Arial" w:hAnsi="Arial" w:cs="Arial"/>
          <w:b/>
          <w:bCs/>
          <w:sz w:val="20"/>
          <w:szCs w:val="20"/>
        </w:rPr>
      </w:pPr>
      <w:r w:rsidRPr="0056780B">
        <w:rPr>
          <w:rFonts w:ascii="Arial" w:hAnsi="Arial" w:cs="Arial"/>
          <w:b/>
          <w:bCs/>
          <w:sz w:val="20"/>
          <w:szCs w:val="20"/>
        </w:rPr>
        <w:lastRenderedPageBreak/>
        <w:t xml:space="preserve">Povečan obseg dela je dodatek za urno </w:t>
      </w:r>
      <w:proofErr w:type="spellStart"/>
      <w:r w:rsidRPr="0056780B">
        <w:rPr>
          <w:rFonts w:ascii="Arial" w:hAnsi="Arial" w:cs="Arial"/>
          <w:b/>
          <w:bCs/>
          <w:sz w:val="20"/>
          <w:szCs w:val="20"/>
        </w:rPr>
        <w:t>nadobremenitev</w:t>
      </w:r>
      <w:proofErr w:type="spellEnd"/>
      <w:r w:rsidRPr="0056780B">
        <w:rPr>
          <w:rFonts w:ascii="Arial" w:hAnsi="Arial" w:cs="Arial"/>
          <w:b/>
          <w:bCs/>
          <w:sz w:val="20"/>
          <w:szCs w:val="20"/>
        </w:rPr>
        <w:t xml:space="preserve"> v okviru rednih delovnih nalog. Ali se lahko POD izplača zaposlenemu v celoti iz projekta/operacije, če bo na operaciji (kot recimo nek strokovnjak na tem področju) opravil/opravljal neko dodatno nalogo (ki ni v okviru njegovih rednih nalog)? </w:t>
      </w:r>
    </w:p>
    <w:p w14:paraId="7157BDBA" w14:textId="48726AD6" w:rsidR="0056780B" w:rsidRPr="0056780B" w:rsidRDefault="0056780B" w:rsidP="0056780B">
      <w:pPr>
        <w:jc w:val="both"/>
        <w:rPr>
          <w:rFonts w:cs="Arial"/>
          <w:szCs w:val="20"/>
          <w:lang w:val="sl-SI"/>
        </w:rPr>
      </w:pPr>
      <w:r>
        <w:rPr>
          <w:rFonts w:cs="Arial"/>
          <w:szCs w:val="20"/>
          <w:lang w:val="sl-SI"/>
        </w:rPr>
        <w:t>P</w:t>
      </w:r>
      <w:r w:rsidRPr="0056780B">
        <w:rPr>
          <w:rFonts w:cs="Arial"/>
          <w:szCs w:val="20"/>
          <w:lang w:val="sl-SI"/>
        </w:rPr>
        <w:t xml:space="preserve">ojasnjujemo, da delovna uspešnost iz naslova povečanega obsega dela ni dodatek, ampak je posebna sestavina plače, torej tudi trditev, da je povečan obseg dela dodatek za urno </w:t>
      </w:r>
      <w:proofErr w:type="spellStart"/>
      <w:r w:rsidRPr="0056780B">
        <w:rPr>
          <w:rFonts w:cs="Arial"/>
          <w:szCs w:val="20"/>
          <w:lang w:val="sl-SI"/>
        </w:rPr>
        <w:t>nadobremenitev</w:t>
      </w:r>
      <w:proofErr w:type="spellEnd"/>
      <w:r w:rsidRPr="0056780B">
        <w:rPr>
          <w:rFonts w:cs="Arial"/>
          <w:szCs w:val="20"/>
          <w:lang w:val="sl-SI"/>
        </w:rPr>
        <w:t xml:space="preserve"> ne drži. Delovna uspešnost iz naslova povečanega obsega dela se obračunava od osnovne plače (glejte odgovor na 3. vprašanje). Glede možnosti opravljanja dela na projektu, čeprav javni uslužbenec ni zaposlen na projektu </w:t>
      </w:r>
      <w:r>
        <w:rPr>
          <w:rFonts w:cs="Arial"/>
          <w:szCs w:val="20"/>
          <w:lang w:val="sl-SI"/>
        </w:rPr>
        <w:t xml:space="preserve">pa </w:t>
      </w:r>
      <w:r w:rsidRPr="0056780B">
        <w:rPr>
          <w:rFonts w:cs="Arial"/>
          <w:szCs w:val="20"/>
          <w:lang w:val="sl-SI"/>
        </w:rPr>
        <w:t xml:space="preserve">je podano pojasnilo v odgovoru na 1. vprašanje.  </w:t>
      </w:r>
    </w:p>
    <w:p w14:paraId="3C43992F" w14:textId="77777777" w:rsidR="0056780B" w:rsidRPr="0056780B" w:rsidRDefault="0056780B" w:rsidP="00ED6410">
      <w:pPr>
        <w:spacing w:line="240" w:lineRule="exact"/>
        <w:jc w:val="both"/>
        <w:rPr>
          <w:rFonts w:cs="Arial"/>
          <w:szCs w:val="20"/>
          <w:lang w:val="sl-SI"/>
        </w:rPr>
      </w:pPr>
    </w:p>
    <w:p w14:paraId="2B940857" w14:textId="77777777" w:rsidR="00ED6410" w:rsidRPr="0056780B" w:rsidRDefault="00ED6410" w:rsidP="00ED6410">
      <w:pPr>
        <w:spacing w:line="240" w:lineRule="exact"/>
        <w:jc w:val="both"/>
        <w:rPr>
          <w:rFonts w:cs="Arial"/>
          <w:szCs w:val="20"/>
          <w:lang w:val="sl-SI"/>
        </w:rPr>
      </w:pPr>
    </w:p>
    <w:p w14:paraId="4D5DAF68" w14:textId="77777777" w:rsidR="00ED6410" w:rsidRPr="0056780B" w:rsidRDefault="00ED6410" w:rsidP="00ED6410">
      <w:pPr>
        <w:spacing w:line="240" w:lineRule="auto"/>
        <w:jc w:val="both"/>
        <w:rPr>
          <w:rFonts w:cs="Arial"/>
          <w:szCs w:val="20"/>
          <w:lang w:val="sl-SI"/>
        </w:rPr>
      </w:pPr>
    </w:p>
    <w:p w14:paraId="1E1EF9DB" w14:textId="4DD3348E" w:rsidR="00ED6410" w:rsidRDefault="00ED6410" w:rsidP="00ED6410">
      <w:pPr>
        <w:jc w:val="both"/>
        <w:rPr>
          <w:rFonts w:cs="Arial"/>
          <w:szCs w:val="20"/>
          <w:lang w:val="sl-SI"/>
        </w:rPr>
      </w:pPr>
      <w:bookmarkStart w:id="0" w:name="_Hlk100732227"/>
      <w:r w:rsidRPr="0056780B">
        <w:rPr>
          <w:rFonts w:cs="Arial"/>
          <w:szCs w:val="20"/>
          <w:lang w:val="sl-SI"/>
        </w:rPr>
        <w:t>S spoštovanjem,</w:t>
      </w:r>
    </w:p>
    <w:p w14:paraId="3A93FFF5" w14:textId="77777777" w:rsidR="005655E1" w:rsidRPr="0056780B" w:rsidRDefault="005655E1" w:rsidP="00ED6410">
      <w:pPr>
        <w:jc w:val="both"/>
        <w:rPr>
          <w:rFonts w:cs="Arial"/>
          <w:szCs w:val="20"/>
          <w:lang w:val="sl-SI"/>
        </w:rPr>
      </w:pPr>
    </w:p>
    <w:p w14:paraId="25640E91" w14:textId="77777777" w:rsidR="00ED6410" w:rsidRPr="0056780B" w:rsidRDefault="00ED6410" w:rsidP="00ED6410">
      <w:pPr>
        <w:jc w:val="both"/>
        <w:rPr>
          <w:rFonts w:cs="Arial"/>
          <w:szCs w:val="20"/>
          <w:lang w:val="sl-SI"/>
        </w:rPr>
      </w:pPr>
    </w:p>
    <w:p w14:paraId="0A8F9982" w14:textId="77777777" w:rsidR="00ED6410" w:rsidRPr="0056780B" w:rsidRDefault="00ED6410" w:rsidP="00ED6410">
      <w:pPr>
        <w:jc w:val="both"/>
        <w:rPr>
          <w:rFonts w:cs="Arial"/>
          <w:szCs w:val="20"/>
          <w:lang w:val="sl-SI"/>
        </w:rPr>
      </w:pPr>
      <w:r w:rsidRPr="0056780B">
        <w:rPr>
          <w:rFonts w:cs="Arial"/>
          <w:szCs w:val="20"/>
          <w:lang w:val="sl-SI"/>
        </w:rPr>
        <w:t xml:space="preserve">                                                                                                                 Peter Pogačar</w:t>
      </w:r>
    </w:p>
    <w:p w14:paraId="4200D8FB" w14:textId="77777777" w:rsidR="00ED6410" w:rsidRPr="0056780B" w:rsidRDefault="00ED6410" w:rsidP="00ED6410">
      <w:pPr>
        <w:tabs>
          <w:tab w:val="left" w:pos="3402"/>
        </w:tabs>
        <w:jc w:val="both"/>
        <w:rPr>
          <w:rFonts w:cs="Arial"/>
          <w:szCs w:val="20"/>
          <w:lang w:val="sl-SI"/>
        </w:rPr>
      </w:pPr>
      <w:r w:rsidRPr="0056780B">
        <w:rPr>
          <w:rFonts w:cs="Arial"/>
          <w:szCs w:val="20"/>
          <w:lang w:val="sl-SI"/>
        </w:rPr>
        <w:t xml:space="preserve">                                                                                                               generalni direktor</w:t>
      </w:r>
    </w:p>
    <w:p w14:paraId="3590FD56" w14:textId="77777777" w:rsidR="00ED6410" w:rsidRPr="0056780B" w:rsidRDefault="00ED6410" w:rsidP="00ED6410">
      <w:pPr>
        <w:tabs>
          <w:tab w:val="left" w:pos="3402"/>
        </w:tabs>
        <w:jc w:val="both"/>
        <w:rPr>
          <w:rFonts w:cs="Arial"/>
          <w:szCs w:val="20"/>
          <w:lang w:val="sl-SI"/>
        </w:rPr>
      </w:pPr>
    </w:p>
    <w:p w14:paraId="574D1670" w14:textId="77777777" w:rsidR="005655E1" w:rsidRDefault="005655E1" w:rsidP="00ED6410">
      <w:pPr>
        <w:tabs>
          <w:tab w:val="left" w:pos="3402"/>
        </w:tabs>
        <w:jc w:val="both"/>
        <w:rPr>
          <w:rFonts w:cs="Arial"/>
          <w:szCs w:val="20"/>
          <w:lang w:val="sl-SI"/>
        </w:rPr>
      </w:pPr>
    </w:p>
    <w:p w14:paraId="16539227" w14:textId="5ACF21B5" w:rsidR="00ED6410" w:rsidRPr="0056780B" w:rsidRDefault="00ED6410" w:rsidP="00ED6410">
      <w:pPr>
        <w:tabs>
          <w:tab w:val="left" w:pos="3402"/>
        </w:tabs>
        <w:jc w:val="both"/>
        <w:rPr>
          <w:rFonts w:cs="Arial"/>
          <w:szCs w:val="20"/>
          <w:lang w:val="sl-SI"/>
        </w:rPr>
      </w:pPr>
      <w:r w:rsidRPr="0056780B">
        <w:rPr>
          <w:rFonts w:cs="Arial"/>
          <w:szCs w:val="20"/>
          <w:lang w:val="sl-SI"/>
        </w:rPr>
        <w:t>Poslano:</w:t>
      </w:r>
    </w:p>
    <w:p w14:paraId="1F1AA7B4" w14:textId="77777777" w:rsidR="00ED6410" w:rsidRPr="0056780B" w:rsidRDefault="00ED6410" w:rsidP="00ED6410">
      <w:pPr>
        <w:numPr>
          <w:ilvl w:val="0"/>
          <w:numId w:val="1"/>
        </w:numPr>
        <w:tabs>
          <w:tab w:val="left" w:pos="3402"/>
        </w:tabs>
        <w:jc w:val="both"/>
        <w:rPr>
          <w:rFonts w:cs="Arial"/>
          <w:szCs w:val="20"/>
          <w:lang w:val="sl-SI"/>
        </w:rPr>
      </w:pPr>
      <w:r w:rsidRPr="0056780B">
        <w:rPr>
          <w:rFonts w:cs="Arial"/>
          <w:szCs w:val="20"/>
          <w:lang w:val="sl-SI"/>
        </w:rPr>
        <w:t>naslovniku po e-pošti</w:t>
      </w:r>
      <w:bookmarkEnd w:id="0"/>
      <w:r w:rsidRPr="0056780B">
        <w:rPr>
          <w:rFonts w:cs="Arial"/>
          <w:szCs w:val="20"/>
          <w:lang w:val="sl-SI"/>
        </w:rPr>
        <w:t xml:space="preserve">   </w:t>
      </w:r>
    </w:p>
    <w:p w14:paraId="5CA06D72" w14:textId="77777777" w:rsidR="00ED6410" w:rsidRPr="0056780B" w:rsidRDefault="00ED6410" w:rsidP="00ED6410">
      <w:pPr>
        <w:rPr>
          <w:rFonts w:cs="Arial"/>
          <w:szCs w:val="20"/>
          <w:lang w:val="sl-SI"/>
        </w:rPr>
      </w:pPr>
    </w:p>
    <w:p w14:paraId="11938C14" w14:textId="77777777" w:rsidR="00ED6410" w:rsidRPr="0056780B" w:rsidRDefault="00ED6410" w:rsidP="00ED6410">
      <w:pPr>
        <w:rPr>
          <w:rFonts w:cs="Arial"/>
          <w:szCs w:val="20"/>
          <w:lang w:val="sl-SI"/>
        </w:rPr>
      </w:pPr>
    </w:p>
    <w:p w14:paraId="357BFBE3" w14:textId="77777777" w:rsidR="001A4B4E" w:rsidRPr="0056780B" w:rsidRDefault="00923656">
      <w:pPr>
        <w:rPr>
          <w:rFonts w:cs="Arial"/>
          <w:szCs w:val="20"/>
          <w:lang w:val="sl-SI"/>
        </w:rPr>
      </w:pPr>
    </w:p>
    <w:sectPr w:rsidR="001A4B4E" w:rsidRPr="0056780B" w:rsidSect="00623E84">
      <w:headerReference w:type="default" r:id="rId44"/>
      <w:footerReference w:type="default" r:id="rId45"/>
      <w:headerReference w:type="first" r:id="rId46"/>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5AFE" w14:textId="77777777" w:rsidR="00713643" w:rsidRDefault="00713643" w:rsidP="00ED6410">
      <w:pPr>
        <w:spacing w:line="240" w:lineRule="auto"/>
      </w:pPr>
      <w:r>
        <w:separator/>
      </w:r>
    </w:p>
  </w:endnote>
  <w:endnote w:type="continuationSeparator" w:id="0">
    <w:p w14:paraId="5FA81465" w14:textId="77777777" w:rsidR="00713643" w:rsidRDefault="00713643" w:rsidP="00ED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957870"/>
      <w:docPartObj>
        <w:docPartGallery w:val="Page Numbers (Bottom of Page)"/>
        <w:docPartUnique/>
      </w:docPartObj>
    </w:sdtPr>
    <w:sdtEndPr/>
    <w:sdtContent>
      <w:p w14:paraId="0CC99EE0" w14:textId="77777777" w:rsidR="00B96689" w:rsidRDefault="00152A5D">
        <w:pPr>
          <w:pStyle w:val="Noga"/>
          <w:jc w:val="right"/>
        </w:pPr>
        <w:r>
          <w:fldChar w:fldCharType="begin"/>
        </w:r>
        <w:r>
          <w:instrText>PAGE   \* MERGEFORMAT</w:instrText>
        </w:r>
        <w:r>
          <w:fldChar w:fldCharType="separate"/>
        </w:r>
        <w:r>
          <w:rPr>
            <w:lang w:val="sl-SI"/>
          </w:rPr>
          <w:t>2</w:t>
        </w:r>
        <w:r>
          <w:fldChar w:fldCharType="end"/>
        </w:r>
      </w:p>
    </w:sdtContent>
  </w:sdt>
  <w:p w14:paraId="2DE0A801" w14:textId="77777777" w:rsidR="00C75F77" w:rsidRDefault="009236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6CD1" w14:textId="77777777" w:rsidR="00713643" w:rsidRDefault="00713643" w:rsidP="00ED6410">
      <w:pPr>
        <w:spacing w:line="240" w:lineRule="auto"/>
      </w:pPr>
      <w:r>
        <w:separator/>
      </w:r>
    </w:p>
  </w:footnote>
  <w:footnote w:type="continuationSeparator" w:id="0">
    <w:p w14:paraId="10A3E9C6" w14:textId="77777777" w:rsidR="00713643" w:rsidRDefault="00713643" w:rsidP="00ED6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3C91" w14:textId="77777777" w:rsidR="002A2B69" w:rsidRPr="00110CBD" w:rsidRDefault="009236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7981" w14:textId="77777777" w:rsidR="00923656" w:rsidRPr="00923656" w:rsidRDefault="00923656" w:rsidP="00923656">
    <w:pPr>
      <w:tabs>
        <w:tab w:val="left" w:pos="5112"/>
      </w:tabs>
      <w:spacing w:before="120" w:line="240" w:lineRule="exact"/>
      <w:rPr>
        <w:rFonts w:cs="Arial"/>
        <w:sz w:val="16"/>
        <w:lang w:val="it-IT"/>
      </w:rPr>
    </w:pPr>
    <w:r w:rsidRPr="00B76FBB">
      <w:rPr>
        <w:noProof/>
      </w:rPr>
      <w:drawing>
        <wp:anchor distT="0" distB="0" distL="114300" distR="114300" simplePos="0" relativeHeight="251660288" behindDoc="1" locked="0" layoutInCell="1" allowOverlap="1" wp14:anchorId="1D58FCCC" wp14:editId="79E6E98F">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FBB">
      <w:rPr>
        <w:rFonts w:cs="Arial"/>
        <w:noProof/>
        <w:sz w:val="16"/>
        <w:lang w:eastAsia="sl-SI"/>
      </w:rPr>
      <mc:AlternateContent>
        <mc:Choice Requires="wps">
          <w:drawing>
            <wp:anchor distT="0" distB="0" distL="114300" distR="114300" simplePos="0" relativeHeight="251659264" behindDoc="0" locked="0" layoutInCell="0" allowOverlap="1" wp14:anchorId="2A9B0FC8" wp14:editId="19B936D0">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317CD"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proofErr w:type="spellStart"/>
    <w:r w:rsidRPr="00923656">
      <w:rPr>
        <w:rFonts w:cs="Arial"/>
        <w:sz w:val="16"/>
        <w:lang w:val="it-IT"/>
      </w:rPr>
      <w:t>Tržaška</w:t>
    </w:r>
    <w:proofErr w:type="spellEnd"/>
    <w:r w:rsidRPr="00923656">
      <w:rPr>
        <w:rFonts w:cs="Arial"/>
        <w:sz w:val="16"/>
        <w:lang w:val="it-IT"/>
      </w:rPr>
      <w:t xml:space="preserve"> cesta 21, 1000 Ljubljana</w:t>
    </w:r>
    <w:r w:rsidRPr="00923656">
      <w:rPr>
        <w:rFonts w:cs="Arial"/>
        <w:sz w:val="16"/>
        <w:lang w:val="it-IT"/>
      </w:rPr>
      <w:tab/>
      <w:t>T: 01 478 16 50</w:t>
    </w:r>
  </w:p>
  <w:p w14:paraId="305B0475" w14:textId="77777777" w:rsidR="00923656" w:rsidRPr="00923656" w:rsidRDefault="00923656" w:rsidP="00923656">
    <w:pPr>
      <w:tabs>
        <w:tab w:val="left" w:pos="5112"/>
      </w:tabs>
      <w:spacing w:line="240" w:lineRule="exact"/>
      <w:rPr>
        <w:rFonts w:cs="Arial"/>
        <w:sz w:val="16"/>
        <w:lang w:val="it-IT"/>
      </w:rPr>
    </w:pPr>
    <w:r w:rsidRPr="00923656">
      <w:rPr>
        <w:rFonts w:cs="Arial"/>
        <w:sz w:val="16"/>
        <w:lang w:val="it-IT"/>
      </w:rPr>
      <w:tab/>
      <w:t>E: gp.mju@gov.si</w:t>
    </w:r>
  </w:p>
  <w:p w14:paraId="2EC6D7FE" w14:textId="77777777" w:rsidR="00923656" w:rsidRPr="00B76FBB" w:rsidRDefault="00923656" w:rsidP="00923656">
    <w:pPr>
      <w:tabs>
        <w:tab w:val="left" w:pos="5112"/>
      </w:tabs>
      <w:spacing w:line="240" w:lineRule="exact"/>
      <w:rPr>
        <w:rFonts w:cs="Arial"/>
        <w:sz w:val="16"/>
      </w:rPr>
    </w:pPr>
    <w:r w:rsidRPr="00923656">
      <w:rPr>
        <w:rFonts w:cs="Arial"/>
        <w:sz w:val="16"/>
        <w:lang w:val="it-IT"/>
      </w:rPr>
      <w:tab/>
    </w:r>
    <w:r w:rsidRPr="00B76FBB">
      <w:rPr>
        <w:rFonts w:cs="Arial"/>
        <w:sz w:val="16"/>
      </w:rPr>
      <w:t>www.mju.gov.si</w:t>
    </w:r>
  </w:p>
  <w:p w14:paraId="67C251AA" w14:textId="77777777" w:rsidR="002A2B69" w:rsidRPr="008F3500" w:rsidRDefault="0092365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F15E5C"/>
    <w:multiLevelType w:val="hybridMultilevel"/>
    <w:tmpl w:val="66204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5740025">
    <w:abstractNumId w:val="0"/>
  </w:num>
  <w:num w:numId="2" w16cid:durableId="145852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10"/>
    <w:rsid w:val="00006A12"/>
    <w:rsid w:val="00040502"/>
    <w:rsid w:val="00152A5D"/>
    <w:rsid w:val="00210717"/>
    <w:rsid w:val="00532AFE"/>
    <w:rsid w:val="005655E1"/>
    <w:rsid w:val="0056780B"/>
    <w:rsid w:val="00713643"/>
    <w:rsid w:val="0077727B"/>
    <w:rsid w:val="008C5B09"/>
    <w:rsid w:val="00923656"/>
    <w:rsid w:val="00962C1F"/>
    <w:rsid w:val="00A822C1"/>
    <w:rsid w:val="00B32992"/>
    <w:rsid w:val="00ED6410"/>
    <w:rsid w:val="00FB5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19CA"/>
  <w15:chartTrackingRefBased/>
  <w15:docId w15:val="{9AFD9223-FCDB-4222-9AA0-8C11F036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6410"/>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9236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6410"/>
    <w:pPr>
      <w:tabs>
        <w:tab w:val="center" w:pos="4320"/>
        <w:tab w:val="right" w:pos="8640"/>
      </w:tabs>
    </w:pPr>
  </w:style>
  <w:style w:type="character" w:customStyle="1" w:styleId="GlavaZnak">
    <w:name w:val="Glava Znak"/>
    <w:basedOn w:val="Privzetapisavaodstavka"/>
    <w:link w:val="Glava"/>
    <w:rsid w:val="00ED6410"/>
    <w:rPr>
      <w:rFonts w:ascii="Arial" w:eastAsia="Times New Roman" w:hAnsi="Arial" w:cs="Times New Roman"/>
      <w:sz w:val="20"/>
      <w:szCs w:val="24"/>
      <w:lang w:val="en-US"/>
    </w:rPr>
  </w:style>
  <w:style w:type="paragraph" w:styleId="Noga">
    <w:name w:val="footer"/>
    <w:basedOn w:val="Navaden"/>
    <w:link w:val="NogaZnak"/>
    <w:uiPriority w:val="99"/>
    <w:rsid w:val="00ED6410"/>
    <w:pPr>
      <w:tabs>
        <w:tab w:val="center" w:pos="4320"/>
        <w:tab w:val="right" w:pos="8640"/>
      </w:tabs>
    </w:pPr>
  </w:style>
  <w:style w:type="character" w:customStyle="1" w:styleId="NogaZnak">
    <w:name w:val="Noga Znak"/>
    <w:basedOn w:val="Privzetapisavaodstavka"/>
    <w:link w:val="Noga"/>
    <w:uiPriority w:val="99"/>
    <w:rsid w:val="00ED6410"/>
    <w:rPr>
      <w:rFonts w:ascii="Arial" w:eastAsia="Times New Roman" w:hAnsi="Arial" w:cs="Times New Roman"/>
      <w:sz w:val="20"/>
      <w:szCs w:val="24"/>
      <w:lang w:val="en-US"/>
    </w:rPr>
  </w:style>
  <w:style w:type="paragraph" w:customStyle="1" w:styleId="datumtevilka">
    <w:name w:val="datum številka"/>
    <w:basedOn w:val="Navaden"/>
    <w:qFormat/>
    <w:rsid w:val="00ED6410"/>
    <w:pPr>
      <w:tabs>
        <w:tab w:val="left" w:pos="1701"/>
      </w:tabs>
    </w:pPr>
    <w:rPr>
      <w:szCs w:val="20"/>
      <w:lang w:val="sl-SI" w:eastAsia="sl-SI"/>
    </w:rPr>
  </w:style>
  <w:style w:type="paragraph" w:customStyle="1" w:styleId="ZADEVA">
    <w:name w:val="ZADEVA"/>
    <w:basedOn w:val="Navaden"/>
    <w:qFormat/>
    <w:rsid w:val="00ED6410"/>
    <w:pPr>
      <w:tabs>
        <w:tab w:val="left" w:pos="1701"/>
      </w:tabs>
      <w:ind w:left="1701" w:hanging="1701"/>
    </w:pPr>
    <w:rPr>
      <w:b/>
      <w:lang w:val="it-IT"/>
    </w:rPr>
  </w:style>
  <w:style w:type="character" w:styleId="Hiperpovezava">
    <w:name w:val="Hyperlink"/>
    <w:uiPriority w:val="99"/>
    <w:rsid w:val="00ED6410"/>
    <w:rPr>
      <w:color w:val="0000FF"/>
      <w:u w:val="single"/>
    </w:rPr>
  </w:style>
  <w:style w:type="paragraph" w:styleId="Navadensplet">
    <w:name w:val="Normal (Web)"/>
    <w:basedOn w:val="Navaden"/>
    <w:uiPriority w:val="99"/>
    <w:unhideWhenUsed/>
    <w:rsid w:val="00ED6410"/>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uiPriority w:val="99"/>
    <w:semiHidden/>
    <w:unhideWhenUsed/>
    <w:rsid w:val="00ED641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ED6410"/>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ED6410"/>
    <w:rPr>
      <w:vertAlign w:val="superscript"/>
    </w:rPr>
  </w:style>
  <w:style w:type="paragraph" w:styleId="Odstavekseznama">
    <w:name w:val="List Paragraph"/>
    <w:basedOn w:val="Navaden"/>
    <w:uiPriority w:val="34"/>
    <w:qFormat/>
    <w:rsid w:val="0056780B"/>
    <w:pPr>
      <w:spacing w:after="160" w:line="259" w:lineRule="auto"/>
      <w:ind w:left="720"/>
      <w:contextualSpacing/>
    </w:pPr>
    <w:rPr>
      <w:rFonts w:asciiTheme="minorHAnsi" w:eastAsiaTheme="minorHAnsi" w:hAnsiTheme="minorHAnsi" w:cstheme="minorBidi"/>
      <w:sz w:val="22"/>
      <w:szCs w:val="22"/>
      <w:lang w:val="sl-SI"/>
    </w:rPr>
  </w:style>
  <w:style w:type="character" w:styleId="SledenaHiperpovezava">
    <w:name w:val="FollowedHyperlink"/>
    <w:basedOn w:val="Privzetapisavaodstavka"/>
    <w:uiPriority w:val="99"/>
    <w:semiHidden/>
    <w:unhideWhenUsed/>
    <w:rsid w:val="00A822C1"/>
    <w:rPr>
      <w:color w:val="954F72" w:themeColor="followedHyperlink"/>
      <w:u w:val="single"/>
    </w:rPr>
  </w:style>
  <w:style w:type="character" w:customStyle="1" w:styleId="Naslov1Znak">
    <w:name w:val="Naslov 1 Znak"/>
    <w:basedOn w:val="Privzetapisavaodstavka"/>
    <w:link w:val="Naslov1"/>
    <w:uiPriority w:val="9"/>
    <w:rsid w:val="0092365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4891" TargetMode="External"/><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 Type="http://schemas.openxmlformats.org/officeDocument/2006/relationships/hyperlink" Target="http://www.uradni-list.si/1/objava.jsp?sop=2008-01-2253" TargetMode="External"/><Relationship Id="rId39" Type="http://schemas.openxmlformats.org/officeDocument/2006/relationships/hyperlink" Target="http://www.uradni-list.si/1/objava.jsp?sop=2017-01-1101" TargetMode="External"/><Relationship Id="rId3" Type="http://schemas.openxmlformats.org/officeDocument/2006/relationships/settings" Target="settings.xml"/><Relationship Id="rId21" Type="http://schemas.openxmlformats.org/officeDocument/2006/relationships/hyperlink" Target="http://www.uradni-list.si/1/objava.jsp?sop=2017-01-1206" TargetMode="External"/><Relationship Id="rId34" Type="http://schemas.openxmlformats.org/officeDocument/2006/relationships/hyperlink" Target="http://www.uradni-list.si/1/objava.jsp?sop=2010-01-4774" TargetMode="External"/><Relationship Id="rId42" Type="http://schemas.openxmlformats.org/officeDocument/2006/relationships/hyperlink" Target="http://www.uradni-list.si/1/objava.jsp?sop=2018-01-3868" TargetMode="External"/><Relationship Id="rId47" Type="http://schemas.openxmlformats.org/officeDocument/2006/relationships/fontTable" Target="fontTable.xml"/><Relationship Id="rId7" Type="http://schemas.openxmlformats.org/officeDocument/2006/relationships/hyperlink" Target="https://www.gov.si/assets/ministrstva/MJU/Placni-sistem/DELOVNA-USPESNOST-v2/Delovna-uspesnost-iz-naslova-povecanega-obsega-dela-/Izplacilo-delovne-uspesnosti-iz-naslova-povecanega-obsega-dela-9.-5.-20193.docx" TargetMode="Externa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5" Type="http://schemas.openxmlformats.org/officeDocument/2006/relationships/hyperlink" Target="http://www.uradni-list.si/1/objava.jsp?sop=2022-01-3402" TargetMode="External"/><Relationship Id="rId33" Type="http://schemas.openxmlformats.org/officeDocument/2006/relationships/hyperlink" Target="http://www.uradni-list.si/1/objava.jsp?sop=2010-01-4773" TargetMode="External"/><Relationship Id="rId38" Type="http://schemas.openxmlformats.org/officeDocument/2006/relationships/hyperlink" Target="http://www.uradni-list.si/1/objava.jsp?sop=2015-01-3607"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1753" TargetMode="External"/><Relationship Id="rId20" Type="http://schemas.openxmlformats.org/officeDocument/2006/relationships/hyperlink" Target="http://www.uradni-list.si/1/objava.jsp?sop=2015-01-3254" TargetMode="External"/><Relationship Id="rId29" Type="http://schemas.openxmlformats.org/officeDocument/2006/relationships/hyperlink" Target="https://www.gov.si/assets/ministrstva/MJU/Placni-sistem/DELOVNA-USPESNOST-v2/delovna-uspesnost/Razlaga-nacina-obracuna-delovne-uspesnosti-in-dodatkov-v-primeru-odsotnosti-javnega-usluzbenca-27.06.2011.doc" TargetMode="External"/><Relationship Id="rId41" Type="http://schemas.openxmlformats.org/officeDocument/2006/relationships/hyperlink" Target="http://www.uradni-list.si/1/objava.jsp?sop=2017-01-32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4554" TargetMode="External"/><Relationship Id="rId24" Type="http://schemas.openxmlformats.org/officeDocument/2006/relationships/hyperlink" Target="http://www.uradni-list.si/1/objava.jsp?sop=2021-01-4154" TargetMode="External"/><Relationship Id="rId32" Type="http://schemas.openxmlformats.org/officeDocument/2006/relationships/hyperlink" Target="http://www.uradni-list.si/1/objava.jsp?sop=2009-01-3987" TargetMode="External"/><Relationship Id="rId37" Type="http://schemas.openxmlformats.org/officeDocument/2006/relationships/hyperlink" Target="http://www.uradni-list.si/1/objava.jsp?sop=2014-01-3963" TargetMode="External"/><Relationship Id="rId40" Type="http://schemas.openxmlformats.org/officeDocument/2006/relationships/hyperlink" Target="http://www.uradni-list.si/1/objava.jsp?sop=2017-01-2244"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8-01-4122" TargetMode="External"/><Relationship Id="rId28" Type="http://schemas.openxmlformats.org/officeDocument/2006/relationships/hyperlink" Target="http://www.uradni-list.si/1/objava.jsp?sop=2020-01-3100" TargetMode="External"/><Relationship Id="rId36" Type="http://schemas.openxmlformats.org/officeDocument/2006/relationships/hyperlink" Target="http://www.uradni-list.si/1/objava.jsp?sop=2013-01-1767" TargetMode="External"/><Relationship Id="rId10" Type="http://schemas.openxmlformats.org/officeDocument/2006/relationships/hyperlink" Target="http://www.uradni-list.si/1/objava.jsp?sop=2010-01-3273" TargetMode="External"/><Relationship Id="rId19" Type="http://schemas.openxmlformats.org/officeDocument/2006/relationships/hyperlink" Target="http://www.uradni-list.si/1/objava.jsp?sop=2014-01-3949" TargetMode="External"/><Relationship Id="rId31" Type="http://schemas.openxmlformats.org/officeDocument/2006/relationships/hyperlink" Target="http://www.uradni-list.si/1/objava.jsp?sop=2009-01-0988"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0-01-0520"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7-01-3165" TargetMode="External"/><Relationship Id="rId27" Type="http://schemas.openxmlformats.org/officeDocument/2006/relationships/hyperlink" Target="http://www.uradni-list.si/1/objava.jsp?sop=2008-01-3812" TargetMode="External"/><Relationship Id="rId30" Type="http://schemas.openxmlformats.org/officeDocument/2006/relationships/hyperlink" Target="http://www.uradni-list.si/1/objava.jsp?sop=2008-01-2429" TargetMode="External"/><Relationship Id="rId35" Type="http://schemas.openxmlformats.org/officeDocument/2006/relationships/hyperlink" Target="http://www.uradni-list.si/1/objava.jsp?sop=2012-01-1702" TargetMode="External"/><Relationship Id="rId43" Type="http://schemas.openxmlformats.org/officeDocument/2006/relationships/hyperlink" Target="http://www.uradni-list.si/1/objava.jsp?sop=2022-01-3307"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2359</Words>
  <Characters>13451</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4</cp:revision>
  <dcterms:created xsi:type="dcterms:W3CDTF">2023-07-03T06:52:00Z</dcterms:created>
  <dcterms:modified xsi:type="dcterms:W3CDTF">2023-07-03T06:55:00Z</dcterms:modified>
</cp:coreProperties>
</file>