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69FBD" w14:textId="77777777" w:rsidR="00C36CB6" w:rsidRPr="000F38EC" w:rsidRDefault="00C36CB6" w:rsidP="00C36CB6">
      <w:pPr>
        <w:jc w:val="both"/>
        <w:rPr>
          <w:b/>
          <w:color w:val="000000"/>
        </w:rPr>
      </w:pPr>
      <w:r w:rsidRPr="000F38EC">
        <w:rPr>
          <w:b/>
          <w:color w:val="000000"/>
        </w:rPr>
        <w:t>URAD PREDSEDNIKA REPUBLIKE</w:t>
      </w:r>
    </w:p>
    <w:p w14:paraId="74CB0513" w14:textId="77777777" w:rsidR="00C36CB6" w:rsidRPr="000F38EC" w:rsidRDefault="00C36CB6" w:rsidP="00C36CB6">
      <w:pPr>
        <w:jc w:val="both"/>
        <w:rPr>
          <w:b/>
          <w:color w:val="000000"/>
        </w:rPr>
      </w:pPr>
      <w:r w:rsidRPr="000F38EC">
        <w:rPr>
          <w:b/>
          <w:color w:val="000000"/>
        </w:rPr>
        <w:t>DRŽAVNI ZBOR REPUBLIKE SLOVENIJE</w:t>
      </w:r>
    </w:p>
    <w:p w14:paraId="2B8EADED" w14:textId="77777777" w:rsidR="00C36CB6" w:rsidRPr="000F38EC" w:rsidRDefault="00C36CB6" w:rsidP="00C36CB6">
      <w:pPr>
        <w:jc w:val="both"/>
        <w:rPr>
          <w:b/>
          <w:color w:val="000000"/>
        </w:rPr>
      </w:pPr>
      <w:r w:rsidRPr="000F38EC">
        <w:rPr>
          <w:b/>
          <w:color w:val="000000"/>
        </w:rPr>
        <w:t>DRŽAVNI SVET REPUBLIKE SLOVENIJE</w:t>
      </w:r>
    </w:p>
    <w:p w14:paraId="1BB3390A" w14:textId="77777777" w:rsidR="00C36CB6" w:rsidRPr="000F38EC" w:rsidRDefault="00C36CB6" w:rsidP="00C36CB6">
      <w:pPr>
        <w:jc w:val="both"/>
        <w:rPr>
          <w:b/>
          <w:color w:val="000000"/>
        </w:rPr>
      </w:pPr>
      <w:r w:rsidRPr="000F38EC">
        <w:rPr>
          <w:b/>
          <w:color w:val="000000"/>
        </w:rPr>
        <w:t>USTAVNO SODIŠČE REPUBLIKE SLOVENIJE</w:t>
      </w:r>
    </w:p>
    <w:p w14:paraId="459FE33D" w14:textId="77777777" w:rsidR="00C36CB6" w:rsidRPr="000F38EC" w:rsidRDefault="00C36CB6" w:rsidP="00C36CB6">
      <w:pPr>
        <w:jc w:val="both"/>
        <w:rPr>
          <w:b/>
          <w:color w:val="000000"/>
        </w:rPr>
      </w:pPr>
      <w:r w:rsidRPr="000F38EC">
        <w:rPr>
          <w:b/>
          <w:color w:val="000000"/>
        </w:rPr>
        <w:t>RAČUNSKO SODIŠČE REPUBLIKE SLOVENIJE</w:t>
      </w:r>
    </w:p>
    <w:p w14:paraId="21DD7441" w14:textId="77777777" w:rsidR="00C36CB6" w:rsidRPr="000F38EC" w:rsidRDefault="00C36CB6" w:rsidP="00C36CB6">
      <w:pPr>
        <w:jc w:val="both"/>
        <w:rPr>
          <w:b/>
          <w:color w:val="000000"/>
        </w:rPr>
      </w:pPr>
      <w:r w:rsidRPr="000F38EC">
        <w:rPr>
          <w:b/>
          <w:color w:val="000000"/>
        </w:rPr>
        <w:t>VARUH ČLOVEKOVIH PRAVIC REPUBLIKE SLOVENIJE</w:t>
      </w:r>
    </w:p>
    <w:p w14:paraId="47C193F7" w14:textId="77777777" w:rsidR="00C36CB6" w:rsidRPr="000F38EC" w:rsidRDefault="00C36CB6" w:rsidP="00C36CB6">
      <w:pPr>
        <w:jc w:val="both"/>
        <w:rPr>
          <w:b/>
          <w:color w:val="000000"/>
        </w:rPr>
      </w:pPr>
      <w:r w:rsidRPr="000F38EC">
        <w:rPr>
          <w:b/>
          <w:color w:val="000000"/>
        </w:rPr>
        <w:t>DRŽAVNA REVIZIJSKA KOMISIJA REPUBLIKE SLOVENIJE</w:t>
      </w:r>
    </w:p>
    <w:p w14:paraId="685646F7" w14:textId="77777777" w:rsidR="00C36CB6" w:rsidRPr="000F38EC" w:rsidRDefault="00C36CB6" w:rsidP="00C36CB6">
      <w:pPr>
        <w:jc w:val="both"/>
        <w:rPr>
          <w:b/>
          <w:color w:val="000000"/>
        </w:rPr>
      </w:pPr>
      <w:r w:rsidRPr="000F38EC">
        <w:rPr>
          <w:b/>
          <w:color w:val="000000"/>
        </w:rPr>
        <w:t>INFORMACIJSKI POOBLAŠČENEC REPUBLIKE SLOVENIJE</w:t>
      </w:r>
    </w:p>
    <w:p w14:paraId="50ED6292" w14:textId="77777777" w:rsidR="00C36CB6" w:rsidRPr="0058732A" w:rsidRDefault="00C36CB6" w:rsidP="00C36CB6">
      <w:pPr>
        <w:jc w:val="both"/>
        <w:rPr>
          <w:b/>
          <w:lang w:val="pt-BR"/>
        </w:rPr>
      </w:pPr>
      <w:r w:rsidRPr="0058732A">
        <w:rPr>
          <w:b/>
          <w:lang w:val="pt-BR"/>
        </w:rPr>
        <w:t>KOMISIJA ZA PREPREČEVANJE KORUPCIJE REPUBLIKE SLOVENIJE</w:t>
      </w:r>
    </w:p>
    <w:p w14:paraId="3DEB6A02" w14:textId="77777777" w:rsidR="00C36CB6" w:rsidRPr="0058732A" w:rsidRDefault="00C36CB6" w:rsidP="00C36CB6">
      <w:pPr>
        <w:jc w:val="both"/>
        <w:rPr>
          <w:b/>
          <w:lang w:val="pt-BR"/>
        </w:rPr>
      </w:pPr>
      <w:r w:rsidRPr="0058732A">
        <w:rPr>
          <w:b/>
          <w:lang w:val="pt-BR"/>
        </w:rPr>
        <w:t>DRŽAVNA VOLILNA KOMISIJA</w:t>
      </w:r>
    </w:p>
    <w:p w14:paraId="0B4EA8F2" w14:textId="77777777" w:rsidR="00C36CB6" w:rsidRPr="0058732A" w:rsidRDefault="00C36CB6" w:rsidP="00C36CB6">
      <w:pPr>
        <w:jc w:val="both"/>
        <w:rPr>
          <w:b/>
          <w:lang w:val="pt-BR"/>
        </w:rPr>
      </w:pPr>
      <w:r w:rsidRPr="0058732A">
        <w:rPr>
          <w:b/>
          <w:lang w:val="pt-BR"/>
        </w:rPr>
        <w:t>FISKALNI SVET</w:t>
      </w:r>
    </w:p>
    <w:p w14:paraId="63B3F3B3" w14:textId="77777777" w:rsidR="00C36CB6" w:rsidRPr="0058732A" w:rsidRDefault="00C36CB6" w:rsidP="00C36CB6">
      <w:pPr>
        <w:jc w:val="both"/>
        <w:rPr>
          <w:b/>
          <w:lang w:val="pt-BR"/>
        </w:rPr>
      </w:pPr>
      <w:r w:rsidRPr="0058732A">
        <w:rPr>
          <w:b/>
          <w:lang w:val="pt-BR"/>
        </w:rPr>
        <w:t>SODNI SVET</w:t>
      </w:r>
    </w:p>
    <w:p w14:paraId="0999052E" w14:textId="77777777" w:rsidR="00C36CB6" w:rsidRPr="0058732A" w:rsidRDefault="00C36CB6" w:rsidP="00C36CB6">
      <w:pPr>
        <w:jc w:val="both"/>
        <w:rPr>
          <w:b/>
          <w:lang w:val="pt-BR"/>
        </w:rPr>
      </w:pPr>
      <w:r w:rsidRPr="0058732A">
        <w:rPr>
          <w:b/>
          <w:lang w:val="pt-BR"/>
        </w:rPr>
        <w:t>ZAGOVORNIK NAČELA ENAKOSTI</w:t>
      </w:r>
    </w:p>
    <w:p w14:paraId="4E685F72" w14:textId="77777777" w:rsidR="00C36CB6" w:rsidRPr="0058732A" w:rsidRDefault="00C36CB6" w:rsidP="00C36CB6">
      <w:pPr>
        <w:jc w:val="both"/>
        <w:rPr>
          <w:b/>
          <w:lang w:val="pt-BR"/>
        </w:rPr>
      </w:pPr>
    </w:p>
    <w:p w14:paraId="152278ED" w14:textId="77777777" w:rsidR="00C36CB6" w:rsidRPr="0058732A" w:rsidRDefault="00C36CB6" w:rsidP="00C36CB6">
      <w:pPr>
        <w:jc w:val="both"/>
        <w:rPr>
          <w:b/>
          <w:lang w:val="pt-BR"/>
        </w:rPr>
      </w:pPr>
      <w:r w:rsidRPr="0058732A">
        <w:rPr>
          <w:b/>
          <w:lang w:val="pt-BR"/>
        </w:rPr>
        <w:t>VRHOVNO SODIŠČE REPUBLIKE SLOVENIJE</w:t>
      </w:r>
    </w:p>
    <w:p w14:paraId="6685CDC6" w14:textId="77777777" w:rsidR="00C36CB6" w:rsidRPr="0058732A" w:rsidRDefault="00C36CB6" w:rsidP="00C36CB6">
      <w:pPr>
        <w:jc w:val="both"/>
        <w:rPr>
          <w:b/>
          <w:lang w:val="pt-BR"/>
        </w:rPr>
      </w:pPr>
      <w:r w:rsidRPr="0058732A">
        <w:rPr>
          <w:b/>
          <w:lang w:val="pt-BR"/>
        </w:rPr>
        <w:t>VRHOVNO DRŽAVNO TOŽILSTVO</w:t>
      </w:r>
    </w:p>
    <w:p w14:paraId="36340F2E" w14:textId="77777777" w:rsidR="00C36CB6" w:rsidRPr="0058732A" w:rsidRDefault="00C36CB6" w:rsidP="00C36CB6">
      <w:pPr>
        <w:jc w:val="both"/>
        <w:rPr>
          <w:b/>
          <w:lang w:val="pt-BR"/>
        </w:rPr>
      </w:pPr>
      <w:r w:rsidRPr="0058732A">
        <w:rPr>
          <w:b/>
          <w:lang w:val="pt-BR"/>
        </w:rPr>
        <w:t>DRŽAVNO ODVETNIŠTVO</w:t>
      </w:r>
    </w:p>
    <w:p w14:paraId="063720EB" w14:textId="77777777" w:rsidR="00C36CB6" w:rsidRPr="006B2F93" w:rsidRDefault="00C36CB6" w:rsidP="00C36CB6">
      <w:pPr>
        <w:rPr>
          <w:b/>
          <w:lang w:val="pt-BR"/>
        </w:rPr>
      </w:pPr>
    </w:p>
    <w:p w14:paraId="0BF69C9C" w14:textId="77777777" w:rsidR="00C36CB6" w:rsidRPr="006B2F93" w:rsidRDefault="00C36CB6" w:rsidP="00C36CB6">
      <w:pPr>
        <w:jc w:val="both"/>
        <w:rPr>
          <w:b/>
          <w:lang w:val="pt-BR"/>
        </w:rPr>
      </w:pPr>
      <w:r w:rsidRPr="006B2F93">
        <w:rPr>
          <w:b/>
          <w:lang w:val="pt-BR"/>
        </w:rPr>
        <w:t>OBČINE</w:t>
      </w:r>
    </w:p>
    <w:p w14:paraId="0EE2B9DB" w14:textId="77777777" w:rsidR="00C36CB6" w:rsidRPr="006B2F93" w:rsidRDefault="00C36CB6" w:rsidP="00C36CB6">
      <w:pPr>
        <w:jc w:val="both"/>
        <w:rPr>
          <w:b/>
          <w:lang w:val="pt-BR"/>
        </w:rPr>
      </w:pPr>
      <w:r w:rsidRPr="006B2F93">
        <w:rPr>
          <w:b/>
          <w:lang w:val="pt-BR"/>
        </w:rPr>
        <w:t>ZDRUŽENJE OBČIN SLOVENIJE</w:t>
      </w:r>
    </w:p>
    <w:p w14:paraId="2B00CE57" w14:textId="77777777" w:rsidR="00C36CB6" w:rsidRPr="006B2F93" w:rsidRDefault="00C36CB6" w:rsidP="00C36CB6">
      <w:pPr>
        <w:jc w:val="both"/>
        <w:rPr>
          <w:b/>
          <w:lang w:val="pt-BR"/>
        </w:rPr>
      </w:pPr>
      <w:r w:rsidRPr="006B2F93">
        <w:rPr>
          <w:b/>
          <w:lang w:val="pt-BR"/>
        </w:rPr>
        <w:t>SKUPNOST OBČIN SLOVENIJE</w:t>
      </w:r>
    </w:p>
    <w:p w14:paraId="58F8B9E5" w14:textId="77777777" w:rsidR="00C36CB6" w:rsidRPr="006B2F93" w:rsidRDefault="00C36CB6" w:rsidP="00C36CB6">
      <w:pPr>
        <w:jc w:val="both"/>
        <w:rPr>
          <w:b/>
          <w:lang w:val="pt-BR"/>
        </w:rPr>
      </w:pPr>
      <w:r w:rsidRPr="006B2F93">
        <w:rPr>
          <w:b/>
          <w:lang w:val="pt-BR"/>
        </w:rPr>
        <w:t>ZDRUŽENJE MESTNIH OBČIN SLOVENIJE</w:t>
      </w:r>
    </w:p>
    <w:p w14:paraId="59005B4F" w14:textId="77777777" w:rsidR="00C36CB6" w:rsidRPr="006B2F93" w:rsidRDefault="00C36CB6" w:rsidP="00C36CB6">
      <w:pPr>
        <w:rPr>
          <w:b/>
          <w:lang w:val="pt-BR"/>
        </w:rPr>
      </w:pPr>
    </w:p>
    <w:p w14:paraId="7DBBCCB9" w14:textId="77777777" w:rsidR="00C36CB6" w:rsidRPr="006B2F93" w:rsidRDefault="00C36CB6" w:rsidP="00C36CB6">
      <w:pPr>
        <w:rPr>
          <w:b/>
          <w:lang w:val="pt-BR"/>
        </w:rPr>
      </w:pPr>
      <w:r w:rsidRPr="006B2F93">
        <w:rPr>
          <w:b/>
          <w:lang w:val="pt-BR"/>
        </w:rPr>
        <w:t>MINISTRSTVA</w:t>
      </w:r>
    </w:p>
    <w:p w14:paraId="28A9CC0C" w14:textId="77777777" w:rsidR="00C36CB6" w:rsidRPr="006B2F93" w:rsidRDefault="00C36CB6" w:rsidP="00C36CB6">
      <w:pPr>
        <w:rPr>
          <w:b/>
          <w:lang w:val="pt-BR"/>
        </w:rPr>
      </w:pPr>
      <w:r w:rsidRPr="006B2F93">
        <w:rPr>
          <w:b/>
          <w:lang w:val="pt-BR"/>
        </w:rPr>
        <w:t>ORGANI V SESTAVI MINISTRSTEV</w:t>
      </w:r>
    </w:p>
    <w:p w14:paraId="15059F23" w14:textId="77777777" w:rsidR="00C36CB6" w:rsidRPr="00F405CC" w:rsidRDefault="00C36CB6" w:rsidP="00C36CB6">
      <w:pPr>
        <w:rPr>
          <w:b/>
          <w:lang w:val="pt-BR"/>
        </w:rPr>
      </w:pPr>
      <w:r w:rsidRPr="00F405CC">
        <w:rPr>
          <w:b/>
          <w:lang w:val="pt-BR"/>
        </w:rPr>
        <w:t>VLADNE SLUŽBE</w:t>
      </w:r>
    </w:p>
    <w:p w14:paraId="13B6ACBA" w14:textId="77777777" w:rsidR="00C36CB6" w:rsidRDefault="00C36CB6" w:rsidP="00C36CB6">
      <w:pPr>
        <w:rPr>
          <w:rFonts w:cs="Arial"/>
          <w:color w:val="000000"/>
          <w:szCs w:val="20"/>
          <w:lang w:eastAsia="sl-SI"/>
        </w:rPr>
      </w:pPr>
      <w:r w:rsidRPr="000F38EC">
        <w:rPr>
          <w:b/>
        </w:rPr>
        <w:t>UPRAVNE ENOTE</w:t>
      </w:r>
    </w:p>
    <w:p w14:paraId="1AB295B9" w14:textId="77777777" w:rsidR="00C36CB6" w:rsidRDefault="00C36CB6" w:rsidP="00F34161">
      <w:pPr>
        <w:pStyle w:val="datumtevilka"/>
        <w:rPr>
          <w:rFonts w:cs="Arial"/>
        </w:rPr>
      </w:pPr>
    </w:p>
    <w:p w14:paraId="68FCB0E8" w14:textId="63E6720F" w:rsidR="00F34161" w:rsidRPr="0006770B" w:rsidRDefault="00F34161" w:rsidP="00F34161">
      <w:pPr>
        <w:pStyle w:val="datumtevilka"/>
        <w:rPr>
          <w:rFonts w:cs="Arial"/>
        </w:rPr>
      </w:pPr>
      <w:r w:rsidRPr="0006770B">
        <w:rPr>
          <w:rFonts w:cs="Arial"/>
        </w:rPr>
        <w:t xml:space="preserve">Številka: </w:t>
      </w:r>
      <w:r w:rsidR="00CD5DF8">
        <w:rPr>
          <w:rFonts w:cs="Arial"/>
        </w:rPr>
        <w:t>0100-267/2020/1</w:t>
      </w:r>
    </w:p>
    <w:p w14:paraId="411BB1F0" w14:textId="77777777" w:rsidR="00F34161" w:rsidRPr="0006770B" w:rsidRDefault="00F34161" w:rsidP="00F34161">
      <w:pPr>
        <w:pStyle w:val="datumtevilka"/>
        <w:rPr>
          <w:rFonts w:cs="Arial"/>
        </w:rPr>
      </w:pPr>
      <w:r w:rsidRPr="0006770B">
        <w:rPr>
          <w:rFonts w:cs="Arial"/>
        </w:rPr>
        <w:t>Datum:   4.5.2020</w:t>
      </w:r>
    </w:p>
    <w:p w14:paraId="5E860F1D" w14:textId="77777777" w:rsidR="00F34161" w:rsidRPr="0006770B" w:rsidRDefault="00F34161" w:rsidP="00F34161">
      <w:pPr>
        <w:rPr>
          <w:rFonts w:cs="Arial"/>
          <w:szCs w:val="20"/>
        </w:rPr>
      </w:pPr>
    </w:p>
    <w:p w14:paraId="57FEBDF3" w14:textId="77777777" w:rsidR="0006770B" w:rsidRPr="00940FCB" w:rsidRDefault="00F34161" w:rsidP="00940FCB">
      <w:pPr>
        <w:pStyle w:val="Naslov1"/>
        <w:rPr>
          <w:rFonts w:ascii="Arial" w:hAnsi="Arial" w:cs="Arial"/>
          <w:b/>
          <w:bCs/>
          <w:color w:val="auto"/>
          <w:sz w:val="20"/>
          <w:szCs w:val="20"/>
        </w:rPr>
      </w:pPr>
      <w:r w:rsidRPr="00940FCB">
        <w:rPr>
          <w:rFonts w:ascii="Arial" w:hAnsi="Arial" w:cs="Arial"/>
          <w:b/>
          <w:bCs/>
          <w:color w:val="auto"/>
          <w:sz w:val="20"/>
          <w:szCs w:val="20"/>
        </w:rPr>
        <w:t xml:space="preserve">Zadeva: Izplačilo </w:t>
      </w:r>
      <w:r w:rsidR="0006770B" w:rsidRPr="00940FCB">
        <w:rPr>
          <w:rFonts w:ascii="Arial" w:eastAsia="Calibri" w:hAnsi="Arial" w:cs="Arial"/>
          <w:b/>
          <w:bCs/>
          <w:color w:val="auto"/>
          <w:sz w:val="20"/>
          <w:szCs w:val="20"/>
        </w:rPr>
        <w:t xml:space="preserve">delovne uspešnosti iz naslova povečanega obsega dela, dela preko polnega delovnega časa, </w:t>
      </w:r>
      <w:r w:rsidR="0006770B" w:rsidRPr="00940FCB">
        <w:rPr>
          <w:rFonts w:ascii="Arial" w:hAnsi="Arial" w:cs="Arial"/>
          <w:b/>
          <w:bCs/>
          <w:color w:val="auto"/>
          <w:sz w:val="20"/>
          <w:szCs w:val="20"/>
        </w:rPr>
        <w:t>dodatka za nevarnost in posebne obremenitve v času epidemije na podlagi 71. člena ZIUZEOP in dodatka za delo v rizičnih razmerah po KPJS</w:t>
      </w:r>
    </w:p>
    <w:p w14:paraId="62C9FB20" w14:textId="77777777" w:rsidR="00F34161" w:rsidRPr="0006770B" w:rsidRDefault="00F34161" w:rsidP="00F34161">
      <w:pPr>
        <w:ind w:left="1080" w:hanging="1080"/>
        <w:jc w:val="both"/>
        <w:rPr>
          <w:rFonts w:cs="Arial"/>
          <w:b/>
          <w:szCs w:val="20"/>
        </w:rPr>
      </w:pPr>
    </w:p>
    <w:p w14:paraId="79B3F162" w14:textId="77777777" w:rsidR="00F34161" w:rsidRPr="0006770B" w:rsidRDefault="00F34161" w:rsidP="00F34161">
      <w:pPr>
        <w:autoSpaceDE w:val="0"/>
        <w:autoSpaceDN w:val="0"/>
        <w:adjustRightInd w:val="0"/>
        <w:spacing w:line="260" w:lineRule="exact"/>
        <w:jc w:val="both"/>
        <w:rPr>
          <w:rFonts w:cs="Arial"/>
          <w:szCs w:val="20"/>
        </w:rPr>
      </w:pPr>
    </w:p>
    <w:p w14:paraId="074038FC" w14:textId="77777777" w:rsidR="00F34161" w:rsidRPr="0006770B" w:rsidRDefault="00F34161" w:rsidP="00F34161">
      <w:pPr>
        <w:spacing w:line="260" w:lineRule="exact"/>
        <w:jc w:val="both"/>
        <w:rPr>
          <w:rFonts w:cs="Arial"/>
          <w:szCs w:val="20"/>
        </w:rPr>
      </w:pPr>
      <w:r w:rsidRPr="0006770B">
        <w:rPr>
          <w:rFonts w:cs="Arial"/>
          <w:szCs w:val="20"/>
        </w:rPr>
        <w:t>Spoštovani,</w:t>
      </w:r>
    </w:p>
    <w:p w14:paraId="45D6E31A" w14:textId="77777777" w:rsidR="00F34161" w:rsidRPr="0006770B" w:rsidRDefault="00F34161" w:rsidP="00F34161">
      <w:pPr>
        <w:spacing w:line="260" w:lineRule="exact"/>
        <w:jc w:val="both"/>
        <w:rPr>
          <w:rFonts w:cs="Arial"/>
          <w:szCs w:val="20"/>
        </w:rPr>
      </w:pPr>
    </w:p>
    <w:p w14:paraId="5FD34831" w14:textId="77777777" w:rsidR="00F34161" w:rsidRPr="0006770B" w:rsidRDefault="00F34161" w:rsidP="00F34161">
      <w:pPr>
        <w:widowControl w:val="0"/>
        <w:spacing w:line="240" w:lineRule="atLeast"/>
        <w:jc w:val="both"/>
        <w:rPr>
          <w:rFonts w:cs="Arial"/>
          <w:szCs w:val="20"/>
        </w:rPr>
      </w:pPr>
      <w:r w:rsidRPr="0006770B">
        <w:rPr>
          <w:rFonts w:eastAsia="Calibri" w:cs="Arial"/>
          <w:szCs w:val="20"/>
        </w:rPr>
        <w:t xml:space="preserve">s strani proračunskih uporabnikov prejemamo vprašanja glede možnosti hkratnega izplačila delovne uspešnosti iz naslova povečanega obsega dela, dela preko polnega delovnega časa, </w:t>
      </w:r>
      <w:r w:rsidRPr="0006770B">
        <w:rPr>
          <w:rFonts w:cs="Arial"/>
          <w:szCs w:val="20"/>
        </w:rPr>
        <w:t xml:space="preserve">dodatka </w:t>
      </w:r>
      <w:r w:rsidRPr="00F34161">
        <w:rPr>
          <w:rFonts w:cs="Arial"/>
          <w:szCs w:val="20"/>
        </w:rPr>
        <w:t>za nevarnost in posebne obremenitve v času epidemije na podlagi 71. člena Zakona o interventnih ukrepih za zajezitev epidemije COVID-19 in omilitev njenih posledic za državljane in gospodarstvo (Uradni list RS, 49/20</w:t>
      </w:r>
      <w:r w:rsidRPr="0006770B">
        <w:rPr>
          <w:rFonts w:cs="Arial"/>
          <w:szCs w:val="20"/>
        </w:rPr>
        <w:t xml:space="preserve"> in </w:t>
      </w:r>
      <w:hyperlink r:id="rId8" w:tgtFrame="_blank" w:tooltip="Zakon o spremembah in dopolnitvah Zakona o interventnih ukrepih za zajezitev epidemije COVID-19 in omilitev njenih posledic za državljane in gospodarstvo" w:history="1">
        <w:r w:rsidRPr="0006770B">
          <w:rPr>
            <w:rFonts w:cs="Arial"/>
            <w:szCs w:val="20"/>
          </w:rPr>
          <w:t>61/20</w:t>
        </w:r>
      </w:hyperlink>
      <w:r w:rsidR="0006770B" w:rsidRPr="0006770B">
        <w:rPr>
          <w:rFonts w:cs="Arial"/>
          <w:szCs w:val="20"/>
        </w:rPr>
        <w:t>:</w:t>
      </w:r>
      <w:r w:rsidRPr="00F34161">
        <w:rPr>
          <w:rFonts w:cs="Arial"/>
          <w:szCs w:val="20"/>
        </w:rPr>
        <w:t xml:space="preserve"> v nadaljevanju: ZIUZEOP) </w:t>
      </w:r>
      <w:r w:rsidRPr="0006770B">
        <w:rPr>
          <w:rFonts w:cs="Arial"/>
          <w:szCs w:val="20"/>
        </w:rPr>
        <w:t xml:space="preserve">in </w:t>
      </w:r>
      <w:r w:rsidRPr="00F34161">
        <w:rPr>
          <w:rFonts w:cs="Arial"/>
          <w:szCs w:val="20"/>
        </w:rPr>
        <w:t xml:space="preserve">dodatka za delo v rizičnih razmerah po 11. točki prvega odstavka in drugega odstavka 39. člena Kolektivne pogodbe </w:t>
      </w:r>
      <w:r w:rsidRPr="00F34161">
        <w:rPr>
          <w:rFonts w:cs="Arial"/>
          <w:szCs w:val="20"/>
        </w:rPr>
        <w:lastRenderedPageBreak/>
        <w:t xml:space="preserve">za javni sektor (Uradni list RS, št. </w:t>
      </w:r>
      <w:hyperlink r:id="rId9" w:tgtFrame="_blank" w:tooltip="Kolektivna pogodba za javni sektor (KPJS)" w:history="1">
        <w:r w:rsidRPr="00F34161">
          <w:rPr>
            <w:rFonts w:cs="Arial"/>
            <w:szCs w:val="20"/>
          </w:rPr>
          <w:t>57/08</w:t>
        </w:r>
      </w:hyperlink>
      <w:r w:rsidRPr="00F34161">
        <w:rPr>
          <w:rFonts w:cs="Arial"/>
          <w:szCs w:val="20"/>
        </w:rPr>
        <w:t xml:space="preserve">, </w:t>
      </w:r>
      <w:hyperlink r:id="rId10" w:tgtFrame="_blank" w:tooltip="Aneks št. 1 h Kolektivni pogodbi za javni sektor" w:history="1">
        <w:r w:rsidRPr="00F34161">
          <w:rPr>
            <w:rFonts w:cs="Arial"/>
            <w:szCs w:val="20"/>
          </w:rPr>
          <w:t>23/09</w:t>
        </w:r>
      </w:hyperlink>
      <w:r w:rsidRPr="00F34161">
        <w:rPr>
          <w:rFonts w:cs="Arial"/>
          <w:szCs w:val="20"/>
        </w:rPr>
        <w:t xml:space="preserve">, </w:t>
      </w:r>
      <w:hyperlink r:id="rId11" w:tgtFrame="_blank" w:tooltip="Aneks št. 2 h Kolektivni pogodbi za javni sektor" w:history="1">
        <w:r w:rsidRPr="00F34161">
          <w:rPr>
            <w:rFonts w:cs="Arial"/>
            <w:szCs w:val="20"/>
          </w:rPr>
          <w:t>91/09</w:t>
        </w:r>
      </w:hyperlink>
      <w:r w:rsidRPr="00F34161">
        <w:rPr>
          <w:rFonts w:cs="Arial"/>
          <w:szCs w:val="20"/>
        </w:rPr>
        <w:t xml:space="preserve">, </w:t>
      </w:r>
      <w:hyperlink r:id="rId12" w:tgtFrame="_blank" w:tooltip="Aneks št. 3 h Kolektivni pogodbi za javni sektor" w:history="1">
        <w:r w:rsidRPr="00F34161">
          <w:rPr>
            <w:rFonts w:cs="Arial"/>
            <w:szCs w:val="20"/>
          </w:rPr>
          <w:t>89/10</w:t>
        </w:r>
      </w:hyperlink>
      <w:r w:rsidRPr="00F34161">
        <w:rPr>
          <w:rFonts w:cs="Arial"/>
          <w:szCs w:val="20"/>
        </w:rPr>
        <w:t xml:space="preserve">, </w:t>
      </w:r>
      <w:hyperlink r:id="rId13" w:tgtFrame="_blank" w:tooltip="Aneks št. 4 h Kolektivni pogodbi za javni sektor" w:history="1">
        <w:r w:rsidRPr="00F34161">
          <w:rPr>
            <w:rFonts w:cs="Arial"/>
            <w:szCs w:val="20"/>
          </w:rPr>
          <w:t>89/10</w:t>
        </w:r>
      </w:hyperlink>
      <w:r w:rsidRPr="00F34161">
        <w:rPr>
          <w:rFonts w:cs="Arial"/>
          <w:szCs w:val="20"/>
        </w:rPr>
        <w:t xml:space="preserve">, </w:t>
      </w:r>
      <w:hyperlink r:id="rId14" w:tgtFrame="_blank" w:tooltip="Aneks št. 5 h Kolektivni pogodbi za javni sektor (KPJS)" w:history="1">
        <w:r w:rsidRPr="00F34161">
          <w:rPr>
            <w:rFonts w:cs="Arial"/>
            <w:szCs w:val="20"/>
          </w:rPr>
          <w:t>40/12</w:t>
        </w:r>
      </w:hyperlink>
      <w:r w:rsidRPr="00F34161">
        <w:rPr>
          <w:rFonts w:cs="Arial"/>
          <w:szCs w:val="20"/>
        </w:rPr>
        <w:t xml:space="preserve">, </w:t>
      </w:r>
      <w:hyperlink r:id="rId15" w:tgtFrame="_blank" w:tooltip="Aneks št. 6 h Kolektivni pogodbi za javni sektor (KPJS)" w:history="1">
        <w:r w:rsidRPr="00F34161">
          <w:rPr>
            <w:rFonts w:cs="Arial"/>
            <w:szCs w:val="20"/>
          </w:rPr>
          <w:t>46/13</w:t>
        </w:r>
      </w:hyperlink>
      <w:r w:rsidRPr="00F34161">
        <w:rPr>
          <w:rFonts w:cs="Arial"/>
          <w:szCs w:val="20"/>
        </w:rPr>
        <w:t xml:space="preserve">, </w:t>
      </w:r>
      <w:hyperlink r:id="rId16" w:tgtFrame="_blank" w:tooltip="Aneks št. 7 h Kolektivni pogodbi za javni sektor (KPJS)" w:history="1">
        <w:r w:rsidRPr="00F34161">
          <w:rPr>
            <w:rFonts w:cs="Arial"/>
            <w:szCs w:val="20"/>
          </w:rPr>
          <w:t>95/14</w:t>
        </w:r>
      </w:hyperlink>
      <w:r w:rsidRPr="00F34161">
        <w:rPr>
          <w:rFonts w:cs="Arial"/>
          <w:szCs w:val="20"/>
        </w:rPr>
        <w:t xml:space="preserve">, </w:t>
      </w:r>
      <w:hyperlink r:id="rId17" w:tgtFrame="_blank" w:tooltip="Aneks št. 8 h Kolektivni pogodbi za javni sektor (KPJS)" w:history="1">
        <w:r w:rsidRPr="00F34161">
          <w:rPr>
            <w:rFonts w:cs="Arial"/>
            <w:szCs w:val="20"/>
          </w:rPr>
          <w:t>91/15</w:t>
        </w:r>
      </w:hyperlink>
      <w:r w:rsidRPr="00F34161">
        <w:rPr>
          <w:rFonts w:cs="Arial"/>
          <w:szCs w:val="20"/>
        </w:rPr>
        <w:t xml:space="preserve">, </w:t>
      </w:r>
      <w:hyperlink r:id="rId18" w:tgtFrame="_blank" w:tooltip="Aneks št. 9 h Kolektivni pogodbi za javni sektor (KPJS)" w:history="1">
        <w:r w:rsidRPr="00F34161">
          <w:rPr>
            <w:rFonts w:cs="Arial"/>
            <w:szCs w:val="20"/>
          </w:rPr>
          <w:t>21/17</w:t>
        </w:r>
      </w:hyperlink>
      <w:r w:rsidRPr="00F34161">
        <w:rPr>
          <w:rFonts w:cs="Arial"/>
          <w:szCs w:val="20"/>
        </w:rPr>
        <w:t xml:space="preserve">, </w:t>
      </w:r>
      <w:hyperlink r:id="rId19" w:tgtFrame="_blank" w:tooltip="Aneks št. 10 h Kolektivni pogodbi za javni sektor (KPJS)" w:history="1">
        <w:r w:rsidRPr="00F34161">
          <w:rPr>
            <w:rFonts w:cs="Arial"/>
            <w:szCs w:val="20"/>
          </w:rPr>
          <w:t>46/17</w:t>
        </w:r>
      </w:hyperlink>
      <w:r w:rsidRPr="00F34161">
        <w:rPr>
          <w:rFonts w:cs="Arial"/>
          <w:szCs w:val="20"/>
        </w:rPr>
        <w:t xml:space="preserve">, </w:t>
      </w:r>
      <w:hyperlink r:id="rId20" w:tgtFrame="_blank" w:tooltip="Aneks št. 11 h Kolektivni pogodbi za javni sektor (KPJS)" w:history="1">
        <w:r w:rsidRPr="00F34161">
          <w:rPr>
            <w:rFonts w:cs="Arial"/>
            <w:szCs w:val="20"/>
          </w:rPr>
          <w:t>69/17</w:t>
        </w:r>
      </w:hyperlink>
      <w:r w:rsidRPr="00F34161">
        <w:rPr>
          <w:rFonts w:cs="Arial"/>
          <w:szCs w:val="20"/>
        </w:rPr>
        <w:t xml:space="preserve"> in </w:t>
      </w:r>
      <w:hyperlink r:id="rId21" w:tgtFrame="_blank" w:tooltip="Aneks št. 12 h Kolektivni pogodbi za javni sektor (KPJS)" w:history="1">
        <w:r w:rsidRPr="00F34161">
          <w:rPr>
            <w:rFonts w:cs="Arial"/>
            <w:szCs w:val="20"/>
          </w:rPr>
          <w:t>80/18</w:t>
        </w:r>
      </w:hyperlink>
      <w:r w:rsidRPr="00F34161">
        <w:rPr>
          <w:rFonts w:cs="Arial"/>
          <w:szCs w:val="20"/>
        </w:rPr>
        <w:t>: v nadaljevanju: KPJS)</w:t>
      </w:r>
      <w:r w:rsidRPr="0006770B">
        <w:rPr>
          <w:rFonts w:cs="Arial"/>
          <w:szCs w:val="20"/>
        </w:rPr>
        <w:t>.</w:t>
      </w:r>
    </w:p>
    <w:p w14:paraId="47856148" w14:textId="77777777" w:rsidR="00F34161" w:rsidRPr="0006770B" w:rsidRDefault="00F34161" w:rsidP="00F34161">
      <w:pPr>
        <w:widowControl w:val="0"/>
        <w:spacing w:line="240" w:lineRule="atLeast"/>
        <w:jc w:val="both"/>
        <w:rPr>
          <w:rFonts w:cs="Arial"/>
          <w:szCs w:val="20"/>
        </w:rPr>
      </w:pPr>
    </w:p>
    <w:p w14:paraId="62F1ED0F" w14:textId="77777777" w:rsidR="00F34161" w:rsidRDefault="00F34161" w:rsidP="00F34161">
      <w:pPr>
        <w:widowControl w:val="0"/>
        <w:spacing w:line="240" w:lineRule="atLeast"/>
        <w:jc w:val="both"/>
        <w:rPr>
          <w:rFonts w:cs="Arial"/>
          <w:szCs w:val="20"/>
        </w:rPr>
      </w:pPr>
      <w:r w:rsidRPr="0006770B">
        <w:rPr>
          <w:rFonts w:cs="Arial"/>
          <w:szCs w:val="20"/>
        </w:rPr>
        <w:t>V nadaljevanju v tej zvezi podajamo naslednja pojasnila:</w:t>
      </w:r>
    </w:p>
    <w:p w14:paraId="59244954" w14:textId="77777777" w:rsidR="00EB175A" w:rsidRPr="0006770B" w:rsidRDefault="00EB175A" w:rsidP="00F34161">
      <w:pPr>
        <w:widowControl w:val="0"/>
        <w:spacing w:line="240" w:lineRule="atLeast"/>
        <w:jc w:val="both"/>
        <w:rPr>
          <w:rFonts w:cs="Arial"/>
          <w:szCs w:val="20"/>
        </w:rPr>
      </w:pPr>
    </w:p>
    <w:p w14:paraId="7620337C" w14:textId="77777777" w:rsidR="00F34161" w:rsidRPr="0006770B" w:rsidRDefault="00F34161" w:rsidP="00F34161">
      <w:pPr>
        <w:widowControl w:val="0"/>
        <w:spacing w:line="240" w:lineRule="atLeast"/>
        <w:jc w:val="both"/>
        <w:rPr>
          <w:rFonts w:cs="Arial"/>
          <w:szCs w:val="20"/>
        </w:rPr>
      </w:pPr>
    </w:p>
    <w:p w14:paraId="4C64107C" w14:textId="77777777" w:rsidR="00F34161" w:rsidRPr="0006770B" w:rsidRDefault="00F34161" w:rsidP="00907FDB">
      <w:pPr>
        <w:pStyle w:val="Odstavekseznama"/>
        <w:widowControl w:val="0"/>
        <w:numPr>
          <w:ilvl w:val="0"/>
          <w:numId w:val="7"/>
        </w:numPr>
        <w:spacing w:line="240" w:lineRule="atLeast"/>
        <w:jc w:val="both"/>
        <w:rPr>
          <w:rFonts w:ascii="Arial" w:hAnsi="Arial" w:cs="Arial"/>
          <w:b/>
          <w:sz w:val="20"/>
          <w:szCs w:val="20"/>
        </w:rPr>
      </w:pPr>
      <w:r w:rsidRPr="0006770B">
        <w:rPr>
          <w:rFonts w:ascii="Arial" w:hAnsi="Arial" w:cs="Arial"/>
          <w:b/>
          <w:sz w:val="20"/>
          <w:szCs w:val="20"/>
        </w:rPr>
        <w:t>Izplačilo delovne uspešnosti iz naslova povečanega obsega dela in dela preko polnega delovnega časa</w:t>
      </w:r>
    </w:p>
    <w:p w14:paraId="35D94960" w14:textId="77777777" w:rsidR="00F34161" w:rsidRPr="0006770B" w:rsidRDefault="00F34161" w:rsidP="00F34161">
      <w:pPr>
        <w:widowControl w:val="0"/>
        <w:spacing w:line="240" w:lineRule="atLeast"/>
        <w:jc w:val="both"/>
        <w:rPr>
          <w:rFonts w:cs="Arial"/>
          <w:szCs w:val="20"/>
        </w:rPr>
      </w:pPr>
      <w:r w:rsidRPr="0006770B">
        <w:rPr>
          <w:rFonts w:cs="Arial"/>
          <w:szCs w:val="20"/>
        </w:rPr>
        <w:t xml:space="preserve">Zakon o sistemu plač v javnem sektorju (Uradni list RS, št. </w:t>
      </w:r>
      <w:hyperlink r:id="rId22" w:tgtFrame="_blank" w:tooltip="Zakon o sistemu plač v javnem sektorju (uradno prečiščeno besedilo)" w:history="1">
        <w:r w:rsidRPr="0006770B">
          <w:rPr>
            <w:rFonts w:cs="Arial"/>
            <w:szCs w:val="20"/>
          </w:rPr>
          <w:t>108/09</w:t>
        </w:r>
      </w:hyperlink>
      <w:r w:rsidRPr="0006770B">
        <w:rPr>
          <w:rFonts w:cs="Arial"/>
          <w:szCs w:val="20"/>
        </w:rPr>
        <w:t xml:space="preserve"> – uradno prečiščeno besedilo, </w:t>
      </w:r>
      <w:hyperlink r:id="rId23" w:tgtFrame="_blank" w:tooltip="Zakon o spremembah Zakona o sistemu plač v javnem sektorju" w:history="1">
        <w:r w:rsidRPr="0006770B">
          <w:rPr>
            <w:rFonts w:cs="Arial"/>
            <w:szCs w:val="20"/>
          </w:rPr>
          <w:t>13/10</w:t>
        </w:r>
      </w:hyperlink>
      <w:r w:rsidRPr="0006770B">
        <w:rPr>
          <w:rFonts w:cs="Arial"/>
          <w:szCs w:val="20"/>
        </w:rPr>
        <w:t xml:space="preserve">, </w:t>
      </w:r>
      <w:hyperlink r:id="rId24" w:tgtFrame="_blank" w:tooltip="Zakon o spremembah in dopolnitvah Zakona o sistemu plač v javnem sektorju" w:history="1">
        <w:r w:rsidRPr="0006770B">
          <w:rPr>
            <w:rFonts w:cs="Arial"/>
            <w:szCs w:val="20"/>
          </w:rPr>
          <w:t>59/10</w:t>
        </w:r>
      </w:hyperlink>
      <w:r w:rsidRPr="0006770B">
        <w:rPr>
          <w:rFonts w:cs="Arial"/>
          <w:szCs w:val="20"/>
        </w:rPr>
        <w:t xml:space="preserve">, </w:t>
      </w:r>
      <w:hyperlink r:id="rId25" w:tgtFrame="_blank" w:tooltip="Zakon o spremembi Zakona o sistemu plač v javnem sektorju" w:history="1">
        <w:r w:rsidRPr="0006770B">
          <w:rPr>
            <w:rFonts w:cs="Arial"/>
            <w:szCs w:val="20"/>
          </w:rPr>
          <w:t>85/10</w:t>
        </w:r>
      </w:hyperlink>
      <w:r w:rsidRPr="0006770B">
        <w:rPr>
          <w:rFonts w:cs="Arial"/>
          <w:szCs w:val="20"/>
        </w:rPr>
        <w:t xml:space="preserve">, </w:t>
      </w:r>
      <w:hyperlink r:id="rId26" w:tgtFrame="_blank" w:tooltip="Zakon o spremembi Zakona o sistemu plač v javnem sektorju" w:history="1">
        <w:r w:rsidRPr="0006770B">
          <w:rPr>
            <w:rFonts w:cs="Arial"/>
            <w:szCs w:val="20"/>
          </w:rPr>
          <w:t>107/10</w:t>
        </w:r>
      </w:hyperlink>
      <w:r w:rsidRPr="0006770B">
        <w:rPr>
          <w:rFonts w:cs="Arial"/>
          <w:szCs w:val="20"/>
        </w:rPr>
        <w:t xml:space="preserve">, </w:t>
      </w:r>
      <w:hyperlink r:id="rId27" w:tgtFrame="_blank" w:tooltip="Avtentična razlaga 49.a člena Zakona o sistemu plač v javnem sektorju" w:history="1">
        <w:r w:rsidRPr="0006770B">
          <w:rPr>
            <w:rFonts w:cs="Arial"/>
            <w:szCs w:val="20"/>
          </w:rPr>
          <w:t>35/11</w:t>
        </w:r>
      </w:hyperlink>
      <w:r w:rsidRPr="0006770B">
        <w:rPr>
          <w:rFonts w:cs="Arial"/>
          <w:szCs w:val="20"/>
        </w:rPr>
        <w:t xml:space="preserve"> – ORZSPJS49a, </w:t>
      </w:r>
      <w:hyperlink r:id="rId28" w:tgtFrame="_blank" w:tooltip="Odločba o ugotovitvi, da so prvi do deseti odstavek 42. člena Zakona o sistemu plač v javnem sektorju in 2. člen Zakona o spremembi Zakona o sistemu plač v javnem sektorju, kolikor se nanaša na navedene določbe, v neskladju z Ustavo" w:history="1">
        <w:r w:rsidRPr="0006770B">
          <w:rPr>
            <w:rFonts w:cs="Arial"/>
            <w:szCs w:val="20"/>
          </w:rPr>
          <w:t>27/12</w:t>
        </w:r>
      </w:hyperlink>
      <w:r w:rsidRPr="0006770B">
        <w:rPr>
          <w:rFonts w:cs="Arial"/>
          <w:szCs w:val="20"/>
        </w:rPr>
        <w:t xml:space="preserve"> – </w:t>
      </w:r>
      <w:proofErr w:type="spellStart"/>
      <w:r w:rsidRPr="0006770B">
        <w:rPr>
          <w:rFonts w:cs="Arial"/>
          <w:szCs w:val="20"/>
        </w:rPr>
        <w:t>odl</w:t>
      </w:r>
      <w:proofErr w:type="spellEnd"/>
      <w:r w:rsidRPr="0006770B">
        <w:rPr>
          <w:rFonts w:cs="Arial"/>
          <w:szCs w:val="20"/>
        </w:rPr>
        <w:t xml:space="preserve">. US, </w:t>
      </w:r>
      <w:hyperlink r:id="rId29" w:tgtFrame="_blank" w:tooltip="Zakon za uravnoteženje javnih financ" w:history="1">
        <w:r w:rsidRPr="0006770B">
          <w:rPr>
            <w:rFonts w:cs="Arial"/>
            <w:szCs w:val="20"/>
          </w:rPr>
          <w:t>40/12</w:t>
        </w:r>
      </w:hyperlink>
      <w:r w:rsidRPr="0006770B">
        <w:rPr>
          <w:rFonts w:cs="Arial"/>
          <w:szCs w:val="20"/>
        </w:rPr>
        <w:t xml:space="preserve"> – ZUJF, </w:t>
      </w:r>
      <w:hyperlink r:id="rId30" w:tgtFrame="_blank" w:tooltip="Zakon o spremembi in dopolnitvah Zakona o sistemu plač v javnem sektorju" w:history="1">
        <w:r w:rsidRPr="0006770B">
          <w:rPr>
            <w:rFonts w:cs="Arial"/>
            <w:szCs w:val="20"/>
          </w:rPr>
          <w:t>46/13</w:t>
        </w:r>
      </w:hyperlink>
      <w:r w:rsidRPr="0006770B">
        <w:rPr>
          <w:rFonts w:cs="Arial"/>
          <w:szCs w:val="20"/>
        </w:rPr>
        <w:t xml:space="preserve">, </w:t>
      </w:r>
      <w:hyperlink r:id="rId31" w:tgtFrame="_blank" w:tooltip="Zakon o finančni upravi" w:history="1">
        <w:r w:rsidRPr="0006770B">
          <w:rPr>
            <w:rFonts w:cs="Arial"/>
            <w:szCs w:val="20"/>
          </w:rPr>
          <w:t>25/14</w:t>
        </w:r>
      </w:hyperlink>
      <w:r w:rsidRPr="0006770B">
        <w:rPr>
          <w:rFonts w:cs="Arial"/>
          <w:szCs w:val="20"/>
        </w:rPr>
        <w:t xml:space="preserve"> – ZFU, </w:t>
      </w:r>
      <w:hyperlink r:id="rId32" w:tgtFrame="_blank" w:tooltip="Zakon o spremembah Zakona o sistemu plač v javnem sektorju" w:history="1">
        <w:r w:rsidRPr="0006770B">
          <w:rPr>
            <w:rFonts w:cs="Arial"/>
            <w:szCs w:val="20"/>
          </w:rPr>
          <w:t>50/14</w:t>
        </w:r>
      </w:hyperlink>
      <w:r w:rsidRPr="0006770B">
        <w:rPr>
          <w:rFonts w:cs="Arial"/>
          <w:szCs w:val="20"/>
        </w:rPr>
        <w:t xml:space="preserve">, </w:t>
      </w:r>
      <w:hyperlink r:id="rId33" w:tgtFrame="_blank" w:tooltip="Zakon o ukrepih na področju plač in drugih stroškov dela v javnem sektorju za leto 2015" w:history="1">
        <w:r w:rsidRPr="0006770B">
          <w:rPr>
            <w:rFonts w:cs="Arial"/>
            <w:szCs w:val="20"/>
          </w:rPr>
          <w:t>95/14</w:t>
        </w:r>
      </w:hyperlink>
      <w:r w:rsidRPr="0006770B">
        <w:rPr>
          <w:rFonts w:cs="Arial"/>
          <w:szCs w:val="20"/>
        </w:rPr>
        <w:t xml:space="preserve"> – ZUPPJS15, </w:t>
      </w:r>
      <w:hyperlink r:id="rId34" w:tgtFrame="_blank" w:tooltip="Zakon o dopolnitvi Zakona o sistemu plač v javnem sektorju" w:history="1">
        <w:r w:rsidRPr="0006770B">
          <w:rPr>
            <w:rFonts w:cs="Arial"/>
            <w:szCs w:val="20"/>
          </w:rPr>
          <w:t>82/15</w:t>
        </w:r>
      </w:hyperlink>
      <w:r w:rsidRPr="0006770B">
        <w:rPr>
          <w:rFonts w:cs="Arial"/>
          <w:szCs w:val="20"/>
        </w:rPr>
        <w:t xml:space="preserve">, </w:t>
      </w:r>
      <w:hyperlink r:id="rId35" w:tgtFrame="_blank" w:tooltip="Zakon o državnem odvetništvu" w:history="1">
        <w:r w:rsidRPr="0006770B">
          <w:rPr>
            <w:rFonts w:cs="Arial"/>
            <w:szCs w:val="20"/>
          </w:rPr>
          <w:t>23/17</w:t>
        </w:r>
      </w:hyperlink>
      <w:r w:rsidRPr="0006770B">
        <w:rPr>
          <w:rFonts w:cs="Arial"/>
          <w:szCs w:val="20"/>
        </w:rPr>
        <w:t xml:space="preserve"> – </w:t>
      </w:r>
      <w:proofErr w:type="spellStart"/>
      <w:r w:rsidRPr="0006770B">
        <w:rPr>
          <w:rFonts w:cs="Arial"/>
          <w:szCs w:val="20"/>
        </w:rPr>
        <w:t>ZDOdv</w:t>
      </w:r>
      <w:proofErr w:type="spellEnd"/>
      <w:r w:rsidRPr="0006770B">
        <w:rPr>
          <w:rFonts w:cs="Arial"/>
          <w:szCs w:val="20"/>
        </w:rPr>
        <w:t xml:space="preserve">, </w:t>
      </w:r>
      <w:hyperlink r:id="rId36" w:tgtFrame="_blank" w:tooltip="Zakon o spremembah Zakona o sistemu plač v javnem sektorju" w:history="1">
        <w:r w:rsidRPr="0006770B">
          <w:rPr>
            <w:rFonts w:cs="Arial"/>
            <w:szCs w:val="20"/>
          </w:rPr>
          <w:t>67/17</w:t>
        </w:r>
      </w:hyperlink>
      <w:r w:rsidRPr="0006770B">
        <w:rPr>
          <w:rFonts w:cs="Arial"/>
          <w:szCs w:val="20"/>
        </w:rPr>
        <w:t xml:space="preserve"> in </w:t>
      </w:r>
      <w:hyperlink r:id="rId37" w:tgtFrame="_blank" w:tooltip="Zakon o spremembi in dopolnitvah Zakona o sistemu plač v javnem sektorju" w:history="1">
        <w:r w:rsidRPr="0006770B">
          <w:rPr>
            <w:rFonts w:cs="Arial"/>
            <w:szCs w:val="20"/>
          </w:rPr>
          <w:t>84/18</w:t>
        </w:r>
      </w:hyperlink>
      <w:r w:rsidRPr="0006770B">
        <w:rPr>
          <w:rFonts w:cs="Arial"/>
          <w:szCs w:val="20"/>
        </w:rPr>
        <w:t xml:space="preserve">) v 22.d in 22.e členu in na njegovi podlagi izdana Uredba o delovni uspešnosti iz naslova povečanega obsega dela za javne uslužbence (Uradni list RS, št. </w:t>
      </w:r>
      <w:hyperlink r:id="rId38" w:tgtFrame="_blank" w:tooltip="Uredba o delovni uspešnosti iz naslova povečanega obsega dela za javne uslužbence" w:history="1">
        <w:r w:rsidRPr="0006770B">
          <w:rPr>
            <w:rFonts w:cs="Arial"/>
            <w:szCs w:val="20"/>
          </w:rPr>
          <w:t>53/08</w:t>
        </w:r>
      </w:hyperlink>
      <w:r w:rsidRPr="0006770B">
        <w:rPr>
          <w:rFonts w:cs="Arial"/>
          <w:szCs w:val="20"/>
        </w:rPr>
        <w:t xml:space="preserve"> in </w:t>
      </w:r>
      <w:hyperlink r:id="rId39" w:tgtFrame="_blank" w:tooltip="Uredba o dopolnitvah Uredbe o delovni uspešnosti iz naslova povečanega obsega dela za javne uslužbence" w:history="1">
        <w:r w:rsidRPr="0006770B">
          <w:rPr>
            <w:rFonts w:cs="Arial"/>
            <w:szCs w:val="20"/>
          </w:rPr>
          <w:t>89/08</w:t>
        </w:r>
      </w:hyperlink>
      <w:r w:rsidRPr="0006770B">
        <w:rPr>
          <w:rFonts w:cs="Arial"/>
          <w:szCs w:val="20"/>
        </w:rPr>
        <w:t xml:space="preserve">: v nadaljevanju: Uredba) omogočata nagrajevanje javnih uslužbencev v obliki izplačila delovne uspešnosti iz naslova povečanega obsega dela. Drugi odstavek 2. člena Uredbe določa, da javnemu uslužbencu, ki prejema del plače za plačilo delovne uspešnosti iz naslova povečanega obsega dela iz prejšnjega odstavka, direktor oziroma predstojnik </w:t>
      </w:r>
      <w:r w:rsidRPr="0006770B">
        <w:rPr>
          <w:rFonts w:cs="Arial"/>
          <w:szCs w:val="20"/>
          <w:u w:val="single"/>
        </w:rPr>
        <w:t>za iste naloge</w:t>
      </w:r>
      <w:r w:rsidRPr="0006770B">
        <w:rPr>
          <w:rFonts w:cs="Arial"/>
          <w:szCs w:val="20"/>
        </w:rPr>
        <w:t xml:space="preserve"> ne sme odrediti dela prek polnega delovnega časa. </w:t>
      </w:r>
    </w:p>
    <w:p w14:paraId="6BE0CA07" w14:textId="77777777" w:rsidR="00F34161" w:rsidRPr="0006770B" w:rsidRDefault="00F34161" w:rsidP="00F34161">
      <w:pPr>
        <w:widowControl w:val="0"/>
        <w:spacing w:line="240" w:lineRule="atLeast"/>
        <w:jc w:val="both"/>
        <w:rPr>
          <w:rFonts w:cs="Arial"/>
          <w:szCs w:val="20"/>
        </w:rPr>
      </w:pPr>
    </w:p>
    <w:p w14:paraId="29B36CCD" w14:textId="5E7291F7" w:rsidR="00907FDB" w:rsidRDefault="00F34161" w:rsidP="00E32D96">
      <w:pPr>
        <w:widowControl w:val="0"/>
        <w:spacing w:line="240" w:lineRule="atLeast"/>
        <w:jc w:val="both"/>
        <w:rPr>
          <w:rFonts w:cs="Arial"/>
          <w:szCs w:val="20"/>
          <w:u w:val="single"/>
        </w:rPr>
      </w:pPr>
      <w:r w:rsidRPr="0006770B">
        <w:rPr>
          <w:rFonts w:cs="Arial"/>
          <w:szCs w:val="20"/>
        </w:rPr>
        <w:t xml:space="preserve">Iz navedene določbe izhaja, da javnemu uslužbencu </w:t>
      </w:r>
      <w:r w:rsidRPr="0006770B">
        <w:rPr>
          <w:rFonts w:cs="Arial"/>
          <w:szCs w:val="20"/>
          <w:u w:val="single"/>
        </w:rPr>
        <w:t>za iste naloge</w:t>
      </w:r>
      <w:r w:rsidRPr="0006770B">
        <w:rPr>
          <w:rFonts w:cs="Arial"/>
          <w:szCs w:val="20"/>
        </w:rPr>
        <w:t xml:space="preserve"> ni mogoče odrediti dela preko polnega delovnega časa in </w:t>
      </w:r>
      <w:r w:rsidR="0000791C" w:rsidRPr="0006770B">
        <w:rPr>
          <w:rFonts w:cs="Arial"/>
          <w:szCs w:val="20"/>
        </w:rPr>
        <w:t xml:space="preserve">z njim </w:t>
      </w:r>
      <w:r w:rsidRPr="0006770B">
        <w:rPr>
          <w:rFonts w:cs="Arial"/>
          <w:szCs w:val="20"/>
        </w:rPr>
        <w:t>skleniti dogovora o oprav</w:t>
      </w:r>
      <w:r w:rsidR="00E32D96" w:rsidRPr="0006770B">
        <w:rPr>
          <w:rFonts w:cs="Arial"/>
          <w:szCs w:val="20"/>
        </w:rPr>
        <w:t>ljanju dela v povečanem obsegu. J</w:t>
      </w:r>
      <w:r w:rsidRPr="0006770B">
        <w:rPr>
          <w:rFonts w:cs="Arial"/>
          <w:szCs w:val="20"/>
        </w:rPr>
        <w:t xml:space="preserve">avni uslužbenec </w:t>
      </w:r>
      <w:r w:rsidR="0006770B" w:rsidRPr="0006770B">
        <w:rPr>
          <w:rFonts w:cs="Arial"/>
          <w:szCs w:val="20"/>
        </w:rPr>
        <w:t>pa lahko prej</w:t>
      </w:r>
      <w:r w:rsidRPr="0006770B">
        <w:rPr>
          <w:rFonts w:cs="Arial"/>
          <w:szCs w:val="20"/>
        </w:rPr>
        <w:t>m</w:t>
      </w:r>
      <w:r w:rsidR="0006770B" w:rsidRPr="0006770B">
        <w:rPr>
          <w:rFonts w:cs="Arial"/>
          <w:szCs w:val="20"/>
        </w:rPr>
        <w:t>e</w:t>
      </w:r>
      <w:r w:rsidRPr="0006770B">
        <w:rPr>
          <w:rFonts w:cs="Arial"/>
          <w:szCs w:val="20"/>
        </w:rPr>
        <w:t xml:space="preserve"> tako </w:t>
      </w:r>
      <w:r w:rsidR="0006770B" w:rsidRPr="0006770B">
        <w:rPr>
          <w:rFonts w:cs="Arial"/>
          <w:szCs w:val="20"/>
        </w:rPr>
        <w:t>izplačilo delovne</w:t>
      </w:r>
      <w:r w:rsidRPr="0006770B">
        <w:rPr>
          <w:rFonts w:cs="Arial"/>
          <w:szCs w:val="20"/>
        </w:rPr>
        <w:t xml:space="preserve"> uspešnost</w:t>
      </w:r>
      <w:r w:rsidR="0006770B" w:rsidRPr="0006770B">
        <w:rPr>
          <w:rFonts w:cs="Arial"/>
          <w:szCs w:val="20"/>
        </w:rPr>
        <w:t>i</w:t>
      </w:r>
      <w:r w:rsidRPr="0006770B">
        <w:rPr>
          <w:rFonts w:cs="Arial"/>
          <w:szCs w:val="20"/>
        </w:rPr>
        <w:t xml:space="preserve"> iz naslova p</w:t>
      </w:r>
      <w:r w:rsidR="0000791C" w:rsidRPr="0006770B">
        <w:rPr>
          <w:rFonts w:cs="Arial"/>
          <w:szCs w:val="20"/>
        </w:rPr>
        <w:t>ovečanega obsega dela</w:t>
      </w:r>
      <w:r w:rsidRPr="0006770B">
        <w:rPr>
          <w:rFonts w:cs="Arial"/>
          <w:szCs w:val="20"/>
        </w:rPr>
        <w:t xml:space="preserve"> kot tudi izplačilo dela preko polnega delovnega časa, kadar gre za </w:t>
      </w:r>
      <w:r w:rsidRPr="0006770B">
        <w:rPr>
          <w:rFonts w:cs="Arial"/>
          <w:szCs w:val="20"/>
          <w:u w:val="single"/>
        </w:rPr>
        <w:t>različne naloge.</w:t>
      </w:r>
    </w:p>
    <w:p w14:paraId="6C5692CF" w14:textId="77777777" w:rsidR="00C4194D" w:rsidRPr="0006770B" w:rsidRDefault="00C4194D" w:rsidP="00E32D96">
      <w:pPr>
        <w:widowControl w:val="0"/>
        <w:spacing w:line="240" w:lineRule="atLeast"/>
        <w:jc w:val="both"/>
        <w:rPr>
          <w:rFonts w:cs="Arial"/>
          <w:szCs w:val="20"/>
        </w:rPr>
      </w:pPr>
    </w:p>
    <w:p w14:paraId="6361AA7E" w14:textId="77777777" w:rsidR="00E32D96" w:rsidRPr="0006770B" w:rsidRDefault="00E32D96" w:rsidP="00E32D96">
      <w:pPr>
        <w:widowControl w:val="0"/>
        <w:spacing w:line="240" w:lineRule="atLeast"/>
        <w:jc w:val="both"/>
        <w:rPr>
          <w:rFonts w:cs="Arial"/>
          <w:szCs w:val="20"/>
        </w:rPr>
      </w:pPr>
    </w:p>
    <w:p w14:paraId="34D6A28E" w14:textId="77777777" w:rsidR="00907FDB" w:rsidRPr="0006770B" w:rsidRDefault="0000791C" w:rsidP="00907FDB">
      <w:pPr>
        <w:pStyle w:val="Odstavekseznama"/>
        <w:widowControl w:val="0"/>
        <w:numPr>
          <w:ilvl w:val="0"/>
          <w:numId w:val="7"/>
        </w:numPr>
        <w:spacing w:line="240" w:lineRule="atLeast"/>
        <w:jc w:val="both"/>
        <w:rPr>
          <w:rFonts w:ascii="Arial" w:hAnsi="Arial" w:cs="Arial"/>
          <w:b/>
          <w:sz w:val="20"/>
          <w:szCs w:val="20"/>
        </w:rPr>
      </w:pPr>
      <w:r w:rsidRPr="0006770B">
        <w:rPr>
          <w:rFonts w:ascii="Arial" w:hAnsi="Arial" w:cs="Arial"/>
          <w:b/>
          <w:sz w:val="20"/>
          <w:szCs w:val="20"/>
        </w:rPr>
        <w:t>Izplačilo delovne uspešnosti iz naslova povečanega obsega dela in dodatka za delo v rizičnih razmerah</w:t>
      </w:r>
    </w:p>
    <w:p w14:paraId="2926E1F3" w14:textId="77777777" w:rsidR="0000791C" w:rsidRPr="0006770B" w:rsidRDefault="0000791C" w:rsidP="0000791C">
      <w:pPr>
        <w:spacing w:line="260" w:lineRule="exact"/>
        <w:jc w:val="both"/>
        <w:rPr>
          <w:rFonts w:cs="Arial"/>
          <w:b/>
          <w:szCs w:val="20"/>
        </w:rPr>
      </w:pPr>
      <w:r w:rsidRPr="0006770B">
        <w:rPr>
          <w:rFonts w:cs="Arial"/>
          <w:szCs w:val="20"/>
        </w:rPr>
        <w:t xml:space="preserve">KPJS v 11. točki prvega odstavka 39. člena določa dodatek za delo v rizičnih razmerah (območje vojne nevarnosti, nevarnosti terorističnih napadov z biološkimi agensi, demonstracij, naravnih nesreč, epidemij in epizootij) v višini 65% urne postavke osnovne plače javnega uslužbenca. Skladno z drugim odstavkom 39. člena KPJS dodatek pripada javnemu uslužbencu samo za čas, ko dela v nevarnih pogojih in pod posebnimi obremenitvami. </w:t>
      </w:r>
    </w:p>
    <w:p w14:paraId="53B7023D" w14:textId="77777777" w:rsidR="0000791C" w:rsidRPr="0006770B" w:rsidRDefault="0000791C" w:rsidP="0000791C">
      <w:pPr>
        <w:pStyle w:val="len"/>
        <w:jc w:val="both"/>
        <w:rPr>
          <w:rFonts w:ascii="Arial" w:hAnsi="Arial" w:cs="Arial"/>
          <w:sz w:val="20"/>
          <w:szCs w:val="20"/>
          <w:lang w:eastAsia="en-US"/>
        </w:rPr>
      </w:pPr>
      <w:r w:rsidRPr="0006770B">
        <w:rPr>
          <w:rFonts w:ascii="Arial" w:hAnsi="Arial" w:cs="Arial"/>
          <w:sz w:val="20"/>
          <w:szCs w:val="20"/>
          <w:lang w:eastAsia="en-US"/>
        </w:rPr>
        <w:t>Komisija za razlago KPJS je sprejela razlago 11. točke prvega odstavka 39. člena KPJS v povezavi z drugim odstavkom istega člena te kolektivne pogodbe (Uradni list RS, št. 48/20). Besedilo razlage se glasi:</w:t>
      </w:r>
    </w:p>
    <w:p w14:paraId="2EDDCBA2" w14:textId="77777777" w:rsidR="0000791C" w:rsidRPr="0006770B" w:rsidRDefault="0000791C" w:rsidP="0000791C">
      <w:pPr>
        <w:pStyle w:val="odstavek"/>
        <w:jc w:val="both"/>
        <w:rPr>
          <w:rFonts w:ascii="Arial" w:hAnsi="Arial" w:cs="Arial"/>
          <w:sz w:val="20"/>
          <w:szCs w:val="20"/>
        </w:rPr>
      </w:pPr>
      <w:r w:rsidRPr="0006770B">
        <w:rPr>
          <w:rFonts w:ascii="Arial" w:hAnsi="Arial" w:cs="Arial"/>
          <w:sz w:val="20"/>
          <w:szCs w:val="20"/>
        </w:rPr>
        <w:t>»Javnemu uslužbencu pripada dodatek za delo v rizičnih razmerah v obdobju epidemije, če sta kumulativno izpolnjena pogoja, da je razglašena epidemija v skladu z Zakonom o nalezljivih boleznih in da javni uslužbenec opravlja delo v nevarnih pogojih. Do dodatka je upravičen le za ure, ko je opravljal delo v nevarnih pogojih.</w:t>
      </w:r>
    </w:p>
    <w:p w14:paraId="0DD9C7CB" w14:textId="77777777" w:rsidR="0000791C" w:rsidRPr="0006770B" w:rsidRDefault="0000791C" w:rsidP="0000791C">
      <w:pPr>
        <w:pStyle w:val="odstavek"/>
        <w:jc w:val="both"/>
        <w:rPr>
          <w:rFonts w:ascii="Arial" w:hAnsi="Arial" w:cs="Arial"/>
          <w:sz w:val="20"/>
          <w:szCs w:val="20"/>
        </w:rPr>
      </w:pPr>
      <w:r w:rsidRPr="0006770B">
        <w:rPr>
          <w:rFonts w:ascii="Arial" w:hAnsi="Arial" w:cs="Arial"/>
          <w:sz w:val="20"/>
          <w:szCs w:val="20"/>
        </w:rPr>
        <w:t>Nevarni pogoji so pogoji, ko je ali bi lahko bilo ogroženo zdravje ali življenje javnega uslužbenca zaradi izpostavljenosti možni okužbi z nalezljivo boleznijo, zaradi katere je bila razglašena epidemija.</w:t>
      </w:r>
    </w:p>
    <w:p w14:paraId="76D26439" w14:textId="77777777" w:rsidR="0000791C" w:rsidRPr="0006770B" w:rsidRDefault="0000791C" w:rsidP="0000791C">
      <w:pPr>
        <w:pStyle w:val="odstavek"/>
        <w:jc w:val="both"/>
        <w:rPr>
          <w:rFonts w:ascii="Arial" w:hAnsi="Arial" w:cs="Arial"/>
          <w:sz w:val="20"/>
          <w:szCs w:val="20"/>
        </w:rPr>
      </w:pPr>
      <w:r w:rsidRPr="0006770B">
        <w:rPr>
          <w:rFonts w:ascii="Arial" w:hAnsi="Arial" w:cs="Arial"/>
          <w:sz w:val="20"/>
          <w:szCs w:val="20"/>
        </w:rPr>
        <w:t>Delodajalec določi dela in naloge, ki se opravljajo v nevarnih pogojih dela, in čas, ko je javni uslužbenec opravljal delo in naloge v nevarnih pogojih dela.</w:t>
      </w:r>
    </w:p>
    <w:p w14:paraId="005BE8BB" w14:textId="77777777" w:rsidR="0000791C" w:rsidRPr="0006770B" w:rsidRDefault="0000791C" w:rsidP="0000791C">
      <w:pPr>
        <w:pStyle w:val="odstavek"/>
        <w:tabs>
          <w:tab w:val="right" w:pos="9064"/>
        </w:tabs>
        <w:jc w:val="both"/>
        <w:rPr>
          <w:rFonts w:ascii="Arial" w:hAnsi="Arial" w:cs="Arial"/>
          <w:sz w:val="20"/>
          <w:szCs w:val="20"/>
        </w:rPr>
      </w:pPr>
      <w:r w:rsidRPr="0006770B">
        <w:rPr>
          <w:rFonts w:ascii="Arial" w:hAnsi="Arial" w:cs="Arial"/>
          <w:sz w:val="20"/>
          <w:szCs w:val="20"/>
        </w:rPr>
        <w:t>Šteje se, da ne gre za delo v nevarnih pogojih dela, če javni uslužbenec opravlja delo na domu.«</w:t>
      </w:r>
      <w:r w:rsidRPr="0006770B">
        <w:rPr>
          <w:rFonts w:ascii="Arial" w:hAnsi="Arial" w:cs="Arial"/>
          <w:sz w:val="20"/>
          <w:szCs w:val="20"/>
        </w:rPr>
        <w:tab/>
      </w:r>
    </w:p>
    <w:p w14:paraId="60FBF186" w14:textId="77777777" w:rsidR="0000791C" w:rsidRPr="0006770B" w:rsidRDefault="0000791C" w:rsidP="0000791C">
      <w:pPr>
        <w:autoSpaceDE w:val="0"/>
        <w:autoSpaceDN w:val="0"/>
        <w:adjustRightInd w:val="0"/>
        <w:spacing w:line="240" w:lineRule="auto"/>
        <w:jc w:val="both"/>
        <w:rPr>
          <w:rFonts w:cs="Arial"/>
          <w:szCs w:val="20"/>
          <w:lang w:eastAsia="sl-SI"/>
        </w:rPr>
      </w:pPr>
      <w:r w:rsidRPr="0006770B">
        <w:rPr>
          <w:rFonts w:cs="Arial"/>
          <w:szCs w:val="20"/>
          <w:lang w:eastAsia="sl-SI"/>
        </w:rPr>
        <w:t xml:space="preserve">Iz sprejete razlage izhaja, da do dodatka niso upravičeni vsi javni uslužbenci, ki v času trajanja epidemije prihajajo na delo, temveč zgolj tisti, ki delo opravljajo </w:t>
      </w:r>
      <w:r w:rsidRPr="00033E9A">
        <w:rPr>
          <w:rFonts w:cs="Arial"/>
          <w:szCs w:val="20"/>
          <w:u w:val="single"/>
          <w:lang w:eastAsia="sl-SI"/>
        </w:rPr>
        <w:t>v nevarnih pogojih</w:t>
      </w:r>
      <w:r w:rsidRPr="0006770B">
        <w:rPr>
          <w:rFonts w:cs="Arial"/>
          <w:szCs w:val="20"/>
          <w:lang w:eastAsia="sl-SI"/>
        </w:rPr>
        <w:t xml:space="preserve">. Za nevarne pogoje se štejejo pogoji, ko je ali bi lahko bilo ogroženo zdravje ali življenje javnega uslužbenca zaradi izpostavljenosti možni okužbi. Delodajalec je dolžan določiti dela in naloge, ki se zaradi </w:t>
      </w:r>
      <w:r w:rsidRPr="0006770B">
        <w:rPr>
          <w:rFonts w:cs="Arial"/>
          <w:szCs w:val="20"/>
          <w:lang w:eastAsia="sl-SI"/>
        </w:rPr>
        <w:lastRenderedPageBreak/>
        <w:t>razglašene epidemije nalezljive bolezni opravljajo v nevarnih pogojih dela in čas, ko je javni uslužbenec opravljal delo in naloge v nevarnih pogojih dela.</w:t>
      </w:r>
    </w:p>
    <w:p w14:paraId="3C6D863C" w14:textId="77777777" w:rsidR="0000791C" w:rsidRPr="0006770B" w:rsidRDefault="0000791C" w:rsidP="0000791C">
      <w:pPr>
        <w:autoSpaceDE w:val="0"/>
        <w:autoSpaceDN w:val="0"/>
        <w:adjustRightInd w:val="0"/>
        <w:spacing w:line="240" w:lineRule="auto"/>
        <w:jc w:val="both"/>
        <w:rPr>
          <w:rFonts w:cs="Arial"/>
          <w:szCs w:val="20"/>
          <w:lang w:eastAsia="sl-SI"/>
        </w:rPr>
      </w:pPr>
    </w:p>
    <w:p w14:paraId="50C38AE1" w14:textId="562F86A2" w:rsidR="0000791C" w:rsidRDefault="0000791C" w:rsidP="0000791C">
      <w:pPr>
        <w:autoSpaceDE w:val="0"/>
        <w:autoSpaceDN w:val="0"/>
        <w:adjustRightInd w:val="0"/>
        <w:spacing w:line="240" w:lineRule="auto"/>
        <w:jc w:val="both"/>
        <w:rPr>
          <w:rFonts w:cs="Arial"/>
          <w:szCs w:val="20"/>
        </w:rPr>
      </w:pPr>
      <w:r w:rsidRPr="0006770B">
        <w:rPr>
          <w:rFonts w:cs="Arial"/>
          <w:szCs w:val="20"/>
          <w:lang w:eastAsia="sl-SI"/>
        </w:rPr>
        <w:t>Glede na to, da se dodatek za delo v rizičnih razmerah izplačuje zaradi opravljanja dela v nevarnih pogojih, se z delovno uspešnostjo, ki predstavlja plačilo</w:t>
      </w:r>
      <w:r w:rsidRPr="0006770B">
        <w:rPr>
          <w:rFonts w:cs="Arial"/>
          <w:szCs w:val="20"/>
          <w:lang w:val="x-none"/>
        </w:rPr>
        <w:t xml:space="preserve"> za opravljeno </w:t>
      </w:r>
      <w:r w:rsidR="00BD0187" w:rsidRPr="0006770B">
        <w:rPr>
          <w:rFonts w:cs="Arial"/>
          <w:szCs w:val="20"/>
          <w:lang w:val="x-none"/>
        </w:rPr>
        <w:t>delo</w:t>
      </w:r>
      <w:r w:rsidR="00BD0187" w:rsidRPr="0006770B">
        <w:rPr>
          <w:rFonts w:cs="Arial"/>
          <w:szCs w:val="20"/>
        </w:rPr>
        <w:t xml:space="preserve"> </w:t>
      </w:r>
      <w:r w:rsidR="00BD0187" w:rsidRPr="0006770B">
        <w:rPr>
          <w:rFonts w:cs="Arial"/>
          <w:szCs w:val="20"/>
          <w:lang w:eastAsia="sl-SI"/>
        </w:rPr>
        <w:t>iz naslova povečanega obsega dela</w:t>
      </w:r>
      <w:r w:rsidR="00BD0187" w:rsidRPr="0006770B">
        <w:rPr>
          <w:rFonts w:cs="Arial"/>
          <w:szCs w:val="20"/>
          <w:lang w:val="x-none"/>
        </w:rPr>
        <w:t xml:space="preserve"> </w:t>
      </w:r>
      <w:r w:rsidRPr="0006770B">
        <w:rPr>
          <w:rFonts w:cs="Arial"/>
          <w:szCs w:val="20"/>
          <w:u w:val="single"/>
        </w:rPr>
        <w:t>ne izključuje.</w:t>
      </w:r>
      <w:r w:rsidRPr="0006770B">
        <w:rPr>
          <w:rFonts w:cs="Arial"/>
          <w:szCs w:val="20"/>
        </w:rPr>
        <w:t xml:space="preserve"> J</w:t>
      </w:r>
      <w:r w:rsidR="00907FDB" w:rsidRPr="0006770B">
        <w:rPr>
          <w:rFonts w:cs="Arial"/>
          <w:szCs w:val="20"/>
        </w:rPr>
        <w:t>a</w:t>
      </w:r>
      <w:r w:rsidRPr="0006770B">
        <w:rPr>
          <w:rFonts w:cs="Arial"/>
          <w:szCs w:val="20"/>
        </w:rPr>
        <w:t>v</w:t>
      </w:r>
      <w:r w:rsidR="00907FDB" w:rsidRPr="0006770B">
        <w:rPr>
          <w:rFonts w:cs="Arial"/>
          <w:szCs w:val="20"/>
        </w:rPr>
        <w:t>n</w:t>
      </w:r>
      <w:r w:rsidRPr="0006770B">
        <w:rPr>
          <w:rFonts w:cs="Arial"/>
          <w:szCs w:val="20"/>
        </w:rPr>
        <w:t>i uslužbenec lahko tako hkrati prejme izplačilo delovne uspešnosti iz naslova povečanega obsega dela</w:t>
      </w:r>
      <w:r w:rsidR="00C4194D">
        <w:rPr>
          <w:rFonts w:cs="Arial"/>
          <w:szCs w:val="20"/>
        </w:rPr>
        <w:t>, če so izpolnjeni pogoji za izplačilo tovrstne delovne uspešnosti (22.d in 22.e člen ZSPJS in Uredba),</w:t>
      </w:r>
      <w:r w:rsidRPr="0006770B">
        <w:rPr>
          <w:rFonts w:cs="Arial"/>
          <w:szCs w:val="20"/>
        </w:rPr>
        <w:t xml:space="preserve"> in </w:t>
      </w:r>
      <w:r w:rsidR="00907FDB" w:rsidRPr="0006770B">
        <w:rPr>
          <w:rFonts w:cs="Arial"/>
          <w:szCs w:val="20"/>
        </w:rPr>
        <w:t>dodatka za delo v rizičnih razmerah</w:t>
      </w:r>
      <w:r w:rsidR="00BD0187" w:rsidRPr="0006770B">
        <w:rPr>
          <w:rFonts w:cs="Arial"/>
          <w:szCs w:val="20"/>
        </w:rPr>
        <w:t>, če opravlja delo v nevarnih pogojih</w:t>
      </w:r>
      <w:r w:rsidR="00907FDB" w:rsidRPr="0006770B">
        <w:rPr>
          <w:rFonts w:cs="Arial"/>
          <w:szCs w:val="20"/>
        </w:rPr>
        <w:t xml:space="preserve"> v skladu s KPJS in sprejeto razlago. </w:t>
      </w:r>
    </w:p>
    <w:p w14:paraId="6944A37A" w14:textId="77777777" w:rsidR="00C4194D" w:rsidRPr="0006770B" w:rsidRDefault="00C4194D" w:rsidP="0000791C">
      <w:pPr>
        <w:autoSpaceDE w:val="0"/>
        <w:autoSpaceDN w:val="0"/>
        <w:adjustRightInd w:val="0"/>
        <w:spacing w:line="240" w:lineRule="auto"/>
        <w:jc w:val="both"/>
        <w:rPr>
          <w:rFonts w:cs="Arial"/>
          <w:szCs w:val="20"/>
        </w:rPr>
      </w:pPr>
    </w:p>
    <w:p w14:paraId="78B3C6D5" w14:textId="77777777" w:rsidR="0000791C" w:rsidRPr="0006770B" w:rsidRDefault="0000791C" w:rsidP="0000791C">
      <w:pPr>
        <w:autoSpaceDE w:val="0"/>
        <w:autoSpaceDN w:val="0"/>
        <w:spacing w:line="240" w:lineRule="auto"/>
        <w:jc w:val="both"/>
        <w:rPr>
          <w:rFonts w:cs="Arial"/>
          <w:szCs w:val="20"/>
        </w:rPr>
      </w:pPr>
    </w:p>
    <w:p w14:paraId="23DFC534" w14:textId="77777777" w:rsidR="0000791C" w:rsidRPr="0006770B" w:rsidRDefault="00907FDB" w:rsidP="00907FDB">
      <w:pPr>
        <w:pStyle w:val="Odstavekseznama"/>
        <w:numPr>
          <w:ilvl w:val="0"/>
          <w:numId w:val="7"/>
        </w:numPr>
        <w:spacing w:line="260" w:lineRule="exact"/>
        <w:jc w:val="both"/>
        <w:rPr>
          <w:rFonts w:ascii="Arial" w:hAnsi="Arial" w:cs="Arial"/>
          <w:b/>
          <w:color w:val="000000"/>
          <w:sz w:val="20"/>
          <w:szCs w:val="20"/>
          <w:lang w:eastAsia="sl-SI"/>
        </w:rPr>
      </w:pPr>
      <w:r w:rsidRPr="0006770B">
        <w:rPr>
          <w:rFonts w:ascii="Arial" w:hAnsi="Arial" w:cs="Arial"/>
          <w:b/>
          <w:color w:val="000000"/>
          <w:sz w:val="20"/>
          <w:szCs w:val="20"/>
          <w:lang w:eastAsia="sl-SI"/>
        </w:rPr>
        <w:t>Izplačilo delovne uspešnosti iz naslova povečanega obsega dela in dodatka</w:t>
      </w:r>
      <w:r w:rsidRPr="00F34161">
        <w:rPr>
          <w:rFonts w:ascii="Arial" w:hAnsi="Arial" w:cs="Arial"/>
          <w:sz w:val="20"/>
          <w:szCs w:val="20"/>
        </w:rPr>
        <w:t xml:space="preserve"> </w:t>
      </w:r>
      <w:r w:rsidRPr="00F34161">
        <w:rPr>
          <w:rFonts w:ascii="Arial" w:hAnsi="Arial" w:cs="Arial"/>
          <w:b/>
          <w:sz w:val="20"/>
          <w:szCs w:val="20"/>
        </w:rPr>
        <w:t>za nevarnost in posebne obremenitve v času epidemije</w:t>
      </w:r>
      <w:r w:rsidRPr="0006770B">
        <w:rPr>
          <w:rFonts w:ascii="Arial" w:hAnsi="Arial" w:cs="Arial"/>
          <w:b/>
          <w:sz w:val="20"/>
          <w:szCs w:val="20"/>
        </w:rPr>
        <w:t xml:space="preserve">  (71. člen ZIUZEOP)</w:t>
      </w:r>
    </w:p>
    <w:p w14:paraId="5A9D1E0D" w14:textId="04814EBC" w:rsidR="00F34161" w:rsidRPr="00F34161" w:rsidRDefault="00F34161" w:rsidP="00F34161">
      <w:pPr>
        <w:spacing w:line="260" w:lineRule="exact"/>
        <w:jc w:val="both"/>
        <w:rPr>
          <w:rFonts w:cs="Arial"/>
          <w:szCs w:val="20"/>
        </w:rPr>
      </w:pPr>
      <w:r w:rsidRPr="00F34161">
        <w:rPr>
          <w:rFonts w:cs="Arial"/>
          <w:szCs w:val="20"/>
        </w:rPr>
        <w:t xml:space="preserve">ZIUZEOP v 71. členu določa izplačilo dodatka za nevarnost in posebne obremenitve v času epidemije zaposlenemu, ki je pri svojem delu nadpovprečno izpostavljen tveganju za svoje zdravje </w:t>
      </w:r>
      <w:r w:rsidRPr="00FA4EE6">
        <w:rPr>
          <w:rFonts w:cs="Arial"/>
          <w:b/>
          <w:bCs/>
          <w:szCs w:val="20"/>
        </w:rPr>
        <w:t xml:space="preserve">oziroma </w:t>
      </w:r>
      <w:r w:rsidRPr="00F34161">
        <w:rPr>
          <w:rFonts w:cs="Arial"/>
          <w:szCs w:val="20"/>
        </w:rPr>
        <w:t xml:space="preserve">prekomerno obremenjen </w:t>
      </w:r>
      <w:r w:rsidRPr="00F34161">
        <w:rPr>
          <w:rFonts w:cs="Arial"/>
          <w:szCs w:val="20"/>
          <w:u w:val="single"/>
        </w:rPr>
        <w:t>zaradi obvladovanja epidemije</w:t>
      </w:r>
      <w:r w:rsidRPr="00F34161">
        <w:rPr>
          <w:rFonts w:cs="Arial"/>
          <w:szCs w:val="20"/>
        </w:rPr>
        <w:t xml:space="preserve">. Dodatek znaša največ 100 % urne postavke osnovne plače zaposlenega. </w:t>
      </w:r>
      <w:r w:rsidR="00C4194D">
        <w:rPr>
          <w:rFonts w:cs="Arial"/>
          <w:szCs w:val="20"/>
        </w:rPr>
        <w:t xml:space="preserve">Kot je določeno v četrtem odstavku 71. člena ZIUZEOP, se višina dodatka določi s sklepom, pri čemer se upošteva stopnja izpostavljenosti tveganju oziroma prekomerne obremenjenosti </w:t>
      </w:r>
      <w:r w:rsidR="007059D0">
        <w:rPr>
          <w:rFonts w:cs="Arial"/>
          <w:szCs w:val="20"/>
        </w:rPr>
        <w:t xml:space="preserve">ter obseg dodeljenih finančnih sredstev za izplačilo tega dodatka. </w:t>
      </w:r>
      <w:r w:rsidRPr="00F34161">
        <w:rPr>
          <w:rFonts w:eastAsiaTheme="minorHAnsi" w:cs="Arial"/>
          <w:szCs w:val="20"/>
        </w:rPr>
        <w:t>Pravico do dodatka imajo torej izključno zaposleni, ki:</w:t>
      </w:r>
    </w:p>
    <w:p w14:paraId="5896C179" w14:textId="77777777" w:rsidR="00F34161" w:rsidRPr="00F34161" w:rsidRDefault="00F34161" w:rsidP="00F34161">
      <w:pPr>
        <w:numPr>
          <w:ilvl w:val="0"/>
          <w:numId w:val="4"/>
        </w:numPr>
        <w:spacing w:after="160" w:line="256" w:lineRule="auto"/>
        <w:contextualSpacing/>
        <w:jc w:val="both"/>
        <w:rPr>
          <w:rFonts w:eastAsiaTheme="minorHAnsi" w:cs="Arial"/>
          <w:szCs w:val="20"/>
        </w:rPr>
      </w:pPr>
      <w:r w:rsidRPr="00F34161">
        <w:rPr>
          <w:rFonts w:eastAsiaTheme="minorHAnsi" w:cs="Arial"/>
          <w:szCs w:val="20"/>
        </w:rPr>
        <w:t xml:space="preserve">so nadpovprečno izpostavljeni tveganju za svoje zdravje </w:t>
      </w:r>
      <w:r w:rsidRPr="00F34161">
        <w:rPr>
          <w:rFonts w:eastAsiaTheme="minorHAnsi" w:cs="Arial"/>
          <w:szCs w:val="20"/>
          <w:u w:val="single"/>
        </w:rPr>
        <w:t>zaradi obvladovanja epidemije</w:t>
      </w:r>
      <w:r w:rsidR="00907FDB" w:rsidRPr="0006770B">
        <w:rPr>
          <w:rFonts w:eastAsiaTheme="minorHAnsi" w:cs="Arial"/>
          <w:szCs w:val="20"/>
        </w:rPr>
        <w:t xml:space="preserve"> oziroma</w:t>
      </w:r>
    </w:p>
    <w:p w14:paraId="2A891640" w14:textId="77777777" w:rsidR="00F34161" w:rsidRPr="00F34161" w:rsidRDefault="00F34161" w:rsidP="00F34161">
      <w:pPr>
        <w:numPr>
          <w:ilvl w:val="0"/>
          <w:numId w:val="4"/>
        </w:numPr>
        <w:spacing w:after="160" w:line="256" w:lineRule="auto"/>
        <w:contextualSpacing/>
        <w:jc w:val="both"/>
        <w:rPr>
          <w:rFonts w:eastAsiaTheme="minorHAnsi" w:cs="Arial"/>
          <w:szCs w:val="20"/>
        </w:rPr>
      </w:pPr>
      <w:r w:rsidRPr="00F34161">
        <w:rPr>
          <w:rFonts w:eastAsiaTheme="minorHAnsi" w:cs="Arial"/>
          <w:szCs w:val="20"/>
        </w:rPr>
        <w:t xml:space="preserve">so prekomerno obremenjeni </w:t>
      </w:r>
      <w:r w:rsidRPr="00F34161">
        <w:rPr>
          <w:rFonts w:eastAsiaTheme="minorHAnsi" w:cs="Arial"/>
          <w:szCs w:val="20"/>
          <w:u w:val="single"/>
        </w:rPr>
        <w:t>zaradi obvladovanja epidemije.</w:t>
      </w:r>
      <w:r w:rsidRPr="00F34161">
        <w:rPr>
          <w:rFonts w:eastAsiaTheme="minorHAnsi" w:cs="Arial"/>
          <w:szCs w:val="20"/>
        </w:rPr>
        <w:t xml:space="preserve"> </w:t>
      </w:r>
    </w:p>
    <w:p w14:paraId="6827602D" w14:textId="77777777" w:rsidR="00F34161" w:rsidRPr="00F34161" w:rsidRDefault="00F34161" w:rsidP="00F34161">
      <w:pPr>
        <w:spacing w:after="160" w:line="256" w:lineRule="auto"/>
        <w:contextualSpacing/>
        <w:jc w:val="both"/>
        <w:rPr>
          <w:rFonts w:eastAsiaTheme="minorHAnsi" w:cs="Arial"/>
          <w:szCs w:val="20"/>
        </w:rPr>
      </w:pPr>
      <w:r w:rsidRPr="00F34161">
        <w:rPr>
          <w:rFonts w:eastAsiaTheme="minorHAnsi" w:cs="Arial"/>
          <w:szCs w:val="20"/>
        </w:rPr>
        <w:t xml:space="preserve"> </w:t>
      </w:r>
    </w:p>
    <w:p w14:paraId="49A190C3" w14:textId="54C15A65" w:rsidR="00F34161" w:rsidRPr="0006770B" w:rsidRDefault="00F34161" w:rsidP="00F34161">
      <w:pPr>
        <w:spacing w:after="160" w:line="256" w:lineRule="auto"/>
        <w:contextualSpacing/>
        <w:jc w:val="both"/>
        <w:rPr>
          <w:rFonts w:cs="Arial"/>
          <w:szCs w:val="20"/>
        </w:rPr>
      </w:pPr>
      <w:r w:rsidRPr="00F34161">
        <w:rPr>
          <w:rFonts w:cs="Arial"/>
          <w:szCs w:val="20"/>
        </w:rPr>
        <w:t xml:space="preserve">Iz zgoraj navedene določbe izhaja, da se dodatek zaposlenemu lahko izplača za </w:t>
      </w:r>
      <w:r w:rsidR="00570AF0" w:rsidRPr="00F34161">
        <w:rPr>
          <w:rFonts w:cs="Arial"/>
          <w:szCs w:val="20"/>
        </w:rPr>
        <w:t>opravljanj</w:t>
      </w:r>
      <w:r w:rsidR="00570AF0">
        <w:rPr>
          <w:rFonts w:cs="Arial"/>
          <w:szCs w:val="20"/>
        </w:rPr>
        <w:t>e</w:t>
      </w:r>
      <w:r w:rsidR="00570AF0" w:rsidRPr="00F34161">
        <w:rPr>
          <w:rFonts w:cs="Arial"/>
          <w:szCs w:val="20"/>
        </w:rPr>
        <w:t xml:space="preserve"> </w:t>
      </w:r>
      <w:r w:rsidRPr="00F34161">
        <w:rPr>
          <w:rFonts w:cs="Arial"/>
          <w:szCs w:val="20"/>
        </w:rPr>
        <w:t xml:space="preserve">nalog, povezanih z obvladovanjem epidemije in ne za opravljanje katerihkoli drugih nalog, ki se sicer opravljajo pri uporabniku proračuna. Do tega dodatka </w:t>
      </w:r>
      <w:r w:rsidR="00907FDB" w:rsidRPr="0006770B">
        <w:rPr>
          <w:rFonts w:cs="Arial"/>
          <w:szCs w:val="20"/>
        </w:rPr>
        <w:t xml:space="preserve">tako </w:t>
      </w:r>
      <w:r w:rsidRPr="00F34161">
        <w:rPr>
          <w:rFonts w:cs="Arial"/>
          <w:szCs w:val="20"/>
        </w:rPr>
        <w:t>niso upravičeni zap</w:t>
      </w:r>
      <w:r w:rsidR="0006770B">
        <w:rPr>
          <w:rFonts w:cs="Arial"/>
          <w:szCs w:val="20"/>
        </w:rPr>
        <w:t>osleni, ki so npr. nadpovprečno</w:t>
      </w:r>
      <w:r w:rsidRPr="00F34161">
        <w:rPr>
          <w:rFonts w:cs="Arial"/>
          <w:szCs w:val="20"/>
        </w:rPr>
        <w:t xml:space="preserve"> obremenjeni zaradi običajnih nalog, ki sodijo v delovno področje proračunskega uporabnika. </w:t>
      </w:r>
    </w:p>
    <w:p w14:paraId="563B70B0" w14:textId="77777777" w:rsidR="00907FDB" w:rsidRPr="0006770B" w:rsidRDefault="00907FDB" w:rsidP="00F34161">
      <w:pPr>
        <w:spacing w:after="160" w:line="256" w:lineRule="auto"/>
        <w:contextualSpacing/>
        <w:jc w:val="both"/>
        <w:rPr>
          <w:rFonts w:cs="Arial"/>
          <w:szCs w:val="20"/>
        </w:rPr>
      </w:pPr>
    </w:p>
    <w:p w14:paraId="415F06B3" w14:textId="117E0561" w:rsidR="00907FDB" w:rsidRPr="0006770B" w:rsidRDefault="00907FDB" w:rsidP="00FE231F">
      <w:pPr>
        <w:spacing w:after="160" w:line="256" w:lineRule="auto"/>
        <w:contextualSpacing/>
        <w:jc w:val="both"/>
        <w:rPr>
          <w:rFonts w:eastAsiaTheme="minorHAnsi" w:cs="Arial"/>
          <w:szCs w:val="20"/>
        </w:rPr>
      </w:pPr>
      <w:r w:rsidRPr="0006770B">
        <w:rPr>
          <w:rFonts w:cs="Arial"/>
          <w:szCs w:val="20"/>
        </w:rPr>
        <w:t>Zaposlen</w:t>
      </w:r>
      <w:r w:rsidR="0006770B">
        <w:rPr>
          <w:rFonts w:cs="Arial"/>
          <w:szCs w:val="20"/>
        </w:rPr>
        <w:t xml:space="preserve">emu </w:t>
      </w:r>
      <w:r w:rsidRPr="0006770B">
        <w:rPr>
          <w:rFonts w:cs="Arial"/>
          <w:szCs w:val="20"/>
        </w:rPr>
        <w:t>se dodatek iz 7</w:t>
      </w:r>
      <w:r w:rsidR="00FE231F" w:rsidRPr="0006770B">
        <w:rPr>
          <w:rFonts w:cs="Arial"/>
          <w:szCs w:val="20"/>
        </w:rPr>
        <w:t>1</w:t>
      </w:r>
      <w:r w:rsidRPr="0006770B">
        <w:rPr>
          <w:rFonts w:cs="Arial"/>
          <w:szCs w:val="20"/>
        </w:rPr>
        <w:t xml:space="preserve">. </w:t>
      </w:r>
      <w:r w:rsidR="00FE231F" w:rsidRPr="0006770B">
        <w:rPr>
          <w:rFonts w:cs="Arial"/>
          <w:szCs w:val="20"/>
        </w:rPr>
        <w:t>č</w:t>
      </w:r>
      <w:r w:rsidRPr="0006770B">
        <w:rPr>
          <w:rFonts w:cs="Arial"/>
          <w:szCs w:val="20"/>
        </w:rPr>
        <w:t xml:space="preserve">lena ZIUZEOP lahko izplačuje, če je </w:t>
      </w:r>
      <w:r w:rsidRPr="00F34161">
        <w:rPr>
          <w:rFonts w:eastAsiaTheme="minorHAnsi" w:cs="Arial"/>
          <w:szCs w:val="20"/>
        </w:rPr>
        <w:t>nadpovprečno izpostavljen tveganju za svoje zdravje zaradi obvladovanja epidemije</w:t>
      </w:r>
      <w:r w:rsidRPr="0006770B">
        <w:rPr>
          <w:rFonts w:eastAsiaTheme="minorHAnsi" w:cs="Arial"/>
          <w:szCs w:val="20"/>
        </w:rPr>
        <w:t xml:space="preserve"> </w:t>
      </w:r>
      <w:r w:rsidRPr="0006770B">
        <w:rPr>
          <w:rFonts w:eastAsiaTheme="minorHAnsi" w:cs="Arial"/>
          <w:szCs w:val="20"/>
          <w:u w:val="single"/>
        </w:rPr>
        <w:t>ali</w:t>
      </w:r>
      <w:r w:rsidRPr="0006770B">
        <w:rPr>
          <w:rFonts w:eastAsiaTheme="minorHAnsi" w:cs="Arial"/>
          <w:szCs w:val="20"/>
        </w:rPr>
        <w:t xml:space="preserve"> če je prekomerno obremenjen zaradi obvladovanja epidemije </w:t>
      </w:r>
      <w:r w:rsidRPr="0006770B">
        <w:rPr>
          <w:rFonts w:eastAsiaTheme="minorHAnsi" w:cs="Arial"/>
          <w:szCs w:val="20"/>
          <w:u w:val="single"/>
        </w:rPr>
        <w:t>a</w:t>
      </w:r>
      <w:r w:rsidRPr="003C7136">
        <w:rPr>
          <w:rFonts w:eastAsiaTheme="minorHAnsi" w:cs="Arial"/>
          <w:szCs w:val="20"/>
          <w:u w:val="single"/>
        </w:rPr>
        <w:t>li</w:t>
      </w:r>
      <w:r w:rsidRPr="003C7136">
        <w:rPr>
          <w:rFonts w:eastAsiaTheme="minorHAnsi" w:cs="Arial"/>
          <w:szCs w:val="20"/>
        </w:rPr>
        <w:t xml:space="preserve"> </w:t>
      </w:r>
      <w:r w:rsidRPr="0006770B">
        <w:rPr>
          <w:rFonts w:eastAsiaTheme="minorHAnsi" w:cs="Arial"/>
          <w:szCs w:val="20"/>
        </w:rPr>
        <w:t xml:space="preserve">iz obeh razlogov </w:t>
      </w:r>
      <w:r w:rsidRPr="00FA4EE6">
        <w:rPr>
          <w:rFonts w:eastAsiaTheme="minorHAnsi" w:cs="Arial"/>
          <w:b/>
          <w:bCs/>
          <w:szCs w:val="20"/>
        </w:rPr>
        <w:t>hkrati</w:t>
      </w:r>
      <w:r w:rsidRPr="0006770B">
        <w:rPr>
          <w:rFonts w:eastAsiaTheme="minorHAnsi" w:cs="Arial"/>
          <w:szCs w:val="20"/>
        </w:rPr>
        <w:t xml:space="preserve">. </w:t>
      </w:r>
    </w:p>
    <w:p w14:paraId="7590D70B" w14:textId="77777777" w:rsidR="00907FDB" w:rsidRPr="0006770B" w:rsidRDefault="00907FDB" w:rsidP="00907FDB">
      <w:pPr>
        <w:spacing w:after="160" w:line="256" w:lineRule="auto"/>
        <w:contextualSpacing/>
        <w:jc w:val="both"/>
        <w:rPr>
          <w:rFonts w:eastAsiaTheme="minorHAnsi" w:cs="Arial"/>
          <w:szCs w:val="20"/>
          <w:u w:val="single"/>
        </w:rPr>
      </w:pPr>
    </w:p>
    <w:p w14:paraId="5096AEEA" w14:textId="77777777" w:rsidR="00E32D96" w:rsidRPr="0006770B" w:rsidRDefault="00E32D96" w:rsidP="00907FDB">
      <w:pPr>
        <w:spacing w:after="160" w:line="256" w:lineRule="auto"/>
        <w:contextualSpacing/>
        <w:jc w:val="both"/>
        <w:rPr>
          <w:rFonts w:eastAsiaTheme="minorHAnsi" w:cs="Arial"/>
          <w:szCs w:val="20"/>
        </w:rPr>
      </w:pPr>
      <w:r w:rsidRPr="00F34161">
        <w:rPr>
          <w:rFonts w:cs="Arial"/>
          <w:szCs w:val="20"/>
        </w:rPr>
        <w:t>ZIUZEOP izrecne določbe, ki bi določala, ali je hkrati zaposlenemu mogoče izplačati dodatek za nevarnost in posebne obremenitve v času epidemije in delovno uspešnost iz naslova povečanega obsega, ne vsebuje.</w:t>
      </w:r>
    </w:p>
    <w:p w14:paraId="3FC132D4" w14:textId="77777777" w:rsidR="00E32D96" w:rsidRPr="0006770B" w:rsidRDefault="00E32D96" w:rsidP="00907FDB">
      <w:pPr>
        <w:spacing w:after="160" w:line="256" w:lineRule="auto"/>
        <w:contextualSpacing/>
        <w:jc w:val="both"/>
        <w:rPr>
          <w:rFonts w:eastAsiaTheme="minorHAnsi" w:cs="Arial"/>
          <w:szCs w:val="20"/>
        </w:rPr>
      </w:pPr>
    </w:p>
    <w:p w14:paraId="71C7D777" w14:textId="1C381ADC" w:rsidR="00907FDB" w:rsidRPr="0006770B" w:rsidRDefault="00907FDB" w:rsidP="00907FDB">
      <w:pPr>
        <w:spacing w:after="160" w:line="256" w:lineRule="auto"/>
        <w:contextualSpacing/>
        <w:jc w:val="both"/>
        <w:rPr>
          <w:rFonts w:eastAsiaTheme="minorHAnsi" w:cs="Arial"/>
          <w:szCs w:val="20"/>
        </w:rPr>
      </w:pPr>
      <w:r w:rsidRPr="0006770B">
        <w:rPr>
          <w:rFonts w:eastAsiaTheme="minorHAnsi" w:cs="Arial"/>
          <w:szCs w:val="20"/>
        </w:rPr>
        <w:t>V</w:t>
      </w:r>
      <w:r w:rsidR="00FE231F" w:rsidRPr="0006770B">
        <w:rPr>
          <w:rFonts w:eastAsiaTheme="minorHAnsi" w:cs="Arial"/>
          <w:szCs w:val="20"/>
        </w:rPr>
        <w:t xml:space="preserve"> primeru, ko se zap</w:t>
      </w:r>
      <w:r w:rsidRPr="0006770B">
        <w:rPr>
          <w:rFonts w:eastAsiaTheme="minorHAnsi" w:cs="Arial"/>
          <w:szCs w:val="20"/>
        </w:rPr>
        <w:t>o</w:t>
      </w:r>
      <w:r w:rsidR="00FE231F" w:rsidRPr="0006770B">
        <w:rPr>
          <w:rFonts w:eastAsiaTheme="minorHAnsi" w:cs="Arial"/>
          <w:szCs w:val="20"/>
        </w:rPr>
        <w:t>s</w:t>
      </w:r>
      <w:r w:rsidRPr="0006770B">
        <w:rPr>
          <w:rFonts w:eastAsiaTheme="minorHAnsi" w:cs="Arial"/>
          <w:szCs w:val="20"/>
        </w:rPr>
        <w:t xml:space="preserve">lenemu izplačuje dodatek zato, ker je </w:t>
      </w:r>
      <w:r w:rsidR="0006770B">
        <w:rPr>
          <w:rFonts w:eastAsiaTheme="minorHAnsi" w:cs="Arial"/>
          <w:szCs w:val="20"/>
        </w:rPr>
        <w:t>nadpovprečno izpostavljen</w:t>
      </w:r>
      <w:r w:rsidRPr="00F34161">
        <w:rPr>
          <w:rFonts w:eastAsiaTheme="minorHAnsi" w:cs="Arial"/>
          <w:szCs w:val="20"/>
        </w:rPr>
        <w:t xml:space="preserve"> tveganju za svoje zdravje</w:t>
      </w:r>
      <w:r w:rsidRPr="0006770B">
        <w:rPr>
          <w:rFonts w:eastAsiaTheme="minorHAnsi" w:cs="Arial"/>
          <w:szCs w:val="20"/>
        </w:rPr>
        <w:t>, menimo, da lahko hkrati prejme tudi izplačilo delovne uspešnosti iz naslova povečanega obsega dela,</w:t>
      </w:r>
      <w:r w:rsidR="0006770B">
        <w:rPr>
          <w:rFonts w:eastAsiaTheme="minorHAnsi" w:cs="Arial"/>
          <w:szCs w:val="20"/>
        </w:rPr>
        <w:t xml:space="preserve"> ne glede na to, ali gre za iste ali različne naloge,</w:t>
      </w:r>
      <w:r w:rsidRPr="0006770B">
        <w:rPr>
          <w:rFonts w:eastAsiaTheme="minorHAnsi" w:cs="Arial"/>
          <w:szCs w:val="20"/>
        </w:rPr>
        <w:t xml:space="preserve"> saj v izplačilu dodatka </w:t>
      </w:r>
      <w:r w:rsidR="00E32D96" w:rsidRPr="0006770B">
        <w:rPr>
          <w:rFonts w:eastAsiaTheme="minorHAnsi" w:cs="Arial"/>
          <w:szCs w:val="20"/>
        </w:rPr>
        <w:t xml:space="preserve">v tem primeru povečan obseg dela ni zajet. </w:t>
      </w:r>
      <w:r w:rsidR="00845E63">
        <w:rPr>
          <w:rFonts w:eastAsiaTheme="minorHAnsi" w:cs="Arial"/>
          <w:szCs w:val="20"/>
        </w:rPr>
        <w:t>Razumljivo pa je, da mora iz samega sklepa o določitvi višine tega dodatka biti razvidno, da zaposleni dodatka ne prejme zaradi prekomer</w:t>
      </w:r>
      <w:r w:rsidR="00033E9A">
        <w:rPr>
          <w:rFonts w:eastAsiaTheme="minorHAnsi" w:cs="Arial"/>
          <w:szCs w:val="20"/>
        </w:rPr>
        <w:t>ne obremenjenosti iz naslova obvladovanja epidemije.</w:t>
      </w:r>
    </w:p>
    <w:p w14:paraId="1AA1D204" w14:textId="77777777" w:rsidR="00E32D96" w:rsidRPr="0006770B" w:rsidRDefault="00E32D96" w:rsidP="00907FDB">
      <w:pPr>
        <w:spacing w:after="160" w:line="256" w:lineRule="auto"/>
        <w:contextualSpacing/>
        <w:jc w:val="both"/>
        <w:rPr>
          <w:rFonts w:eastAsiaTheme="minorHAnsi" w:cs="Arial"/>
          <w:szCs w:val="20"/>
        </w:rPr>
      </w:pPr>
    </w:p>
    <w:p w14:paraId="192BAFF5" w14:textId="02243D47" w:rsidR="00FA4EE6" w:rsidRDefault="00E32D96" w:rsidP="00F34161">
      <w:pPr>
        <w:spacing w:after="160" w:line="256" w:lineRule="auto"/>
        <w:contextualSpacing/>
        <w:jc w:val="both"/>
        <w:rPr>
          <w:rFonts w:cs="Arial"/>
          <w:szCs w:val="20"/>
        </w:rPr>
      </w:pPr>
      <w:r w:rsidRPr="0006770B">
        <w:rPr>
          <w:rFonts w:eastAsiaTheme="minorHAnsi" w:cs="Arial"/>
          <w:szCs w:val="20"/>
        </w:rPr>
        <w:t>Kadar</w:t>
      </w:r>
      <w:r w:rsidR="0006770B">
        <w:rPr>
          <w:rFonts w:eastAsiaTheme="minorHAnsi" w:cs="Arial"/>
          <w:szCs w:val="20"/>
        </w:rPr>
        <w:t xml:space="preserve"> zaposleni prejme izplačilo dodatka po 71. členu ZIUZEOP iz naslova prekomerne obremenjenosti zaradi obvladovanja epidemije </w:t>
      </w:r>
      <w:r w:rsidR="00F34161" w:rsidRPr="00F34161">
        <w:rPr>
          <w:rFonts w:cs="Arial"/>
          <w:szCs w:val="20"/>
        </w:rPr>
        <w:t xml:space="preserve">pa menimo, da se za </w:t>
      </w:r>
      <w:r w:rsidR="00F34161" w:rsidRPr="00F34161">
        <w:rPr>
          <w:rFonts w:cs="Arial"/>
          <w:szCs w:val="20"/>
          <w:u w:val="single"/>
        </w:rPr>
        <w:t>iste naloge</w:t>
      </w:r>
      <w:r w:rsidR="00F34161" w:rsidRPr="00F34161">
        <w:rPr>
          <w:rFonts w:cs="Arial"/>
          <w:szCs w:val="20"/>
        </w:rPr>
        <w:t xml:space="preserve"> z zaposlenim ni mogoče dogovoriti še za opravljanje </w:t>
      </w:r>
      <w:r w:rsidR="00284D4E">
        <w:rPr>
          <w:rFonts w:cs="Arial"/>
          <w:szCs w:val="20"/>
        </w:rPr>
        <w:t xml:space="preserve">istih </w:t>
      </w:r>
      <w:r w:rsidR="00F34161" w:rsidRPr="00F34161">
        <w:rPr>
          <w:rFonts w:cs="Arial"/>
          <w:szCs w:val="20"/>
        </w:rPr>
        <w:t xml:space="preserve">nalog v okviru povečanega obsega dela. Navedeno bi tudi pomenilo večkratno plačilo za isto delo, kar bi nasprotovalo učinkoviti in gospodarni rabi javnih sredstev, ki zavezuje predstojnike v skladu 2. členom Zakona o javnih financah (Uradni list RS, št. </w:t>
      </w:r>
      <w:hyperlink r:id="rId40" w:tgtFrame="_blank" w:tooltip="Zakon o javnih financah (uradno prečiščeno besedilo)" w:history="1">
        <w:r w:rsidR="00F34161" w:rsidRPr="00F34161">
          <w:rPr>
            <w:rFonts w:cs="Arial"/>
            <w:szCs w:val="20"/>
          </w:rPr>
          <w:t>11/11</w:t>
        </w:r>
      </w:hyperlink>
      <w:r w:rsidR="00F34161" w:rsidRPr="00F34161">
        <w:rPr>
          <w:rFonts w:cs="Arial"/>
          <w:szCs w:val="20"/>
        </w:rPr>
        <w:t xml:space="preserve"> – uradno prečiščeno besedilo, </w:t>
      </w:r>
      <w:hyperlink r:id="rId41" w:tgtFrame="_blank" w:tooltip="Popravek Uradnega prečiščenega besedila Zakona  o javnih financah (ZJF-UPB4p)" w:history="1">
        <w:r w:rsidR="00F34161" w:rsidRPr="00F34161">
          <w:rPr>
            <w:rFonts w:cs="Arial"/>
            <w:szCs w:val="20"/>
          </w:rPr>
          <w:t xml:space="preserve">14/13 – </w:t>
        </w:r>
        <w:proofErr w:type="spellStart"/>
        <w:r w:rsidR="00F34161" w:rsidRPr="00F34161">
          <w:rPr>
            <w:rFonts w:cs="Arial"/>
            <w:szCs w:val="20"/>
          </w:rPr>
          <w:t>popr</w:t>
        </w:r>
        <w:proofErr w:type="spellEnd"/>
        <w:r w:rsidR="00F34161" w:rsidRPr="00F34161">
          <w:rPr>
            <w:rFonts w:cs="Arial"/>
            <w:szCs w:val="20"/>
          </w:rPr>
          <w:t>.</w:t>
        </w:r>
      </w:hyperlink>
      <w:r w:rsidR="00F34161" w:rsidRPr="00F34161">
        <w:rPr>
          <w:rFonts w:cs="Arial"/>
          <w:szCs w:val="20"/>
        </w:rPr>
        <w:t xml:space="preserve">, </w:t>
      </w:r>
      <w:hyperlink r:id="rId42" w:tgtFrame="_blank" w:tooltip="Zakon o dopolnitvi Zakona o javnih financah" w:history="1">
        <w:r w:rsidR="00F34161" w:rsidRPr="00F34161">
          <w:rPr>
            <w:rFonts w:cs="Arial"/>
            <w:szCs w:val="20"/>
          </w:rPr>
          <w:t>101/13</w:t>
        </w:r>
      </w:hyperlink>
      <w:r w:rsidR="00F34161" w:rsidRPr="00F34161">
        <w:rPr>
          <w:rFonts w:cs="Arial"/>
          <w:szCs w:val="20"/>
        </w:rPr>
        <w:t xml:space="preserve">, </w:t>
      </w:r>
      <w:hyperlink r:id="rId43" w:tgtFrame="_blank" w:tooltip="Zakon o fiskalnem pravilu" w:history="1">
        <w:r w:rsidR="00F34161" w:rsidRPr="00F34161">
          <w:rPr>
            <w:rFonts w:cs="Arial"/>
            <w:szCs w:val="20"/>
          </w:rPr>
          <w:t>55/15</w:t>
        </w:r>
      </w:hyperlink>
      <w:r w:rsidR="00F34161" w:rsidRPr="00F34161">
        <w:rPr>
          <w:rFonts w:cs="Arial"/>
          <w:szCs w:val="20"/>
        </w:rPr>
        <w:t xml:space="preserve"> – </w:t>
      </w:r>
      <w:proofErr w:type="spellStart"/>
      <w:r w:rsidR="00F34161" w:rsidRPr="00F34161">
        <w:rPr>
          <w:rFonts w:cs="Arial"/>
          <w:szCs w:val="20"/>
        </w:rPr>
        <w:t>ZFisP</w:t>
      </w:r>
      <w:proofErr w:type="spellEnd"/>
      <w:r w:rsidR="00F34161" w:rsidRPr="00F34161">
        <w:rPr>
          <w:rFonts w:cs="Arial"/>
          <w:szCs w:val="20"/>
        </w:rPr>
        <w:t xml:space="preserve">, </w:t>
      </w:r>
      <w:hyperlink r:id="rId44" w:tgtFrame="_blank" w:tooltip="Zakon o izvrševanju proračunov Republike Slovenije za leti 2016 in 2017" w:history="1">
        <w:r w:rsidR="00F34161" w:rsidRPr="00F34161">
          <w:rPr>
            <w:rFonts w:cs="Arial"/>
            <w:szCs w:val="20"/>
          </w:rPr>
          <w:t>96/15</w:t>
        </w:r>
      </w:hyperlink>
      <w:r w:rsidR="00F34161" w:rsidRPr="00F34161">
        <w:rPr>
          <w:rFonts w:cs="Arial"/>
          <w:szCs w:val="20"/>
        </w:rPr>
        <w:t xml:space="preserve"> – ZIPRS1617 in </w:t>
      </w:r>
      <w:hyperlink r:id="rId45" w:tgtFrame="_blank" w:tooltip="Zakon o spremembah in dopolnitvah Zakona o javnih financah" w:history="1">
        <w:r w:rsidR="00F34161" w:rsidRPr="00F34161">
          <w:rPr>
            <w:rFonts w:cs="Arial"/>
            <w:szCs w:val="20"/>
          </w:rPr>
          <w:t>13/18</w:t>
        </w:r>
      </w:hyperlink>
      <w:r w:rsidR="00F34161" w:rsidRPr="00F34161">
        <w:rPr>
          <w:rFonts w:cs="Arial"/>
          <w:szCs w:val="20"/>
        </w:rPr>
        <w:t xml:space="preserve">). </w:t>
      </w:r>
      <w:r w:rsidR="0006770B">
        <w:rPr>
          <w:rFonts w:cs="Arial"/>
          <w:szCs w:val="20"/>
        </w:rPr>
        <w:t xml:space="preserve">Za </w:t>
      </w:r>
      <w:r w:rsidR="0006770B" w:rsidRPr="0006770B">
        <w:rPr>
          <w:rFonts w:cs="Arial"/>
          <w:szCs w:val="20"/>
          <w:u w:val="single"/>
        </w:rPr>
        <w:t>druge naloge</w:t>
      </w:r>
      <w:r w:rsidR="0006770B">
        <w:rPr>
          <w:rFonts w:cs="Arial"/>
          <w:szCs w:val="20"/>
        </w:rPr>
        <w:t xml:space="preserve"> pa tudi v teh primerih lahko zaposleni </w:t>
      </w:r>
      <w:r w:rsidR="0006770B" w:rsidRPr="00F34161">
        <w:rPr>
          <w:rFonts w:cs="Arial"/>
          <w:szCs w:val="20"/>
        </w:rPr>
        <w:t>prejme izplačilo delovne uspešnosti iz naslova povečanega obsega dela.</w:t>
      </w:r>
    </w:p>
    <w:p w14:paraId="434F6D63" w14:textId="77777777" w:rsidR="00EB175A" w:rsidRDefault="00EB175A" w:rsidP="00F34161">
      <w:pPr>
        <w:spacing w:after="160" w:line="256" w:lineRule="auto"/>
        <w:contextualSpacing/>
        <w:jc w:val="both"/>
        <w:rPr>
          <w:rFonts w:cs="Arial"/>
          <w:szCs w:val="20"/>
        </w:rPr>
      </w:pPr>
    </w:p>
    <w:p w14:paraId="3A6F810B" w14:textId="77777777" w:rsidR="0006770B" w:rsidRPr="0006770B" w:rsidRDefault="00E32D96" w:rsidP="00F34161">
      <w:pPr>
        <w:pStyle w:val="Odstavekseznama"/>
        <w:numPr>
          <w:ilvl w:val="0"/>
          <w:numId w:val="7"/>
        </w:numPr>
        <w:spacing w:after="160" w:line="256" w:lineRule="auto"/>
        <w:jc w:val="both"/>
        <w:rPr>
          <w:rFonts w:ascii="Arial" w:hAnsi="Arial" w:cs="Arial"/>
          <w:b/>
          <w:sz w:val="20"/>
          <w:szCs w:val="20"/>
        </w:rPr>
      </w:pPr>
      <w:r w:rsidRPr="0006770B">
        <w:rPr>
          <w:rFonts w:ascii="Arial" w:hAnsi="Arial" w:cs="Arial"/>
          <w:b/>
          <w:sz w:val="20"/>
          <w:szCs w:val="20"/>
        </w:rPr>
        <w:lastRenderedPageBreak/>
        <w:t xml:space="preserve">Delo preko polnega delovnega časa in dodatek za delo v rizičnih razmerah po KPJS </w:t>
      </w:r>
      <w:r w:rsidR="0006770B" w:rsidRPr="0006770B">
        <w:rPr>
          <w:rFonts w:ascii="Arial" w:hAnsi="Arial" w:cs="Arial"/>
          <w:b/>
          <w:sz w:val="20"/>
          <w:szCs w:val="20"/>
        </w:rPr>
        <w:t xml:space="preserve">ter dodatek za </w:t>
      </w:r>
      <w:r w:rsidR="0006770B" w:rsidRPr="00F34161">
        <w:rPr>
          <w:rFonts w:ascii="Arial" w:hAnsi="Arial" w:cs="Arial"/>
          <w:b/>
          <w:sz w:val="20"/>
          <w:szCs w:val="20"/>
          <w:lang w:eastAsia="sl-SI"/>
        </w:rPr>
        <w:t>nevarnost in posebne obremenitve po 71. členu ZIUZEO</w:t>
      </w:r>
      <w:r w:rsidR="00D30A24">
        <w:rPr>
          <w:rFonts w:ascii="Arial" w:hAnsi="Arial" w:cs="Arial"/>
          <w:b/>
          <w:sz w:val="20"/>
          <w:szCs w:val="20"/>
          <w:lang w:eastAsia="sl-SI"/>
        </w:rPr>
        <w:t>P</w:t>
      </w:r>
    </w:p>
    <w:p w14:paraId="62B662FA" w14:textId="4F1A9204" w:rsidR="0006770B" w:rsidRPr="0006770B" w:rsidRDefault="0006770B" w:rsidP="0006770B">
      <w:pPr>
        <w:spacing w:after="160" w:line="256" w:lineRule="auto"/>
        <w:jc w:val="both"/>
        <w:rPr>
          <w:rFonts w:cs="Arial"/>
          <w:szCs w:val="20"/>
        </w:rPr>
      </w:pPr>
      <w:r w:rsidRPr="0006770B">
        <w:rPr>
          <w:rFonts w:cs="Arial"/>
          <w:szCs w:val="20"/>
        </w:rPr>
        <w:t>J</w:t>
      </w:r>
      <w:r w:rsidR="00F34161" w:rsidRPr="0006770B">
        <w:rPr>
          <w:rFonts w:cs="Arial"/>
          <w:szCs w:val="20"/>
        </w:rPr>
        <w:t>avni uslužbenci, ki opravljajo de</w:t>
      </w:r>
      <w:r w:rsidR="00FA4EE6">
        <w:rPr>
          <w:rFonts w:cs="Arial"/>
          <w:szCs w:val="20"/>
        </w:rPr>
        <w:t xml:space="preserve">lo preko polnega delovnega časa </w:t>
      </w:r>
      <w:r w:rsidR="00FA4EE6" w:rsidRPr="00FA4EE6">
        <w:rPr>
          <w:rFonts w:cs="Arial"/>
          <w:szCs w:val="20"/>
          <w:u w:val="single"/>
        </w:rPr>
        <w:t>v</w:t>
      </w:r>
      <w:r w:rsidR="00F34161" w:rsidRPr="0006770B">
        <w:rPr>
          <w:rFonts w:cs="Arial"/>
          <w:szCs w:val="20"/>
          <w:u w:val="single"/>
        </w:rPr>
        <w:t xml:space="preserve"> pogoji</w:t>
      </w:r>
      <w:r w:rsidR="00FA4EE6">
        <w:rPr>
          <w:rFonts w:cs="Arial"/>
          <w:szCs w:val="20"/>
          <w:u w:val="single"/>
        </w:rPr>
        <w:t>h</w:t>
      </w:r>
      <w:r w:rsidR="00F34161" w:rsidRPr="0006770B">
        <w:rPr>
          <w:rFonts w:cs="Arial"/>
          <w:szCs w:val="20"/>
          <w:u w:val="single"/>
        </w:rPr>
        <w:t xml:space="preserve"> iz 11. točke prvega odstavka in drugega odstavka 39. člena KPJS </w:t>
      </w:r>
      <w:r w:rsidR="00F34161" w:rsidRPr="0006770B">
        <w:rPr>
          <w:rFonts w:cs="Arial"/>
          <w:szCs w:val="20"/>
          <w:u w:val="single"/>
          <w:lang w:eastAsia="sl-SI"/>
        </w:rPr>
        <w:t xml:space="preserve">in v skladu s sprejeto razlago KPJS </w:t>
      </w:r>
      <w:r w:rsidRPr="0006770B">
        <w:rPr>
          <w:rFonts w:cs="Arial"/>
          <w:szCs w:val="20"/>
          <w:u w:val="single"/>
          <w:lang w:eastAsia="sl-SI"/>
        </w:rPr>
        <w:t xml:space="preserve">so </w:t>
      </w:r>
      <w:r w:rsidR="00F34161" w:rsidRPr="0006770B">
        <w:rPr>
          <w:rFonts w:cs="Arial"/>
          <w:szCs w:val="20"/>
        </w:rPr>
        <w:t xml:space="preserve">upravičeni tudi do izplačila dodatka za delo v rizičnih razmerah v okviru nadurnega dela. </w:t>
      </w:r>
    </w:p>
    <w:p w14:paraId="0A0004D0" w14:textId="77777777" w:rsidR="00F34161" w:rsidRPr="0006770B" w:rsidRDefault="00F34161" w:rsidP="0006770B">
      <w:pPr>
        <w:spacing w:after="160" w:line="256" w:lineRule="auto"/>
        <w:jc w:val="both"/>
        <w:rPr>
          <w:rFonts w:cs="Arial"/>
          <w:b/>
          <w:szCs w:val="20"/>
        </w:rPr>
      </w:pPr>
      <w:r w:rsidRPr="0006770B">
        <w:rPr>
          <w:rFonts w:cs="Arial"/>
          <w:szCs w:val="20"/>
          <w:lang w:eastAsia="sl-SI"/>
        </w:rPr>
        <w:t xml:space="preserve">Enako velja tudi za zaposlene, ki opravljajo delo preko polnega delovnega časa </w:t>
      </w:r>
      <w:r w:rsidRPr="0006770B">
        <w:rPr>
          <w:rFonts w:cs="Arial"/>
          <w:szCs w:val="20"/>
          <w:u w:val="single"/>
          <w:lang w:eastAsia="sl-SI"/>
        </w:rPr>
        <w:t>v pogojih, ki opravičujejo izplačilo dodatka po 71. členu ZIUZEOP</w:t>
      </w:r>
      <w:r w:rsidRPr="0006770B">
        <w:rPr>
          <w:rFonts w:cs="Arial"/>
          <w:szCs w:val="20"/>
          <w:lang w:eastAsia="sl-SI"/>
        </w:rPr>
        <w:t xml:space="preserve">. Tudi ti zaposleni prejmejo izplačilo dodatka za nevarnost in posebne obremenitve po 71. členu ZIUZEOP za ure, opravljene preko polnega delovnega časa. </w:t>
      </w:r>
    </w:p>
    <w:p w14:paraId="3DC559EF" w14:textId="77777777" w:rsidR="00F34161" w:rsidRDefault="00F34161" w:rsidP="00F34161">
      <w:pPr>
        <w:spacing w:after="160" w:line="256" w:lineRule="auto"/>
        <w:contextualSpacing/>
        <w:jc w:val="both"/>
        <w:rPr>
          <w:rFonts w:cs="Arial"/>
          <w:szCs w:val="20"/>
        </w:rPr>
      </w:pPr>
    </w:p>
    <w:p w14:paraId="5717EC68" w14:textId="77777777" w:rsidR="0094128F" w:rsidRDefault="0094128F" w:rsidP="0094128F">
      <w:pPr>
        <w:pStyle w:val="datumtevilka"/>
        <w:rPr>
          <w:rFonts w:cs="Arial"/>
        </w:rPr>
      </w:pPr>
      <w:r>
        <w:rPr>
          <w:rFonts w:cs="Arial"/>
        </w:rPr>
        <w:t>To pojasnilo nadomešča pojasnilo številka 1002-474/2020/2 z dne 28.4.2020.</w:t>
      </w:r>
    </w:p>
    <w:p w14:paraId="4BD52FAA" w14:textId="77777777" w:rsidR="0094128F" w:rsidRPr="0006770B" w:rsidRDefault="0094128F" w:rsidP="00F34161">
      <w:pPr>
        <w:spacing w:after="160" w:line="256" w:lineRule="auto"/>
        <w:contextualSpacing/>
        <w:jc w:val="both"/>
        <w:rPr>
          <w:rFonts w:cs="Arial"/>
          <w:szCs w:val="20"/>
        </w:rPr>
      </w:pPr>
    </w:p>
    <w:p w14:paraId="4C927D73" w14:textId="77777777" w:rsidR="0006770B" w:rsidRPr="00F34161" w:rsidRDefault="0006770B" w:rsidP="00F34161">
      <w:pPr>
        <w:spacing w:after="160" w:line="256" w:lineRule="auto"/>
        <w:contextualSpacing/>
        <w:jc w:val="both"/>
        <w:rPr>
          <w:rFonts w:cs="Arial"/>
          <w:szCs w:val="20"/>
        </w:rPr>
      </w:pPr>
    </w:p>
    <w:p w14:paraId="2AE385D0" w14:textId="77777777" w:rsidR="0006770B" w:rsidRPr="0006770B" w:rsidRDefault="0006770B" w:rsidP="0006770B">
      <w:pPr>
        <w:spacing w:line="240" w:lineRule="atLeast"/>
        <w:jc w:val="both"/>
        <w:rPr>
          <w:rFonts w:cs="Arial"/>
          <w:color w:val="000000" w:themeColor="text1"/>
          <w:szCs w:val="20"/>
        </w:rPr>
      </w:pPr>
      <w:r w:rsidRPr="0006770B">
        <w:rPr>
          <w:rFonts w:cs="Arial"/>
          <w:color w:val="000000" w:themeColor="text1"/>
          <w:szCs w:val="20"/>
        </w:rPr>
        <w:t xml:space="preserve">Ministrstva prosimo, da z vsebino tega pojasnila seznanijo proračunske uporabnike iz svoje pristojnosti. </w:t>
      </w:r>
    </w:p>
    <w:p w14:paraId="759138A7" w14:textId="77777777" w:rsidR="0006770B" w:rsidRPr="0006770B" w:rsidRDefault="0006770B" w:rsidP="00F34161">
      <w:pPr>
        <w:widowControl w:val="0"/>
        <w:spacing w:line="240" w:lineRule="atLeast"/>
        <w:jc w:val="both"/>
        <w:rPr>
          <w:rFonts w:cs="Arial"/>
          <w:szCs w:val="20"/>
        </w:rPr>
      </w:pPr>
    </w:p>
    <w:p w14:paraId="5F37526E" w14:textId="77777777" w:rsidR="00F34161" w:rsidRPr="0006770B" w:rsidRDefault="00F34161" w:rsidP="00F34161">
      <w:pPr>
        <w:autoSpaceDE w:val="0"/>
        <w:autoSpaceDN w:val="0"/>
        <w:adjustRightInd w:val="0"/>
        <w:spacing w:line="240" w:lineRule="auto"/>
        <w:jc w:val="both"/>
        <w:rPr>
          <w:rFonts w:cs="Arial"/>
          <w:szCs w:val="20"/>
        </w:rPr>
      </w:pPr>
    </w:p>
    <w:p w14:paraId="68623839" w14:textId="77777777" w:rsidR="00F34161" w:rsidRPr="0006770B" w:rsidRDefault="00F34161" w:rsidP="00F34161">
      <w:pPr>
        <w:spacing w:line="240" w:lineRule="atLeast"/>
        <w:jc w:val="both"/>
        <w:rPr>
          <w:rFonts w:cs="Arial"/>
          <w:szCs w:val="20"/>
        </w:rPr>
      </w:pPr>
    </w:p>
    <w:p w14:paraId="1B13E2FD" w14:textId="77777777" w:rsidR="00F34161" w:rsidRPr="0006770B" w:rsidRDefault="00F34161" w:rsidP="00F34161">
      <w:pPr>
        <w:spacing w:line="260" w:lineRule="exact"/>
        <w:rPr>
          <w:rFonts w:cs="Arial"/>
          <w:szCs w:val="20"/>
        </w:rPr>
      </w:pPr>
      <w:r w:rsidRPr="0006770B">
        <w:rPr>
          <w:rFonts w:cs="Arial"/>
          <w:szCs w:val="20"/>
        </w:rPr>
        <w:t>Hvala že vnaprej in prijazen pozdrav,</w:t>
      </w:r>
    </w:p>
    <w:p w14:paraId="64F7B62F" w14:textId="77777777" w:rsidR="00F34161" w:rsidRPr="0006770B" w:rsidRDefault="00F34161" w:rsidP="00F34161">
      <w:pPr>
        <w:spacing w:line="240" w:lineRule="exact"/>
        <w:rPr>
          <w:rFonts w:cs="Arial"/>
          <w:noProof/>
          <w:szCs w:val="20"/>
        </w:rPr>
      </w:pPr>
    </w:p>
    <w:p w14:paraId="0E1524B6" w14:textId="77777777" w:rsidR="00F34161" w:rsidRPr="0006770B" w:rsidRDefault="00F34161" w:rsidP="00F34161">
      <w:pPr>
        <w:spacing w:line="260" w:lineRule="exact"/>
        <w:rPr>
          <w:rFonts w:cs="Arial"/>
          <w:szCs w:val="20"/>
        </w:rPr>
      </w:pPr>
    </w:p>
    <w:p w14:paraId="5C2E025A" w14:textId="77777777" w:rsidR="00F34161" w:rsidRPr="0006770B" w:rsidRDefault="00F34161" w:rsidP="00F34161">
      <w:pPr>
        <w:spacing w:line="260" w:lineRule="exact"/>
        <w:rPr>
          <w:rFonts w:cs="Arial"/>
          <w:szCs w:val="20"/>
        </w:rPr>
      </w:pPr>
    </w:p>
    <w:p w14:paraId="6C1D2549" w14:textId="77777777" w:rsidR="00F34161" w:rsidRPr="0006770B" w:rsidRDefault="00F34161" w:rsidP="00F34161">
      <w:pPr>
        <w:pStyle w:val="Telobesedila2"/>
        <w:spacing w:after="0" w:line="260" w:lineRule="exact"/>
        <w:jc w:val="center"/>
        <w:rPr>
          <w:rFonts w:ascii="Arial" w:hAnsi="Arial" w:cs="Arial"/>
          <w:sz w:val="20"/>
          <w:szCs w:val="20"/>
        </w:rPr>
      </w:pPr>
      <w:r w:rsidRPr="0006770B">
        <w:rPr>
          <w:rFonts w:ascii="Arial" w:hAnsi="Arial" w:cs="Arial"/>
          <w:b/>
          <w:sz w:val="20"/>
          <w:szCs w:val="20"/>
        </w:rPr>
        <w:t xml:space="preserve">                                                                                      </w:t>
      </w:r>
      <w:r w:rsidRPr="0006770B">
        <w:rPr>
          <w:rFonts w:ascii="Arial" w:hAnsi="Arial" w:cs="Arial"/>
          <w:sz w:val="20"/>
          <w:szCs w:val="20"/>
        </w:rPr>
        <w:t>Boštjan Koritnik</w:t>
      </w:r>
    </w:p>
    <w:p w14:paraId="352C659E" w14:textId="77777777" w:rsidR="00F34161" w:rsidRPr="0006770B" w:rsidRDefault="00F34161" w:rsidP="00F34161">
      <w:pPr>
        <w:spacing w:line="260" w:lineRule="exact"/>
        <w:jc w:val="center"/>
        <w:rPr>
          <w:rFonts w:cs="Arial"/>
          <w:szCs w:val="20"/>
        </w:rPr>
      </w:pPr>
      <w:r w:rsidRPr="0006770B">
        <w:rPr>
          <w:rFonts w:cs="Arial"/>
          <w:szCs w:val="20"/>
        </w:rPr>
        <w:t xml:space="preserve">                                                                                      minister</w:t>
      </w:r>
    </w:p>
    <w:p w14:paraId="0343413C" w14:textId="77777777" w:rsidR="00F34161" w:rsidRPr="0006770B" w:rsidRDefault="00F34161" w:rsidP="00F34161">
      <w:pPr>
        <w:pStyle w:val="podpisi"/>
        <w:spacing w:line="260" w:lineRule="exact"/>
        <w:rPr>
          <w:rFonts w:cs="Arial"/>
          <w:szCs w:val="20"/>
          <w:lang w:val="sl-SI"/>
        </w:rPr>
      </w:pPr>
      <w:r w:rsidRPr="0006770B">
        <w:rPr>
          <w:rFonts w:cs="Arial"/>
          <w:szCs w:val="20"/>
          <w:lang w:val="sl-SI"/>
        </w:rPr>
        <w:t xml:space="preserve">Poslano: </w:t>
      </w:r>
    </w:p>
    <w:p w14:paraId="462A3E50" w14:textId="77777777" w:rsidR="00F34161" w:rsidRPr="0006770B" w:rsidRDefault="00F34161" w:rsidP="00F34161">
      <w:pPr>
        <w:pStyle w:val="podpisi"/>
        <w:numPr>
          <w:ilvl w:val="0"/>
          <w:numId w:val="1"/>
        </w:numPr>
        <w:spacing w:line="260" w:lineRule="exact"/>
        <w:rPr>
          <w:rFonts w:cs="Arial"/>
          <w:szCs w:val="20"/>
          <w:lang w:val="sl-SI"/>
        </w:rPr>
      </w:pPr>
      <w:r w:rsidRPr="0006770B">
        <w:rPr>
          <w:rFonts w:cs="Arial"/>
          <w:szCs w:val="20"/>
          <w:lang w:val="sl-SI"/>
        </w:rPr>
        <w:t>naslovnikom po elektronski pošti</w:t>
      </w:r>
    </w:p>
    <w:p w14:paraId="5DA560A6" w14:textId="77777777" w:rsidR="002C731D" w:rsidRPr="0006770B" w:rsidRDefault="002C731D">
      <w:pPr>
        <w:rPr>
          <w:rFonts w:cs="Arial"/>
          <w:szCs w:val="20"/>
        </w:rPr>
      </w:pPr>
    </w:p>
    <w:sectPr w:rsidR="002C731D" w:rsidRPr="0006770B" w:rsidSect="00A5646A">
      <w:headerReference w:type="even" r:id="rId46"/>
      <w:headerReference w:type="default" r:id="rId47"/>
      <w:footerReference w:type="even" r:id="rId48"/>
      <w:footerReference w:type="default" r:id="rId49"/>
      <w:headerReference w:type="first" r:id="rId50"/>
      <w:footerReference w:type="first" r:id="rId5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93B1D" w14:textId="77777777" w:rsidR="009A0BB7" w:rsidRDefault="009A0BB7">
      <w:pPr>
        <w:spacing w:line="240" w:lineRule="auto"/>
      </w:pPr>
      <w:r>
        <w:separator/>
      </w:r>
    </w:p>
  </w:endnote>
  <w:endnote w:type="continuationSeparator" w:id="0">
    <w:p w14:paraId="333BEAC1" w14:textId="77777777" w:rsidR="009A0BB7" w:rsidRDefault="009A0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16C10" w14:textId="77777777" w:rsidR="009F19E6" w:rsidRDefault="009F19E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345283"/>
      <w:docPartObj>
        <w:docPartGallery w:val="Page Numbers (Bottom of Page)"/>
        <w:docPartUnique/>
      </w:docPartObj>
    </w:sdtPr>
    <w:sdtEndPr/>
    <w:sdtContent>
      <w:p w14:paraId="694BD77D" w14:textId="77777777" w:rsidR="0049629D" w:rsidRDefault="0094128F">
        <w:pPr>
          <w:pStyle w:val="Noga"/>
          <w:jc w:val="right"/>
        </w:pPr>
        <w:r>
          <w:fldChar w:fldCharType="begin"/>
        </w:r>
        <w:r>
          <w:instrText>PAGE   \* MERGEFORMAT</w:instrText>
        </w:r>
        <w:r>
          <w:fldChar w:fldCharType="separate"/>
        </w:r>
        <w:r w:rsidR="003C7136">
          <w:rPr>
            <w:noProof/>
          </w:rPr>
          <w:t>3</w:t>
        </w:r>
        <w:r>
          <w:rPr>
            <w:noProof/>
          </w:rPr>
          <w:fldChar w:fldCharType="end"/>
        </w:r>
      </w:p>
    </w:sdtContent>
  </w:sdt>
  <w:p w14:paraId="1D96CC93" w14:textId="77777777" w:rsidR="0049629D" w:rsidRDefault="00107C9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A165" w14:textId="77777777" w:rsidR="009F19E6" w:rsidRDefault="009F19E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E9A86" w14:textId="77777777" w:rsidR="009A0BB7" w:rsidRDefault="009A0BB7">
      <w:pPr>
        <w:spacing w:line="240" w:lineRule="auto"/>
      </w:pPr>
      <w:r>
        <w:separator/>
      </w:r>
    </w:p>
  </w:footnote>
  <w:footnote w:type="continuationSeparator" w:id="0">
    <w:p w14:paraId="394E1FEF" w14:textId="77777777" w:rsidR="009A0BB7" w:rsidRDefault="009A0B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DA10" w14:textId="77777777" w:rsidR="009F19E6" w:rsidRDefault="009F19E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28762" w14:textId="77777777" w:rsidR="0049629D" w:rsidRPr="00110CBD" w:rsidRDefault="00107C95" w:rsidP="00A5646A">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416A2" w14:textId="77777777" w:rsidR="00107C95" w:rsidRDefault="00107C95" w:rsidP="00107C95">
    <w:pPr>
      <w:pStyle w:val="Glava"/>
      <w:tabs>
        <w:tab w:val="clear" w:pos="4320"/>
        <w:tab w:val="clear" w:pos="8640"/>
        <w:tab w:val="left" w:pos="964"/>
      </w:tabs>
      <w:spacing w:before="240" w:line="240" w:lineRule="exact"/>
      <w:rPr>
        <w:rFonts w:cs="Arial"/>
        <w:sz w:val="16"/>
      </w:rPr>
    </w:pPr>
    <w:r>
      <w:rPr>
        <w:noProof/>
        <w:lang w:eastAsia="sl-SI"/>
      </w:rPr>
      <w:drawing>
        <wp:anchor distT="0" distB="0" distL="114300" distR="114300" simplePos="0" relativeHeight="251659264" behindDoc="1" locked="0" layoutInCell="1" allowOverlap="1" wp14:anchorId="69DE065C" wp14:editId="05A6F7B4">
          <wp:simplePos x="0" y="0"/>
          <wp:positionH relativeFrom="page">
            <wp:posOffset>611008</wp:posOffset>
          </wp:positionH>
          <wp:positionV relativeFrom="page">
            <wp:posOffset>587651</wp:posOffset>
          </wp:positionV>
          <wp:extent cx="2372360" cy="313055"/>
          <wp:effectExtent l="0" t="0" r="0" b="0"/>
          <wp:wrapNone/>
          <wp:docPr id="25" name="Slika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ab/>
    </w:r>
  </w:p>
  <w:p w14:paraId="4CD52608" w14:textId="77777777" w:rsidR="00107C95" w:rsidRPr="008F3500" w:rsidRDefault="00107C95" w:rsidP="00107C95">
    <w:pPr>
      <w:pStyle w:val="Glava"/>
      <w:tabs>
        <w:tab w:val="clear" w:pos="4320"/>
        <w:tab w:val="clear" w:pos="8640"/>
        <w:tab w:val="left" w:pos="5112"/>
      </w:tabs>
      <w:spacing w:before="240" w:line="240" w:lineRule="exact"/>
      <w:rPr>
        <w:rFonts w:cs="Arial"/>
        <w:sz w:val="16"/>
      </w:rPr>
    </w:pP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01 478 16 50</w:t>
    </w:r>
  </w:p>
  <w:p w14:paraId="2820F14D" w14:textId="77777777" w:rsidR="00107C95" w:rsidRPr="008F3500" w:rsidRDefault="00107C95" w:rsidP="00107C95">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01 478 16 50</w:t>
    </w:r>
  </w:p>
  <w:p w14:paraId="12D5DC22" w14:textId="77777777" w:rsidR="00107C95" w:rsidRPr="008F3500" w:rsidRDefault="00107C95" w:rsidP="00107C95">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316AD0EE" w14:textId="77777777" w:rsidR="00107C95" w:rsidRPr="008F3500" w:rsidRDefault="00107C95" w:rsidP="00107C95">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181BEAEF" w14:textId="77777777" w:rsidR="0049629D" w:rsidRDefault="00107C95" w:rsidP="00A5646A">
    <w:pPr>
      <w:pStyle w:val="Glava"/>
      <w:tabs>
        <w:tab w:val="clear" w:pos="4320"/>
        <w:tab w:val="clear" w:pos="8640"/>
        <w:tab w:val="left" w:pos="5112"/>
      </w:tabs>
    </w:pPr>
    <w:bookmarkStart w:id="0" w:name="_GoBack"/>
    <w:bookmarkEnd w:id="0"/>
  </w:p>
  <w:p w14:paraId="02109EE1" w14:textId="77777777" w:rsidR="0049629D" w:rsidRDefault="00107C95" w:rsidP="00A5646A">
    <w:pPr>
      <w:pStyle w:val="Glava"/>
      <w:tabs>
        <w:tab w:val="clear" w:pos="4320"/>
        <w:tab w:val="clear" w:pos="8640"/>
        <w:tab w:val="left" w:pos="5112"/>
      </w:tabs>
    </w:pPr>
  </w:p>
  <w:p w14:paraId="52ABDF3A" w14:textId="77777777" w:rsidR="0049629D" w:rsidRDefault="00107C95" w:rsidP="00A5646A">
    <w:pPr>
      <w:pStyle w:val="Glava"/>
      <w:tabs>
        <w:tab w:val="clear" w:pos="4320"/>
        <w:tab w:val="clear" w:pos="8640"/>
        <w:tab w:val="left" w:pos="5112"/>
      </w:tabs>
    </w:pPr>
  </w:p>
  <w:p w14:paraId="269F8479" w14:textId="77777777" w:rsidR="0049629D" w:rsidRDefault="00107C95" w:rsidP="00A5646A">
    <w:pPr>
      <w:pStyle w:val="Glava"/>
      <w:tabs>
        <w:tab w:val="clear" w:pos="4320"/>
        <w:tab w:val="clear" w:pos="8640"/>
        <w:tab w:val="left" w:pos="5112"/>
      </w:tabs>
    </w:pPr>
  </w:p>
  <w:p w14:paraId="50A9DC9D" w14:textId="77777777" w:rsidR="0049629D" w:rsidRPr="008F3500" w:rsidRDefault="00107C95" w:rsidP="00A5646A">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62C2"/>
    <w:multiLevelType w:val="hybridMultilevel"/>
    <w:tmpl w:val="FC92135A"/>
    <w:lvl w:ilvl="0" w:tplc="AC3C2042">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0AF64400"/>
    <w:multiLevelType w:val="hybridMultilevel"/>
    <w:tmpl w:val="A168AAC8"/>
    <w:lvl w:ilvl="0" w:tplc="04240011">
      <w:start w:val="1"/>
      <w:numFmt w:val="bullet"/>
      <w:lvlText w:val="-"/>
      <w:lvlJc w:val="left"/>
      <w:pPr>
        <w:tabs>
          <w:tab w:val="num" w:pos="377"/>
        </w:tabs>
        <w:ind w:left="37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02E8D"/>
    <w:multiLevelType w:val="hybridMultilevel"/>
    <w:tmpl w:val="01348482"/>
    <w:lvl w:ilvl="0" w:tplc="335836A4">
      <w:start w:val="1"/>
      <w:numFmt w:val="bullet"/>
      <w:lvlText w:val=""/>
      <w:lvlJc w:val="left"/>
      <w:pPr>
        <w:ind w:left="360" w:hanging="360"/>
      </w:pPr>
      <w:rPr>
        <w:rFonts w:ascii="Symbol" w:hAnsi="Symbol" w:hint="default"/>
      </w:rPr>
    </w:lvl>
    <w:lvl w:ilvl="1" w:tplc="335836A4">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3A856CB"/>
    <w:multiLevelType w:val="hybridMultilevel"/>
    <w:tmpl w:val="64DEF2B0"/>
    <w:lvl w:ilvl="0" w:tplc="0424000F">
      <w:start w:val="1"/>
      <w:numFmt w:val="decimal"/>
      <w:lvlText w:val="%1."/>
      <w:lvlJc w:val="left"/>
      <w:pPr>
        <w:ind w:left="720" w:hanging="360"/>
      </w:pPr>
      <w:rPr>
        <w:rFonts w:eastAsia="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2C40CF"/>
    <w:multiLevelType w:val="hybridMultilevel"/>
    <w:tmpl w:val="64DEF2B0"/>
    <w:lvl w:ilvl="0" w:tplc="0424000F">
      <w:start w:val="1"/>
      <w:numFmt w:val="decimal"/>
      <w:lvlText w:val="%1."/>
      <w:lvlJc w:val="left"/>
      <w:pPr>
        <w:ind w:left="720" w:hanging="360"/>
      </w:pPr>
      <w:rPr>
        <w:rFonts w:eastAsia="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6755684"/>
    <w:multiLevelType w:val="hybridMultilevel"/>
    <w:tmpl w:val="7452E880"/>
    <w:lvl w:ilvl="0" w:tplc="19AADCB8">
      <w:start w:val="1"/>
      <w:numFmt w:val="lowerLetter"/>
      <w:lvlText w:val="%1)"/>
      <w:lvlJc w:val="left"/>
      <w:pPr>
        <w:ind w:left="720" w:hanging="360"/>
      </w:pPr>
      <w:rPr>
        <w:rFonts w:ascii="Arial" w:hAnsi="Arial" w:cs="Times New Roman" w:hint="default"/>
        <w:color w:val="auto"/>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9994EB4"/>
    <w:multiLevelType w:val="hybridMultilevel"/>
    <w:tmpl w:val="4558B36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61"/>
    <w:rsid w:val="0000791C"/>
    <w:rsid w:val="00033E9A"/>
    <w:rsid w:val="0006770B"/>
    <w:rsid w:val="000E67EF"/>
    <w:rsid w:val="00107C95"/>
    <w:rsid w:val="001D55E9"/>
    <w:rsid w:val="00224932"/>
    <w:rsid w:val="00284D4E"/>
    <w:rsid w:val="002C731D"/>
    <w:rsid w:val="003C7136"/>
    <w:rsid w:val="003D5D71"/>
    <w:rsid w:val="003F2D3D"/>
    <w:rsid w:val="004B2778"/>
    <w:rsid w:val="00570AF0"/>
    <w:rsid w:val="007059D0"/>
    <w:rsid w:val="00845E63"/>
    <w:rsid w:val="00907FDB"/>
    <w:rsid w:val="00940FCB"/>
    <w:rsid w:val="0094128F"/>
    <w:rsid w:val="009A0BB7"/>
    <w:rsid w:val="009F19E6"/>
    <w:rsid w:val="00B701D3"/>
    <w:rsid w:val="00BD0187"/>
    <w:rsid w:val="00C36CB6"/>
    <w:rsid w:val="00C4194D"/>
    <w:rsid w:val="00CB1299"/>
    <w:rsid w:val="00CD5DF8"/>
    <w:rsid w:val="00D30A24"/>
    <w:rsid w:val="00D73965"/>
    <w:rsid w:val="00DB44B1"/>
    <w:rsid w:val="00DF7469"/>
    <w:rsid w:val="00E32D96"/>
    <w:rsid w:val="00EB175A"/>
    <w:rsid w:val="00F34161"/>
    <w:rsid w:val="00FA4EE6"/>
    <w:rsid w:val="00FE23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237C"/>
  <w15:docId w15:val="{7C5976C4-265F-4BEC-9F13-27C18DEE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4161"/>
    <w:pPr>
      <w:spacing w:after="0" w:line="260" w:lineRule="atLeas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940FC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F34161"/>
    <w:pPr>
      <w:tabs>
        <w:tab w:val="center" w:pos="4320"/>
        <w:tab w:val="right" w:pos="8640"/>
      </w:tabs>
    </w:pPr>
  </w:style>
  <w:style w:type="character" w:customStyle="1" w:styleId="GlavaZnak">
    <w:name w:val="Glava Znak"/>
    <w:basedOn w:val="Privzetapisavaodstavka"/>
    <w:link w:val="Glava"/>
    <w:rsid w:val="00F34161"/>
    <w:rPr>
      <w:rFonts w:ascii="Arial" w:eastAsia="Times New Roman" w:hAnsi="Arial" w:cs="Times New Roman"/>
      <w:sz w:val="20"/>
      <w:szCs w:val="24"/>
    </w:rPr>
  </w:style>
  <w:style w:type="paragraph" w:customStyle="1" w:styleId="datumtevilka">
    <w:name w:val="datum številka"/>
    <w:basedOn w:val="Navaden"/>
    <w:qFormat/>
    <w:rsid w:val="00F34161"/>
    <w:pPr>
      <w:tabs>
        <w:tab w:val="left" w:pos="1701"/>
      </w:tabs>
    </w:pPr>
    <w:rPr>
      <w:szCs w:val="20"/>
      <w:lang w:eastAsia="sl-SI"/>
    </w:rPr>
  </w:style>
  <w:style w:type="paragraph" w:customStyle="1" w:styleId="podpisi">
    <w:name w:val="podpisi"/>
    <w:basedOn w:val="Navaden"/>
    <w:qFormat/>
    <w:rsid w:val="00F34161"/>
    <w:pPr>
      <w:tabs>
        <w:tab w:val="left" w:pos="3402"/>
      </w:tabs>
    </w:pPr>
    <w:rPr>
      <w:lang w:val="it-IT"/>
    </w:rPr>
  </w:style>
  <w:style w:type="paragraph" w:styleId="Telobesedila2">
    <w:name w:val="Body Text 2"/>
    <w:basedOn w:val="Navaden"/>
    <w:link w:val="Telobesedila2Znak"/>
    <w:rsid w:val="00F34161"/>
    <w:pPr>
      <w:suppressAutoHyphens/>
      <w:spacing w:after="120" w:line="480" w:lineRule="auto"/>
    </w:pPr>
    <w:rPr>
      <w:rFonts w:ascii="Times New Roman" w:hAnsi="Times New Roman"/>
      <w:sz w:val="24"/>
      <w:lang w:eastAsia="ar-SA"/>
    </w:rPr>
  </w:style>
  <w:style w:type="character" w:customStyle="1" w:styleId="Telobesedila2Znak">
    <w:name w:val="Telo besedila 2 Znak"/>
    <w:basedOn w:val="Privzetapisavaodstavka"/>
    <w:link w:val="Telobesedila2"/>
    <w:rsid w:val="00F34161"/>
    <w:rPr>
      <w:rFonts w:ascii="Times New Roman" w:eastAsia="Times New Roman" w:hAnsi="Times New Roman" w:cs="Times New Roman"/>
      <w:sz w:val="24"/>
      <w:szCs w:val="24"/>
      <w:lang w:eastAsia="ar-SA"/>
    </w:rPr>
  </w:style>
  <w:style w:type="paragraph" w:styleId="Odstavekseznama">
    <w:name w:val="List Paragraph"/>
    <w:basedOn w:val="Navaden"/>
    <w:uiPriority w:val="34"/>
    <w:qFormat/>
    <w:rsid w:val="00F34161"/>
    <w:pPr>
      <w:spacing w:after="200" w:line="276" w:lineRule="auto"/>
      <w:ind w:left="720"/>
      <w:contextualSpacing/>
    </w:pPr>
    <w:rPr>
      <w:rFonts w:ascii="Calibri" w:eastAsia="Calibri" w:hAnsi="Calibri"/>
      <w:sz w:val="22"/>
      <w:szCs w:val="22"/>
    </w:rPr>
  </w:style>
  <w:style w:type="paragraph" w:styleId="Noga">
    <w:name w:val="footer"/>
    <w:basedOn w:val="Navaden"/>
    <w:link w:val="NogaZnak"/>
    <w:uiPriority w:val="99"/>
    <w:unhideWhenUsed/>
    <w:rsid w:val="00F34161"/>
    <w:pPr>
      <w:tabs>
        <w:tab w:val="center" w:pos="4536"/>
        <w:tab w:val="right" w:pos="9072"/>
      </w:tabs>
      <w:spacing w:line="240" w:lineRule="auto"/>
    </w:pPr>
  </w:style>
  <w:style w:type="character" w:customStyle="1" w:styleId="NogaZnak">
    <w:name w:val="Noga Znak"/>
    <w:basedOn w:val="Privzetapisavaodstavka"/>
    <w:link w:val="Noga"/>
    <w:uiPriority w:val="99"/>
    <w:rsid w:val="00F34161"/>
    <w:rPr>
      <w:rFonts w:ascii="Arial" w:eastAsia="Times New Roman" w:hAnsi="Arial" w:cs="Times New Roman"/>
      <w:sz w:val="20"/>
      <w:szCs w:val="24"/>
    </w:rPr>
  </w:style>
  <w:style w:type="character" w:styleId="Hiperpovezava">
    <w:name w:val="Hyperlink"/>
    <w:basedOn w:val="Privzetapisavaodstavka"/>
    <w:uiPriority w:val="99"/>
    <w:unhideWhenUsed/>
    <w:rsid w:val="00F34161"/>
    <w:rPr>
      <w:color w:val="0000FF"/>
      <w:u w:val="single"/>
    </w:rPr>
  </w:style>
  <w:style w:type="paragraph" w:styleId="Sprotnaopomba-besedilo">
    <w:name w:val="footnote text"/>
    <w:basedOn w:val="Navaden"/>
    <w:link w:val="Sprotnaopomba-besediloZnak"/>
    <w:uiPriority w:val="99"/>
    <w:unhideWhenUsed/>
    <w:rsid w:val="00F34161"/>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F34161"/>
    <w:rPr>
      <w:rFonts w:ascii="Arial" w:eastAsia="Times New Roman" w:hAnsi="Arial" w:cs="Times New Roman"/>
      <w:sz w:val="20"/>
      <w:szCs w:val="20"/>
    </w:rPr>
  </w:style>
  <w:style w:type="paragraph" w:customStyle="1" w:styleId="Default">
    <w:name w:val="Default"/>
    <w:rsid w:val="00F34161"/>
    <w:pPr>
      <w:autoSpaceDE w:val="0"/>
      <w:autoSpaceDN w:val="0"/>
      <w:adjustRightInd w:val="0"/>
      <w:spacing w:after="0" w:line="240" w:lineRule="auto"/>
    </w:pPr>
    <w:rPr>
      <w:rFonts w:ascii="Arial" w:hAnsi="Arial" w:cs="Arial"/>
      <w:color w:val="000000"/>
      <w:sz w:val="24"/>
      <w:szCs w:val="24"/>
    </w:rPr>
  </w:style>
  <w:style w:type="paragraph" w:customStyle="1" w:styleId="len">
    <w:name w:val="len"/>
    <w:basedOn w:val="Navaden"/>
    <w:rsid w:val="0000791C"/>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rsid w:val="0000791C"/>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uiPriority w:val="99"/>
    <w:semiHidden/>
    <w:unhideWhenUsed/>
    <w:rsid w:val="00284D4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84D4E"/>
    <w:rPr>
      <w:rFonts w:ascii="Segoe UI" w:eastAsia="Times New Roman" w:hAnsi="Segoe UI" w:cs="Segoe UI"/>
      <w:sz w:val="18"/>
      <w:szCs w:val="18"/>
    </w:rPr>
  </w:style>
  <w:style w:type="character" w:styleId="Pripombasklic">
    <w:name w:val="annotation reference"/>
    <w:basedOn w:val="Privzetapisavaodstavka"/>
    <w:uiPriority w:val="99"/>
    <w:semiHidden/>
    <w:unhideWhenUsed/>
    <w:rsid w:val="00284D4E"/>
    <w:rPr>
      <w:sz w:val="16"/>
      <w:szCs w:val="16"/>
    </w:rPr>
  </w:style>
  <w:style w:type="paragraph" w:styleId="Pripombabesedilo">
    <w:name w:val="annotation text"/>
    <w:basedOn w:val="Navaden"/>
    <w:link w:val="PripombabesediloZnak"/>
    <w:uiPriority w:val="99"/>
    <w:semiHidden/>
    <w:unhideWhenUsed/>
    <w:rsid w:val="00284D4E"/>
    <w:pPr>
      <w:spacing w:line="240" w:lineRule="auto"/>
    </w:pPr>
    <w:rPr>
      <w:szCs w:val="20"/>
    </w:rPr>
  </w:style>
  <w:style w:type="character" w:customStyle="1" w:styleId="PripombabesediloZnak">
    <w:name w:val="Pripomba – besedilo Znak"/>
    <w:basedOn w:val="Privzetapisavaodstavka"/>
    <w:link w:val="Pripombabesedilo"/>
    <w:uiPriority w:val="99"/>
    <w:semiHidden/>
    <w:rsid w:val="00284D4E"/>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284D4E"/>
    <w:rPr>
      <w:b/>
      <w:bCs/>
    </w:rPr>
  </w:style>
  <w:style w:type="character" w:customStyle="1" w:styleId="ZadevapripombeZnak">
    <w:name w:val="Zadeva pripombe Znak"/>
    <w:basedOn w:val="PripombabesediloZnak"/>
    <w:link w:val="Zadevapripombe"/>
    <w:uiPriority w:val="99"/>
    <w:semiHidden/>
    <w:rsid w:val="00284D4E"/>
    <w:rPr>
      <w:rFonts w:ascii="Arial" w:eastAsia="Times New Roman" w:hAnsi="Arial" w:cs="Times New Roman"/>
      <w:b/>
      <w:bCs/>
      <w:sz w:val="20"/>
      <w:szCs w:val="20"/>
    </w:rPr>
  </w:style>
  <w:style w:type="table" w:styleId="Tabelasvetlamrea">
    <w:name w:val="Grid Table Light"/>
    <w:basedOn w:val="Navadnatabela"/>
    <w:uiPriority w:val="40"/>
    <w:rsid w:val="00940F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slov1Znak">
    <w:name w:val="Naslov 1 Znak"/>
    <w:basedOn w:val="Privzetapisavaodstavka"/>
    <w:link w:val="Naslov1"/>
    <w:uiPriority w:val="9"/>
    <w:rsid w:val="00940FC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62860">
      <w:bodyDiv w:val="1"/>
      <w:marLeft w:val="0"/>
      <w:marRight w:val="0"/>
      <w:marTop w:val="0"/>
      <w:marBottom w:val="0"/>
      <w:divBdr>
        <w:top w:val="none" w:sz="0" w:space="0" w:color="auto"/>
        <w:left w:val="none" w:sz="0" w:space="0" w:color="auto"/>
        <w:bottom w:val="none" w:sz="0" w:space="0" w:color="auto"/>
        <w:right w:val="none" w:sz="0" w:space="0" w:color="auto"/>
      </w:divBdr>
    </w:div>
    <w:div w:id="68960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0-01-4774" TargetMode="External"/><Relationship Id="rId18" Type="http://schemas.openxmlformats.org/officeDocument/2006/relationships/hyperlink" Target="http://www.uradni-list.si/1/objava.jsp?sop=2017-01-1101" TargetMode="External"/><Relationship Id="rId26" Type="http://schemas.openxmlformats.org/officeDocument/2006/relationships/hyperlink" Target="http://www.uradni-list.si/1/objava.jsp?sop=2010-01-5583" TargetMode="External"/><Relationship Id="rId39" Type="http://schemas.openxmlformats.org/officeDocument/2006/relationships/hyperlink" Target="http://www.uradni-list.si/1/objava.jsp?sop=2008-01-3812" TargetMode="External"/><Relationship Id="rId3" Type="http://schemas.openxmlformats.org/officeDocument/2006/relationships/styles" Target="styles.xml"/><Relationship Id="rId21" Type="http://schemas.openxmlformats.org/officeDocument/2006/relationships/hyperlink" Target="http://www.uradni-list.si/1/objava.jsp?sop=2018-01-3868" TargetMode="External"/><Relationship Id="rId34" Type="http://schemas.openxmlformats.org/officeDocument/2006/relationships/hyperlink" Target="http://www.uradni-list.si/1/objava.jsp?sop=2015-01-3254" TargetMode="External"/><Relationship Id="rId42" Type="http://schemas.openxmlformats.org/officeDocument/2006/relationships/hyperlink" Target="http://www.uradni-list.si/1/objava.jsp?sop=2013-01-3677"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uradni-list.si/1/objava.jsp?sop=2010-01-4773" TargetMode="External"/><Relationship Id="rId17" Type="http://schemas.openxmlformats.org/officeDocument/2006/relationships/hyperlink" Target="http://www.uradni-list.si/1/objava.jsp?sop=2015-01-3607" TargetMode="External"/><Relationship Id="rId25" Type="http://schemas.openxmlformats.org/officeDocument/2006/relationships/hyperlink" Target="http://www.uradni-list.si/1/objava.jsp?sop=2010-01-4554" TargetMode="External"/><Relationship Id="rId33" Type="http://schemas.openxmlformats.org/officeDocument/2006/relationships/hyperlink" Target="http://www.uradni-list.si/1/objava.jsp?sop=2014-01-3949" TargetMode="External"/><Relationship Id="rId38" Type="http://schemas.openxmlformats.org/officeDocument/2006/relationships/hyperlink" Target="http://www.uradni-list.si/1/objava.jsp?sop=2008-01-2253"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radni-list.si/1/objava.jsp?sop=2014-01-3963" TargetMode="External"/><Relationship Id="rId20" Type="http://schemas.openxmlformats.org/officeDocument/2006/relationships/hyperlink" Target="http://www.uradni-list.si/1/objava.jsp?sop=2017-01-3284" TargetMode="External"/><Relationship Id="rId29" Type="http://schemas.openxmlformats.org/officeDocument/2006/relationships/hyperlink" Target="http://www.uradni-list.si/1/objava.jsp?sop=2012-01-1700" TargetMode="External"/><Relationship Id="rId41" Type="http://schemas.openxmlformats.org/officeDocument/2006/relationships/hyperlink" Target="http://www.uradni-list.si/1/objava.jsp?sop=2013-21-04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9-01-3987" TargetMode="External"/><Relationship Id="rId24" Type="http://schemas.openxmlformats.org/officeDocument/2006/relationships/hyperlink" Target="http://www.uradni-list.si/1/objava.jsp?sop=2010-01-3273" TargetMode="External"/><Relationship Id="rId32" Type="http://schemas.openxmlformats.org/officeDocument/2006/relationships/hyperlink" Target="http://www.uradni-list.si/1/objava.jsp?sop=2014-01-2074" TargetMode="External"/><Relationship Id="rId37" Type="http://schemas.openxmlformats.org/officeDocument/2006/relationships/hyperlink" Target="http://www.uradni-list.si/1/objava.jsp?sop=2018-01-4122" TargetMode="External"/><Relationship Id="rId40" Type="http://schemas.openxmlformats.org/officeDocument/2006/relationships/hyperlink" Target="http://www.uradni-list.si/1/objava.jsp?sop=2011-01-0449" TargetMode="External"/><Relationship Id="rId45" Type="http://schemas.openxmlformats.org/officeDocument/2006/relationships/hyperlink" Target="http://www.uradni-list.si/1/objava.jsp?sop=2018-01-0544"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3-01-1767" TargetMode="External"/><Relationship Id="rId23" Type="http://schemas.openxmlformats.org/officeDocument/2006/relationships/hyperlink" Target="http://www.uradni-list.si/1/objava.jsp?sop=2010-01-0520" TargetMode="External"/><Relationship Id="rId28" Type="http://schemas.openxmlformats.org/officeDocument/2006/relationships/hyperlink" Target="http://www.uradni-list.si/1/objava.jsp?sop=2012-01-1121" TargetMode="External"/><Relationship Id="rId36" Type="http://schemas.openxmlformats.org/officeDocument/2006/relationships/hyperlink" Target="http://www.uradni-list.si/1/objava.jsp?sop=2017-01-3165" TargetMode="External"/><Relationship Id="rId49" Type="http://schemas.openxmlformats.org/officeDocument/2006/relationships/footer" Target="footer2.xml"/><Relationship Id="rId10" Type="http://schemas.openxmlformats.org/officeDocument/2006/relationships/hyperlink" Target="http://www.uradni-list.si/1/objava.jsp?sop=2009-01-0988" TargetMode="External"/><Relationship Id="rId19" Type="http://schemas.openxmlformats.org/officeDocument/2006/relationships/hyperlink" Target="http://www.uradni-list.si/1/objava.jsp?sop=2017-01-2244" TargetMode="External"/><Relationship Id="rId31" Type="http://schemas.openxmlformats.org/officeDocument/2006/relationships/hyperlink" Target="http://www.uradni-list.si/1/objava.jsp?sop=2014-01-0961" TargetMode="External"/><Relationship Id="rId44" Type="http://schemas.openxmlformats.org/officeDocument/2006/relationships/hyperlink" Target="http://www.uradni-list.si/1/objava.jsp?sop=2015-01-377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08-01-2429" TargetMode="External"/><Relationship Id="rId14" Type="http://schemas.openxmlformats.org/officeDocument/2006/relationships/hyperlink" Target="http://www.uradni-list.si/1/objava.jsp?sop=2012-01-1702" TargetMode="External"/><Relationship Id="rId22" Type="http://schemas.openxmlformats.org/officeDocument/2006/relationships/hyperlink" Target="http://www.uradni-list.si/1/objava.jsp?sop=2009-01-4891" TargetMode="External"/><Relationship Id="rId27" Type="http://schemas.openxmlformats.org/officeDocument/2006/relationships/hyperlink" Target="http://www.uradni-list.si/1/objava.jsp?sop=2011-01-1743" TargetMode="External"/><Relationship Id="rId30" Type="http://schemas.openxmlformats.org/officeDocument/2006/relationships/hyperlink" Target="http://www.uradni-list.si/1/objava.jsp?sop=2013-01-1753" TargetMode="External"/><Relationship Id="rId35" Type="http://schemas.openxmlformats.org/officeDocument/2006/relationships/hyperlink" Target="http://www.uradni-list.si/1/objava.jsp?sop=2017-01-1206" TargetMode="External"/><Relationship Id="rId43" Type="http://schemas.openxmlformats.org/officeDocument/2006/relationships/hyperlink" Target="http://www.uradni-list.si/1/objava.jsp?sop=2015-01-2277" TargetMode="External"/><Relationship Id="rId48" Type="http://schemas.openxmlformats.org/officeDocument/2006/relationships/footer" Target="footer1.xml"/><Relationship Id="rId8" Type="http://schemas.openxmlformats.org/officeDocument/2006/relationships/hyperlink" Target="http://www.uradni-list.si/1/objava.jsp?sop=2020-01-0901" TargetMode="External"/><Relationship Id="rId51"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B15CA0-0FD0-49C0-A4FF-F75FC129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2348</Words>
  <Characters>13386</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Katja</dc:creator>
  <cp:lastModifiedBy>Mojca Kustec</cp:lastModifiedBy>
  <cp:revision>6</cp:revision>
  <dcterms:created xsi:type="dcterms:W3CDTF">2020-09-11T11:10:00Z</dcterms:created>
  <dcterms:modified xsi:type="dcterms:W3CDTF">2020-09-18T08:11:00Z</dcterms:modified>
</cp:coreProperties>
</file>