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AD51" w14:textId="77777777" w:rsidR="00E72495" w:rsidRPr="000F38EC" w:rsidRDefault="00E72495" w:rsidP="00E72495">
      <w:pPr>
        <w:jc w:val="both"/>
        <w:rPr>
          <w:b/>
          <w:color w:val="000000"/>
        </w:rPr>
      </w:pPr>
      <w:bookmarkStart w:id="0" w:name="_Hlk34897830"/>
      <w:r w:rsidRPr="000F38EC">
        <w:rPr>
          <w:b/>
          <w:color w:val="000000"/>
        </w:rPr>
        <w:t>URAD PREDSEDNIKA REPUBLIKE</w:t>
      </w:r>
    </w:p>
    <w:p w14:paraId="03CEDBD0" w14:textId="77777777" w:rsidR="00E72495" w:rsidRPr="000F38EC" w:rsidRDefault="00E72495" w:rsidP="00E72495">
      <w:pPr>
        <w:jc w:val="both"/>
        <w:rPr>
          <w:b/>
          <w:color w:val="000000"/>
        </w:rPr>
      </w:pPr>
      <w:r w:rsidRPr="000F38EC">
        <w:rPr>
          <w:b/>
          <w:color w:val="000000"/>
        </w:rPr>
        <w:t>DRŽAVNI ZBOR REPUBLIKE SLOVENIJE</w:t>
      </w:r>
    </w:p>
    <w:p w14:paraId="31D376E2" w14:textId="77777777" w:rsidR="00E72495" w:rsidRPr="000F38EC" w:rsidRDefault="00E72495" w:rsidP="00E72495">
      <w:pPr>
        <w:jc w:val="both"/>
        <w:rPr>
          <w:b/>
          <w:color w:val="000000"/>
        </w:rPr>
      </w:pPr>
      <w:r w:rsidRPr="000F38EC">
        <w:rPr>
          <w:b/>
          <w:color w:val="000000"/>
        </w:rPr>
        <w:t>DRŽAVNI SVET REPUBLIKE SLOVENIJE</w:t>
      </w:r>
    </w:p>
    <w:p w14:paraId="1884780C" w14:textId="77777777" w:rsidR="00E72495" w:rsidRPr="000F38EC" w:rsidRDefault="00E72495" w:rsidP="00E72495">
      <w:pPr>
        <w:jc w:val="both"/>
        <w:rPr>
          <w:b/>
          <w:color w:val="000000"/>
        </w:rPr>
      </w:pPr>
      <w:r w:rsidRPr="000F38EC">
        <w:rPr>
          <w:b/>
          <w:color w:val="000000"/>
        </w:rPr>
        <w:t>USTAVNO SODIŠČE REPUBLIKE SLOVENIJE</w:t>
      </w:r>
    </w:p>
    <w:p w14:paraId="2CFE23D3" w14:textId="77777777" w:rsidR="00E72495" w:rsidRPr="000F38EC" w:rsidRDefault="00E72495" w:rsidP="00E72495">
      <w:pPr>
        <w:jc w:val="both"/>
        <w:rPr>
          <w:b/>
          <w:color w:val="000000"/>
        </w:rPr>
      </w:pPr>
      <w:r w:rsidRPr="000F38EC">
        <w:rPr>
          <w:b/>
          <w:color w:val="000000"/>
        </w:rPr>
        <w:t>RAČUNSKO SODIŠČE REPUBLIKE SLOVENIJE</w:t>
      </w:r>
    </w:p>
    <w:p w14:paraId="2CB129B9" w14:textId="77777777" w:rsidR="00E72495" w:rsidRPr="000F38EC" w:rsidRDefault="00E72495" w:rsidP="00E72495">
      <w:pPr>
        <w:jc w:val="both"/>
        <w:rPr>
          <w:b/>
          <w:color w:val="000000"/>
        </w:rPr>
      </w:pPr>
      <w:r w:rsidRPr="000F38EC">
        <w:rPr>
          <w:b/>
          <w:color w:val="000000"/>
        </w:rPr>
        <w:t>VARUH ČLOVEKOVIH PRAVIC REPUBLIKE SLOVENIJE</w:t>
      </w:r>
    </w:p>
    <w:p w14:paraId="239A7068" w14:textId="77777777" w:rsidR="00E72495" w:rsidRPr="000F38EC" w:rsidRDefault="00E72495" w:rsidP="00E72495">
      <w:pPr>
        <w:jc w:val="both"/>
        <w:rPr>
          <w:b/>
          <w:color w:val="000000"/>
        </w:rPr>
      </w:pPr>
      <w:r w:rsidRPr="000F38EC">
        <w:rPr>
          <w:b/>
          <w:color w:val="000000"/>
        </w:rPr>
        <w:t>DRŽAVNA REVIZIJSKA KOMISIJA REPUBLIKE SLOVENIJE</w:t>
      </w:r>
    </w:p>
    <w:p w14:paraId="76D70338" w14:textId="77777777" w:rsidR="00E72495" w:rsidRPr="000F38EC" w:rsidRDefault="00E72495" w:rsidP="00E72495">
      <w:pPr>
        <w:jc w:val="both"/>
        <w:rPr>
          <w:b/>
          <w:color w:val="000000"/>
        </w:rPr>
      </w:pPr>
      <w:r w:rsidRPr="000F38EC">
        <w:rPr>
          <w:b/>
          <w:color w:val="000000"/>
        </w:rPr>
        <w:t>INFORMACIJSKI POOBLAŠČENEC REPUBLIKE SLOVENIJE</w:t>
      </w:r>
    </w:p>
    <w:p w14:paraId="31A37973" w14:textId="77777777" w:rsidR="00E72495" w:rsidRPr="0058732A" w:rsidRDefault="00E72495" w:rsidP="00E72495">
      <w:pPr>
        <w:jc w:val="both"/>
        <w:rPr>
          <w:b/>
          <w:lang w:val="pt-BR"/>
        </w:rPr>
      </w:pPr>
      <w:r w:rsidRPr="0058732A">
        <w:rPr>
          <w:b/>
          <w:lang w:val="pt-BR"/>
        </w:rPr>
        <w:t>KOMISIJA ZA PREPREČEVANJE KORUPCIJE REPUBLIKE SLOVENIJE</w:t>
      </w:r>
    </w:p>
    <w:p w14:paraId="6776FF3A" w14:textId="77777777" w:rsidR="00E72495" w:rsidRPr="0058732A" w:rsidRDefault="00E72495" w:rsidP="00E72495">
      <w:pPr>
        <w:jc w:val="both"/>
        <w:rPr>
          <w:b/>
          <w:lang w:val="pt-BR"/>
        </w:rPr>
      </w:pPr>
      <w:r w:rsidRPr="0058732A">
        <w:rPr>
          <w:b/>
          <w:lang w:val="pt-BR"/>
        </w:rPr>
        <w:t>DRŽAVNA VOLILNA KOMISIJA</w:t>
      </w:r>
    </w:p>
    <w:p w14:paraId="5B2A34BA" w14:textId="77777777" w:rsidR="00E72495" w:rsidRPr="0058732A" w:rsidRDefault="00E72495" w:rsidP="00E72495">
      <w:pPr>
        <w:jc w:val="both"/>
        <w:rPr>
          <w:b/>
          <w:lang w:val="pt-BR"/>
        </w:rPr>
      </w:pPr>
      <w:r w:rsidRPr="0058732A">
        <w:rPr>
          <w:b/>
          <w:lang w:val="pt-BR"/>
        </w:rPr>
        <w:t>FISKALNI SVET</w:t>
      </w:r>
    </w:p>
    <w:p w14:paraId="7D35A98B" w14:textId="77777777" w:rsidR="00E72495" w:rsidRPr="0058732A" w:rsidRDefault="00E72495" w:rsidP="00E72495">
      <w:pPr>
        <w:jc w:val="both"/>
        <w:rPr>
          <w:b/>
          <w:lang w:val="pt-BR"/>
        </w:rPr>
      </w:pPr>
      <w:r w:rsidRPr="0058732A">
        <w:rPr>
          <w:b/>
          <w:lang w:val="pt-BR"/>
        </w:rPr>
        <w:t>SODNI SVET</w:t>
      </w:r>
    </w:p>
    <w:p w14:paraId="0EB641DE" w14:textId="77777777" w:rsidR="00E72495" w:rsidRPr="0058732A" w:rsidRDefault="00E72495" w:rsidP="00E72495">
      <w:pPr>
        <w:jc w:val="both"/>
        <w:rPr>
          <w:b/>
          <w:lang w:val="pt-BR"/>
        </w:rPr>
      </w:pPr>
      <w:r w:rsidRPr="0058732A">
        <w:rPr>
          <w:b/>
          <w:lang w:val="pt-BR"/>
        </w:rPr>
        <w:t>ZAGOVORNIK NAČELA ENAKOSTI</w:t>
      </w:r>
    </w:p>
    <w:p w14:paraId="0109AB9B" w14:textId="77777777" w:rsidR="00E72495" w:rsidRPr="0058732A" w:rsidRDefault="00E72495" w:rsidP="00E72495">
      <w:pPr>
        <w:jc w:val="both"/>
        <w:rPr>
          <w:b/>
          <w:lang w:val="pt-BR"/>
        </w:rPr>
      </w:pPr>
    </w:p>
    <w:p w14:paraId="6B09177F" w14:textId="77777777" w:rsidR="00E72495" w:rsidRPr="0058732A" w:rsidRDefault="00E72495" w:rsidP="00E72495">
      <w:pPr>
        <w:jc w:val="both"/>
        <w:rPr>
          <w:b/>
          <w:lang w:val="pt-BR"/>
        </w:rPr>
      </w:pPr>
      <w:r w:rsidRPr="0058732A">
        <w:rPr>
          <w:b/>
          <w:lang w:val="pt-BR"/>
        </w:rPr>
        <w:t>VRHOVNO SODIŠČE REPUBLIKE SLOVENIJE</w:t>
      </w:r>
    </w:p>
    <w:p w14:paraId="56D75A33" w14:textId="77777777" w:rsidR="00E72495" w:rsidRPr="0058732A" w:rsidRDefault="00E72495" w:rsidP="00E72495">
      <w:pPr>
        <w:jc w:val="both"/>
        <w:rPr>
          <w:b/>
          <w:lang w:val="pt-BR"/>
        </w:rPr>
      </w:pPr>
      <w:r w:rsidRPr="0058732A">
        <w:rPr>
          <w:b/>
          <w:lang w:val="pt-BR"/>
        </w:rPr>
        <w:t>VRHOVNO DRŽAVNO TOŽILSTVO</w:t>
      </w:r>
    </w:p>
    <w:p w14:paraId="1EAC2DAC" w14:textId="77777777" w:rsidR="00E72495" w:rsidRPr="0058732A" w:rsidRDefault="00E72495" w:rsidP="00E72495">
      <w:pPr>
        <w:jc w:val="both"/>
        <w:rPr>
          <w:b/>
          <w:lang w:val="pt-BR"/>
        </w:rPr>
      </w:pPr>
      <w:r w:rsidRPr="0058732A">
        <w:rPr>
          <w:b/>
          <w:lang w:val="pt-BR"/>
        </w:rPr>
        <w:t>DRŽAVNO ODVETNIŠTVO</w:t>
      </w:r>
    </w:p>
    <w:p w14:paraId="4E60DC7A" w14:textId="77777777" w:rsidR="00E72495" w:rsidRPr="006B2F93" w:rsidRDefault="00E72495" w:rsidP="00E72495">
      <w:pPr>
        <w:rPr>
          <w:b/>
          <w:lang w:val="pt-BR"/>
        </w:rPr>
      </w:pPr>
    </w:p>
    <w:p w14:paraId="74F7089D" w14:textId="77777777" w:rsidR="00E72495" w:rsidRPr="006B2F93" w:rsidRDefault="00E72495" w:rsidP="00E72495">
      <w:pPr>
        <w:jc w:val="both"/>
        <w:rPr>
          <w:b/>
          <w:lang w:val="pt-BR"/>
        </w:rPr>
      </w:pPr>
      <w:r w:rsidRPr="006B2F93">
        <w:rPr>
          <w:b/>
          <w:lang w:val="pt-BR"/>
        </w:rPr>
        <w:t>OBČINE</w:t>
      </w:r>
    </w:p>
    <w:p w14:paraId="44125623" w14:textId="77777777" w:rsidR="00E72495" w:rsidRPr="006B2F93" w:rsidRDefault="00E72495" w:rsidP="00E72495">
      <w:pPr>
        <w:jc w:val="both"/>
        <w:rPr>
          <w:b/>
          <w:lang w:val="pt-BR"/>
        </w:rPr>
      </w:pPr>
      <w:r w:rsidRPr="006B2F93">
        <w:rPr>
          <w:b/>
          <w:lang w:val="pt-BR"/>
        </w:rPr>
        <w:t>ZDRUŽENJE OBČIN SLOVENIJE</w:t>
      </w:r>
    </w:p>
    <w:p w14:paraId="0E7F5429" w14:textId="77777777" w:rsidR="00E72495" w:rsidRPr="006B2F93" w:rsidRDefault="00E72495" w:rsidP="00E72495">
      <w:pPr>
        <w:jc w:val="both"/>
        <w:rPr>
          <w:b/>
          <w:lang w:val="pt-BR"/>
        </w:rPr>
      </w:pPr>
      <w:r w:rsidRPr="006B2F93">
        <w:rPr>
          <w:b/>
          <w:lang w:val="pt-BR"/>
        </w:rPr>
        <w:t>SKUPNOST OBČIN SLOVENIJE</w:t>
      </w:r>
    </w:p>
    <w:p w14:paraId="45CC5B65" w14:textId="77777777" w:rsidR="00E72495" w:rsidRPr="006B2F93" w:rsidRDefault="00E72495" w:rsidP="00E72495">
      <w:pPr>
        <w:jc w:val="both"/>
        <w:rPr>
          <w:b/>
          <w:lang w:val="pt-BR"/>
        </w:rPr>
      </w:pPr>
      <w:r w:rsidRPr="006B2F93">
        <w:rPr>
          <w:b/>
          <w:lang w:val="pt-BR"/>
        </w:rPr>
        <w:t>ZDRUŽENJE MESTNIH OBČIN SLOVENIJE</w:t>
      </w:r>
    </w:p>
    <w:p w14:paraId="4BDB1BDD" w14:textId="77777777" w:rsidR="00E72495" w:rsidRPr="006B2F93" w:rsidRDefault="00E72495" w:rsidP="00E72495">
      <w:pPr>
        <w:rPr>
          <w:b/>
          <w:lang w:val="pt-BR"/>
        </w:rPr>
      </w:pPr>
    </w:p>
    <w:p w14:paraId="2FC8D5E3" w14:textId="77777777" w:rsidR="00E72495" w:rsidRPr="006B2F93" w:rsidRDefault="00E72495" w:rsidP="00E72495">
      <w:pPr>
        <w:rPr>
          <w:b/>
          <w:lang w:val="pt-BR"/>
        </w:rPr>
      </w:pPr>
      <w:r w:rsidRPr="006B2F93">
        <w:rPr>
          <w:b/>
          <w:lang w:val="pt-BR"/>
        </w:rPr>
        <w:t>MINISTRSTVA</w:t>
      </w:r>
    </w:p>
    <w:p w14:paraId="331FF097" w14:textId="77777777" w:rsidR="00E72495" w:rsidRDefault="00E72495" w:rsidP="0098661D">
      <w:pPr>
        <w:pStyle w:val="datumtevilka"/>
      </w:pPr>
    </w:p>
    <w:p w14:paraId="0C0C86F1" w14:textId="0B400C2E" w:rsidR="0098661D" w:rsidRPr="00FC086C" w:rsidRDefault="0098661D" w:rsidP="0098661D">
      <w:pPr>
        <w:pStyle w:val="datumtevilka"/>
        <w:rPr>
          <w:color w:val="FF0000"/>
        </w:rPr>
      </w:pPr>
      <w:r w:rsidRPr="00CA200C">
        <w:t xml:space="preserve">Številka: </w:t>
      </w:r>
      <w:r>
        <w:t>0100-</w:t>
      </w:r>
      <w:r w:rsidR="006E7204">
        <w:t>227/2020</w:t>
      </w:r>
      <w:r w:rsidR="008827BE">
        <w:t>/6</w:t>
      </w:r>
    </w:p>
    <w:p w14:paraId="57A17B47" w14:textId="0ED5357B" w:rsidR="0098661D" w:rsidRPr="00CA200C" w:rsidRDefault="0098661D" w:rsidP="0098661D">
      <w:pPr>
        <w:pStyle w:val="datumtevilka"/>
      </w:pPr>
      <w:r w:rsidRPr="00CA200C">
        <w:t xml:space="preserve">Datum: </w:t>
      </w:r>
      <w:r w:rsidR="006E7204">
        <w:t>24</w:t>
      </w:r>
      <w:r w:rsidR="004574E3">
        <w:t>.</w:t>
      </w:r>
      <w:r w:rsidR="006E7204">
        <w:t>4</w:t>
      </w:r>
      <w:r w:rsidR="004574E3">
        <w:t>.2020</w:t>
      </w:r>
      <w:r w:rsidRPr="00CA200C">
        <w:tab/>
      </w:r>
    </w:p>
    <w:p w14:paraId="690347AE" w14:textId="77777777" w:rsidR="0098661D" w:rsidRPr="00CA200C" w:rsidRDefault="0098661D" w:rsidP="0098661D"/>
    <w:p w14:paraId="3DE1C5D6" w14:textId="77777777" w:rsidR="0098661D" w:rsidRPr="00CA200C" w:rsidRDefault="0098661D" w:rsidP="0098661D"/>
    <w:p w14:paraId="10F0A12B" w14:textId="77777777" w:rsidR="0098661D" w:rsidRPr="00CA200C" w:rsidRDefault="0098661D" w:rsidP="0098661D">
      <w:pPr>
        <w:autoSpaceDE w:val="0"/>
        <w:autoSpaceDN w:val="0"/>
        <w:adjustRightInd w:val="0"/>
        <w:spacing w:line="260" w:lineRule="exact"/>
        <w:jc w:val="both"/>
        <w:rPr>
          <w:rFonts w:cs="Arial"/>
          <w:szCs w:val="20"/>
        </w:rPr>
      </w:pPr>
    </w:p>
    <w:p w14:paraId="51DBBB41" w14:textId="77777777" w:rsidR="003754D8" w:rsidRPr="003754D8" w:rsidRDefault="003754D8" w:rsidP="003754D8">
      <w:pPr>
        <w:spacing w:after="160" w:line="259" w:lineRule="auto"/>
        <w:rPr>
          <w:rFonts w:eastAsiaTheme="minorHAnsi" w:cs="Arial"/>
          <w:szCs w:val="20"/>
        </w:rPr>
      </w:pPr>
      <w:r w:rsidRPr="003754D8">
        <w:rPr>
          <w:rFonts w:eastAsiaTheme="minorHAnsi" w:cs="Arial"/>
          <w:szCs w:val="20"/>
        </w:rPr>
        <w:t xml:space="preserve">ZADEVA: </w:t>
      </w:r>
      <w:r w:rsidRPr="003754D8">
        <w:rPr>
          <w:rFonts w:eastAsiaTheme="minorHAnsi" w:cs="Arial"/>
          <w:b/>
          <w:bCs/>
          <w:szCs w:val="20"/>
        </w:rPr>
        <w:t>Financiranje dodatka na podlagi 71. člena ZIUZEOP – pojasnilo</w:t>
      </w:r>
    </w:p>
    <w:p w14:paraId="75AB840D" w14:textId="77777777" w:rsidR="003754D8" w:rsidRPr="003754D8" w:rsidRDefault="003754D8" w:rsidP="003754D8">
      <w:pPr>
        <w:spacing w:after="160" w:line="259" w:lineRule="auto"/>
        <w:rPr>
          <w:rFonts w:eastAsiaTheme="minorHAnsi" w:cs="Arial"/>
          <w:szCs w:val="20"/>
        </w:rPr>
      </w:pPr>
    </w:p>
    <w:p w14:paraId="4FF5E5F3" w14:textId="77777777" w:rsidR="003754D8" w:rsidRPr="003754D8" w:rsidRDefault="003754D8" w:rsidP="003754D8">
      <w:pPr>
        <w:spacing w:after="160" w:line="259" w:lineRule="auto"/>
        <w:rPr>
          <w:rFonts w:eastAsiaTheme="minorHAnsi" w:cs="Arial"/>
          <w:szCs w:val="20"/>
        </w:rPr>
      </w:pPr>
      <w:r w:rsidRPr="003754D8">
        <w:rPr>
          <w:rFonts w:eastAsiaTheme="minorHAnsi" w:cs="Arial"/>
          <w:szCs w:val="20"/>
        </w:rPr>
        <w:t>Spoštovani,</w:t>
      </w:r>
    </w:p>
    <w:p w14:paraId="2783859A" w14:textId="77777777" w:rsidR="003754D8" w:rsidRPr="003754D8" w:rsidRDefault="003754D8" w:rsidP="003754D8">
      <w:pPr>
        <w:spacing w:after="160" w:line="259" w:lineRule="auto"/>
        <w:jc w:val="both"/>
        <w:rPr>
          <w:rFonts w:eastAsiaTheme="minorHAnsi" w:cs="Arial"/>
          <w:szCs w:val="20"/>
        </w:rPr>
      </w:pPr>
    </w:p>
    <w:p w14:paraId="7BA9351E"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Vlada Republike Slovenije je na seji, dne 22. 4. 2020, upoštevaje šesti odstavek 71.člena Zakona o interventnih ukrepih za zajezitev epidemije COVID-19 in omilitev njenih posledic za državljane in gospodarstvo (ZIUZEOP – Uradni list RS, št. 49/20), določila obseg sredstev za financiranje dodatka za nevarnost in posebne obremenitve v času epidemije (v nadaljevanju: dodatek COVID-19), razdelitev sredstev na neposredne uporabnike proračuna ter kriterije za razdelitev sredstev posrednim uporabnikom proračuna (sklep vlade, številka: 10007-46/2020/5 z dne 22. 4. 2020).</w:t>
      </w:r>
    </w:p>
    <w:p w14:paraId="2567A760"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Gre za dodatek v višini do največ 100 odstotkov urne postavke osnovne plače zaposlenega, ki je zaradi obvladovanja epidemije COVID-19 nadpovprečno izpostavljen tveganju za svoje zdravje </w:t>
      </w:r>
      <w:r w:rsidRPr="003754D8">
        <w:rPr>
          <w:rFonts w:eastAsiaTheme="minorHAnsi" w:cs="Arial"/>
          <w:szCs w:val="20"/>
        </w:rPr>
        <w:lastRenderedPageBreak/>
        <w:t>oziroma prekomerno obremenjen pri svojem delu. Pravico do dodatka COVID-19 torej imajo izključno zaposleni, ki:</w:t>
      </w:r>
    </w:p>
    <w:p w14:paraId="148CE1DF" w14:textId="77777777" w:rsidR="003754D8" w:rsidRPr="003754D8" w:rsidRDefault="003754D8" w:rsidP="003754D8">
      <w:pPr>
        <w:numPr>
          <w:ilvl w:val="0"/>
          <w:numId w:val="5"/>
        </w:numPr>
        <w:spacing w:after="160" w:line="259" w:lineRule="auto"/>
        <w:contextualSpacing/>
        <w:jc w:val="both"/>
        <w:rPr>
          <w:rFonts w:eastAsiaTheme="minorHAnsi" w:cs="Arial"/>
          <w:szCs w:val="20"/>
        </w:rPr>
      </w:pPr>
      <w:r w:rsidRPr="003754D8">
        <w:rPr>
          <w:rFonts w:eastAsiaTheme="minorHAnsi" w:cs="Arial"/>
          <w:szCs w:val="20"/>
        </w:rPr>
        <w:t xml:space="preserve">so nadpovprečno izpostavljeni tveganju za svoje zdravje </w:t>
      </w:r>
      <w:r w:rsidRPr="003754D8">
        <w:rPr>
          <w:rFonts w:eastAsiaTheme="minorHAnsi" w:cs="Arial"/>
          <w:szCs w:val="20"/>
          <w:u w:val="single"/>
        </w:rPr>
        <w:t>zaradi obvladovanja epidemije</w:t>
      </w:r>
      <w:r w:rsidRPr="003754D8">
        <w:rPr>
          <w:rFonts w:eastAsiaTheme="minorHAnsi" w:cs="Arial"/>
          <w:szCs w:val="20"/>
        </w:rPr>
        <w:t>;</w:t>
      </w:r>
    </w:p>
    <w:p w14:paraId="75798AB3" w14:textId="77777777" w:rsidR="003754D8" w:rsidRDefault="003754D8" w:rsidP="003754D8">
      <w:pPr>
        <w:numPr>
          <w:ilvl w:val="0"/>
          <w:numId w:val="5"/>
        </w:numPr>
        <w:spacing w:after="160" w:line="259" w:lineRule="auto"/>
        <w:contextualSpacing/>
        <w:jc w:val="both"/>
        <w:rPr>
          <w:rFonts w:eastAsiaTheme="minorHAnsi" w:cs="Arial"/>
          <w:szCs w:val="20"/>
        </w:rPr>
      </w:pPr>
      <w:r w:rsidRPr="003754D8">
        <w:rPr>
          <w:rFonts w:eastAsiaTheme="minorHAnsi" w:cs="Arial"/>
          <w:szCs w:val="20"/>
        </w:rPr>
        <w:t xml:space="preserve">so prekomerno obremenjeni </w:t>
      </w:r>
      <w:r w:rsidRPr="003754D8">
        <w:rPr>
          <w:rFonts w:eastAsiaTheme="minorHAnsi" w:cs="Arial"/>
          <w:szCs w:val="20"/>
          <w:u w:val="single"/>
        </w:rPr>
        <w:t>zaradi obvladovanja epidemije.</w:t>
      </w:r>
      <w:r w:rsidRPr="003754D8">
        <w:rPr>
          <w:rFonts w:eastAsiaTheme="minorHAnsi" w:cs="Arial"/>
          <w:szCs w:val="20"/>
        </w:rPr>
        <w:t xml:space="preserve"> </w:t>
      </w:r>
    </w:p>
    <w:p w14:paraId="7BC1F33D" w14:textId="29351BD5" w:rsidR="003754D8" w:rsidRPr="003754D8" w:rsidRDefault="003754D8" w:rsidP="003754D8">
      <w:pPr>
        <w:spacing w:after="160" w:line="259" w:lineRule="auto"/>
        <w:contextualSpacing/>
        <w:jc w:val="both"/>
        <w:rPr>
          <w:rFonts w:eastAsiaTheme="minorHAnsi" w:cs="Arial"/>
          <w:szCs w:val="20"/>
        </w:rPr>
      </w:pPr>
      <w:r w:rsidRPr="003754D8">
        <w:rPr>
          <w:rFonts w:eastAsiaTheme="minorHAnsi" w:cs="Arial"/>
          <w:szCs w:val="20"/>
        </w:rPr>
        <w:t xml:space="preserve"> </w:t>
      </w:r>
    </w:p>
    <w:p w14:paraId="5A9D5316"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Kot izhaja iz navedenega, do tega dodatka niso upravičeni zaposleni, ki so npr. nadpovprečno  obremenjeni zaradi običajnih nalog, ki sodijo v delovno področje proračunskega uporabnika, zaradi česar bi lahko bili upravičeni do izplačila dela plače za delovno uspešnost iz naslova povečanega obsega dela v skladu z 22.d oziroma 22.e členom Zakona o sistemu plač v javnem sektorju (ZSPJS). Da bi zaposleni lahko prejeli dodatek COVID-19 iz naslova prekomerne obremenitve, mora biti prekomerna obremenitev posledica opravljanja dela in nalog, povezanih z </w:t>
      </w:r>
      <w:r w:rsidRPr="003754D8">
        <w:rPr>
          <w:rFonts w:eastAsiaTheme="minorHAnsi" w:cs="Arial"/>
          <w:szCs w:val="20"/>
          <w:u w:val="single"/>
        </w:rPr>
        <w:t>obvladovanjem epidemije</w:t>
      </w:r>
      <w:r w:rsidRPr="003754D8">
        <w:rPr>
          <w:rFonts w:eastAsiaTheme="minorHAnsi" w:cs="Arial"/>
          <w:szCs w:val="20"/>
        </w:rPr>
        <w:t xml:space="preserve"> (npr. priprava predloga interventne zakonodaje za obvladovanje epidemije COVID-19 in vse s tem povezane naloge, omogočanje dela preko oddaljenega dostopa velikemu številu uporabnikov z obiski na terenu pri uporabnikih, v krajšem času kot sicer). Prav tako je razumljivo, da do dodatka COVID-19 iz naslova nadpovprečne izpostavljenosti za svoje zdravje ne morejo biti upravičeni zaposleni, ki delajo na domu.   </w:t>
      </w:r>
    </w:p>
    <w:p w14:paraId="60894A6F"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Z namenom zagotovitve enotnega razumevanja in ravnanj proračunskih uporabnikov glede zgoraj citiranega sklepa vlade, v okviru pristojnosti Ministrstva za javno upravo posredujemo naslednja pojasnila:</w:t>
      </w:r>
    </w:p>
    <w:p w14:paraId="0DF95D31"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vlada je določila najvišji znesek (limit), ki ga lahko za izplačilo dodatka COVID-19 porabijo proračunski uporabniki. Gre torej za najvišji dovoljen obseg sredstev, ki se lahko porabi za ta namen, kar pa nikakor ne pomeni, da se bodo ta sredstva tudi avtomatično v celoti porabila;</w:t>
      </w:r>
    </w:p>
    <w:p w14:paraId="3278E49D" w14:textId="52CAEA70"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 xml:space="preserve">financiranje dodatka COVID-19 v okviru dovoljenega obsega sredstev izvaja </w:t>
      </w:r>
      <w:r w:rsidRPr="003754D8">
        <w:rPr>
          <w:rFonts w:eastAsiaTheme="minorHAnsi" w:cs="Arial"/>
          <w:szCs w:val="20"/>
          <w:u w:val="single"/>
        </w:rPr>
        <w:t>ustanovitelj</w:t>
      </w:r>
      <w:r w:rsidRPr="003754D8">
        <w:rPr>
          <w:rFonts w:eastAsiaTheme="minorHAnsi" w:cs="Arial"/>
          <w:szCs w:val="20"/>
        </w:rPr>
        <w:t xml:space="preserve">, ki ni nujno tudi financer konkretne skupine proračunskih uporabnikov iz pristojnosti neposrednega proračunskega uporabnika (npr. ustanovitelj zdravstvenega doma je občina, ki upoštevaje citirani sklep vlade določi obseg sredstev za dodatek COVID-19 tudi zdravstvenim domovom, financiranje pa bo zagotovljeno iz državnega proračuna, čeprav običajno financiranje plač zaposlenih v zdravstvenem domu, vključno z vsemi dodatki, zagotavlja zdravstvena blagajna). Iz obeh tabel (za mesec marec in april) v prilogi zgoraj citiranega sklepa jasno izhaja, katerim neposrednim proračunskim uporabnikom je določen najvišji možen obseg sredstev za financiranje tega dodatka, ki se potem na podlagi kriterijev iz II. točke priloge istega sklepa vlade delijo na posredne proračunske uporabnike, katerih ustanovitelj je konkretni neposredni uporabnik proračuna (temu pojasnilu je priložen šifrant, iz katerega je razvidno, katerih posrednih uporabnikov proračuna ustanovitelj je neposredni proračunski uporabnik iz obeh zgoraj navedenih tabel);   </w:t>
      </w:r>
    </w:p>
    <w:p w14:paraId="62E71D45"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obseg sredstev je določen za neposredne proračunske uporabnike (npr. ministrstva, druge državne organe, občine) oziroma za predlagatelje finančnih načrtov, saj so npr. nekatera ministrstva predlagatelji finančni načrtov za neposredne proračunske uporabnike iz njihove pristojnosti. Tako so npr. ministrstva kot neposredni proračunski uporabnik predlagatelji finančnih načrtov za organe v sestavi ministrstev, ki so sicer prav tako neposredni proračunski uporabnik, vendar obseg sredstev ni določen za organe v sestavi posebej, temveč za ministrstvo kot celoto (vključno z organi v sestavi, ki bo upoštevaje kriterije iz zgoraj citiranega sklepa vlade določilo obseg sredstev za posamezne proračunske uporabnike iz svoje pristojnosti. Kot je že navedeno v prejšnji točki, pa so v obseg sredstev za neposrednega proračunskega uporabnika vključena tudi sredstva za vse proračunske uporabnike, v zvezi s katerimi izvaja  neposredni proračunski uporabnik vlogo ustanovitelja.</w:t>
      </w:r>
    </w:p>
    <w:p w14:paraId="575ACFC9"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obseg sredstev, ki je dodeljen neposrednemu proračunskemu uporabniku torej vključuje sredstva tako za zaposlene pri neposrednem uporabniku proračuna (vključno s funkcionarji in direktorji), kot za zaposlene pri posrednih uporabnikih proračuna iz njegove pristojnosti oziroma za uporabnike proračuna, za katere je predlagatelje finančnih načrtov;</w:t>
      </w:r>
    </w:p>
    <w:p w14:paraId="51E22530"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 xml:space="preserve">dodelitev sredstev neposrednim proračunskim uporabnikom v okviru obsega, ki ga je določila vlada, se bo izvedla na podlagi zahtevkov neposrednih proračunskih uporabnikov, naslovljenih na Ministrstvo za finance. Ti bodo ta zahtevek posredovali Ministrstvu za finance </w:t>
      </w:r>
      <w:r w:rsidRPr="003754D8">
        <w:rPr>
          <w:rFonts w:eastAsiaTheme="minorHAnsi" w:cs="Arial"/>
          <w:szCs w:val="20"/>
        </w:rPr>
        <w:lastRenderedPageBreak/>
        <w:t xml:space="preserve">glede na zahtevke za nakazilo sredstev, ki jih bodo prejeli od posrednih uporabnikov proračuna skupaj z utemeljitvijo razlogov za dodelitev sredstev;         </w:t>
      </w:r>
    </w:p>
    <w:p w14:paraId="6BB9941A"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neposredni proračunski uporabniki so pri določitvi obsega sredstev za uporabnike proračuna iz njihove pristojnosti dolžni upoštevati kriterije, ki jih je vlada določila za razdelitev teh sredstev uporabnikom proračuna iz njihove pristojnosti. Npr. Ministrstvo za zdravje razdeli sredstva bolnišnicam upoštevaje kriterije iz II. točke priloge zgoraj citiranega sklepa vlade (izpostavljenost nevarnosti konkretne bolnišnice, število zaposlenih, ki delajo na delovnem mestu na lokaciji delodajalca, število zaposlenih, ki delajo od doma, delež vrednosti bruto urne postavke osnovne plače, in sicer pri bolj izpostavljenih (rizičnih) dejavnostih v povprečju 25 % urne postavke osnovne plače pri tistih, ki delajo na delovnem mestu na lokaciji delodajalca, in 10 % urne postavke osnovne plače pri tistih, ki delajo na domu);</w:t>
      </w:r>
    </w:p>
    <w:p w14:paraId="49739857"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uporaba kriterijev za dodelitev sredstev posrednim uporabnikom proračuna je za neposrednega proračunskega uporabnika obvezna, v smislu, da se skupen dovoljen obseg sredstev, ki ga je določila vlada, ne preseže. Sicer pa je v pristojnosti neposrednega uporabnika proračuna, da upoštevaje predložene zahtevke posrednih proračunskih uporabnikov za nakazilo sredstev za izplačilo dodatka COVID-19, presodi, ali  bo konkreten zahtevek glede na utemeljitev posrednega uporabnika poračuna upošteval ali pa ga bo zavrnil. Posredni proračunski uporabniki so namreč pri odločanju o upravičenosti do dodatka poleg limita dodeljenih sredstev dolžni upoštevati tudi zakonska pogoja, to sta nadpovprečna izpostavljenost tveganju ali prekomerna obremenitev zaposlenega, kar so v svojem zahtevku dolžni tudi utemeljiti;</w:t>
      </w:r>
    </w:p>
    <w:p w14:paraId="72A814D9"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 xml:space="preserve">neposredni uporabnik proračuna pri dodelitvi obsega sredstev uporabnikom iz svoje pristojnosti obravnava kriterije, ki jih je določila vlada kot nujno izhodišče za določitev obsega dodeljenih sredstev, pri čemer pa glede nadpovprečne izpostavljenosti tveganju konkretnih proračunskih uporabnikov lahko tudi sam sprejme določene kriterije, na podlagi katerih bo presojal utemeljitev zahtevkov za nakazilo sredstev, ki jih je prejel od uporabnikov proračuna iz njegove pristojnosti (npr. občina bo pri presoji utemeljenosti zahtevka lahko upoštevala, da je npr. konkretni zdravstveni dom bolj izpostavljen kot drugi zdravstveni dom; neposredni proračunski uporabnik bo prav tako lahko upošteval, da obstaja razlika izpostavljenosti oziroma obremenjenosti tudi med dvema domovoma starejših občanov </w:t>
      </w:r>
      <w:proofErr w:type="spellStart"/>
      <w:r w:rsidRPr="003754D8">
        <w:rPr>
          <w:rFonts w:eastAsiaTheme="minorHAnsi" w:cs="Arial"/>
          <w:szCs w:val="20"/>
        </w:rPr>
        <w:t>ipd</w:t>
      </w:r>
      <w:proofErr w:type="spellEnd"/>
      <w:r w:rsidRPr="003754D8">
        <w:rPr>
          <w:rFonts w:eastAsiaTheme="minorHAnsi" w:cs="Arial"/>
          <w:szCs w:val="20"/>
        </w:rPr>
        <w:t xml:space="preserve">). </w:t>
      </w:r>
    </w:p>
    <w:p w14:paraId="44A7F6D0" w14:textId="77777777" w:rsidR="003754D8" w:rsidRDefault="003754D8" w:rsidP="003754D8">
      <w:pPr>
        <w:spacing w:after="160" w:line="259" w:lineRule="auto"/>
        <w:jc w:val="both"/>
        <w:rPr>
          <w:rFonts w:eastAsiaTheme="minorHAnsi" w:cs="Arial"/>
          <w:szCs w:val="20"/>
        </w:rPr>
      </w:pPr>
    </w:p>
    <w:p w14:paraId="3534C178" w14:textId="4D90BCCE"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Ob zgoraj navedenem je treba upoštevati, da se bo dodatek COVID-19 lahko izplačal zaposlenemu na podlagi sklepa delodajalca, kot to določa četrti odstavek 71. člena ZIUZEOP. V sklepu bo delodajalec (predstojnik oziroma oseba, ki odloča o pravicah in obveznostih zaposlenega) določil višino dodatka, pri čemer bo moral upoštevati stopnjo izpostavljenosti tveganju oziroma prekomerne obremenjenosti ter obseg dodeljenih finančnih sredstev. V tej zvezi je Ministrstvo za javno upravo objavilo vzorec sklepa glede pravice do dodatka COVID-19, in sicer na naslednjem elektronskem naslovu:</w:t>
      </w:r>
    </w:p>
    <w:p w14:paraId="43EEDD27" w14:textId="77777777" w:rsidR="003754D8" w:rsidRPr="003754D8" w:rsidRDefault="003D12B5" w:rsidP="003754D8">
      <w:pPr>
        <w:spacing w:after="160" w:line="259" w:lineRule="auto"/>
        <w:jc w:val="both"/>
        <w:rPr>
          <w:rFonts w:eastAsiaTheme="minorHAnsi" w:cs="Arial"/>
          <w:szCs w:val="20"/>
        </w:rPr>
      </w:pPr>
      <w:hyperlink r:id="rId8" w:history="1">
        <w:r w:rsidR="003754D8" w:rsidRPr="003754D8">
          <w:rPr>
            <w:rFonts w:eastAsiaTheme="minorHAnsi" w:cs="Arial"/>
            <w:color w:val="0563C1" w:themeColor="hyperlink"/>
            <w:szCs w:val="20"/>
            <w:u w:val="single"/>
          </w:rPr>
          <w:t>https://www.gov.si/teme/placni-sistem/</w:t>
        </w:r>
      </w:hyperlink>
      <w:r w:rsidR="003754D8" w:rsidRPr="003754D8">
        <w:rPr>
          <w:rFonts w:eastAsiaTheme="minorHAnsi" w:cs="Arial"/>
          <w:szCs w:val="20"/>
        </w:rPr>
        <w:t xml:space="preserve"> (Vzorec sklepa o izplačilu dodatka za nevarnost in posebne obremenitve v času epidemije, 71.člen ZIUZEOP (24.4.2020)).</w:t>
      </w:r>
    </w:p>
    <w:p w14:paraId="3DA702BA"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Dodatek COVID-19 je uveden na novo z ZIUZEOP in ga je treba ločiti od dodatka za delo v rizičnih razmerah (epidemija), ki je materija Kolektivne pogodbe za javni sektor (KPJS) (11. točka 39. člena KPJS). ZIUZEOP v tretjem odstavku 71. člena zgolj določa, da lahko javni uslužbenci (razen javnih uslužbencev iz plačne skupine B – direktorji), upravičenci do dodatka za delo v rizičnih razmerah po KPJS iz naslova tega dodatka in iz naslova novega dodatka po 71. členu ZIUZEOP (dodatek COVID-19) prejmejo skupaj največ 100 odstotkov urne postavke osnovne plače (glede na dejstvo, da znaša dodatek za delo v rizičnih razmerah 65 odstotkov urne postavke osnovne plače lahko torej javni uslužbenec, ki je prejel dodatek po KPJS za vse ure dela, iz naslova dodatka COVID-19 prejme še največ 35 odstotkov urne postavke osnovne plače).</w:t>
      </w:r>
    </w:p>
    <w:p w14:paraId="4B206014"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Tako kot velja za dodatek COVID-19, za katerega je vlada določila obseg sredstev za financiranje dodatka za nevarnost in posebne obremenitve v času epidemije, razdelitev sredstev na neposredne uporabnike proračuna ter kriterije za razdelitev sredstev posrednim uporabnikom proračuna, tudi za dodatek za delo v rizičnih razmerah na podlagi 11. točke 39. člena KPJS </w:t>
      </w:r>
      <w:r w:rsidRPr="003754D8">
        <w:rPr>
          <w:rFonts w:eastAsiaTheme="minorHAnsi" w:cs="Arial"/>
          <w:szCs w:val="20"/>
        </w:rPr>
        <w:lastRenderedPageBreak/>
        <w:t xml:space="preserve">sredstva zagotavlja državni proračun (prvi stavek šestega odstavka 71. člena ZIUZEOP). Vendar pa glede dodatka za delo v rizičnih razmerah ni vnaprej določenega najvišjega obsega sredstev, ki se za izplačilo tega dodatka lahko porabijo. So pa pristojna ministrstva v zvezi  s tem oblikovala priporočila oziroma usmeritve, ki naj bi zagotovile čimbolj enako obravnavo javnih uslužbencev v podobnih pogojih. Proračunski uporabniki so glede izplačila tega dodatka dolžni upoštevati razlago Komisije za razlago KPJS (Uradni list RS, št. 48/20) ter navedene usmeritve ministrstev. </w:t>
      </w:r>
    </w:p>
    <w:p w14:paraId="3412B62F" w14:textId="77777777" w:rsidR="003754D8" w:rsidRPr="003754D8" w:rsidRDefault="003754D8" w:rsidP="003754D8">
      <w:pPr>
        <w:spacing w:after="160" w:line="259" w:lineRule="auto"/>
        <w:jc w:val="both"/>
        <w:rPr>
          <w:rFonts w:eastAsiaTheme="minorHAnsi" w:cs="Arial"/>
          <w:szCs w:val="20"/>
        </w:rPr>
      </w:pPr>
    </w:p>
    <w:p w14:paraId="4CE3F786"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Prijazen pozdrav,</w:t>
      </w:r>
    </w:p>
    <w:p w14:paraId="609BB056" w14:textId="77777777" w:rsidR="003754D8" w:rsidRPr="003754D8" w:rsidRDefault="003754D8" w:rsidP="003754D8">
      <w:pPr>
        <w:spacing w:after="160" w:line="259" w:lineRule="auto"/>
        <w:jc w:val="both"/>
        <w:rPr>
          <w:rFonts w:eastAsiaTheme="minorHAnsi" w:cs="Arial"/>
          <w:szCs w:val="20"/>
        </w:rPr>
      </w:pPr>
    </w:p>
    <w:p w14:paraId="4FC8B938"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                                                                                                                   Boštjan Koritnik</w:t>
      </w:r>
    </w:p>
    <w:p w14:paraId="62767B59"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                                                                                                                         minister</w:t>
      </w:r>
    </w:p>
    <w:p w14:paraId="7666F5A6"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Priloga:</w:t>
      </w:r>
    </w:p>
    <w:p w14:paraId="66EAC5DB" w14:textId="77777777" w:rsidR="003754D8" w:rsidRPr="003754D8" w:rsidRDefault="003754D8" w:rsidP="003754D8">
      <w:pPr>
        <w:numPr>
          <w:ilvl w:val="0"/>
          <w:numId w:val="7"/>
        </w:numPr>
        <w:spacing w:after="160" w:line="259" w:lineRule="auto"/>
        <w:contextualSpacing/>
        <w:jc w:val="both"/>
        <w:rPr>
          <w:rFonts w:eastAsiaTheme="minorHAnsi" w:cs="Arial"/>
          <w:szCs w:val="20"/>
        </w:rPr>
      </w:pPr>
      <w:r w:rsidRPr="003754D8">
        <w:rPr>
          <w:rFonts w:eastAsiaTheme="minorHAnsi" w:cs="Arial"/>
          <w:szCs w:val="20"/>
        </w:rPr>
        <w:t>Šifrant neposrednih in posrednih proračunskih uporabnikov</w:t>
      </w:r>
    </w:p>
    <w:p w14:paraId="57B559C5" w14:textId="77777777" w:rsidR="003754D8" w:rsidRPr="003754D8" w:rsidRDefault="003754D8" w:rsidP="003754D8">
      <w:pPr>
        <w:spacing w:after="160" w:line="259" w:lineRule="auto"/>
        <w:jc w:val="both"/>
        <w:rPr>
          <w:rFonts w:eastAsiaTheme="minorHAnsi" w:cs="Arial"/>
          <w:szCs w:val="20"/>
        </w:rPr>
      </w:pPr>
    </w:p>
    <w:p w14:paraId="6341B407"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Poslano:</w:t>
      </w:r>
    </w:p>
    <w:p w14:paraId="6AA46C19" w14:textId="77777777" w:rsidR="003754D8" w:rsidRPr="003754D8" w:rsidRDefault="003754D8" w:rsidP="003754D8">
      <w:pPr>
        <w:numPr>
          <w:ilvl w:val="0"/>
          <w:numId w:val="6"/>
        </w:numPr>
        <w:spacing w:after="160" w:line="259" w:lineRule="auto"/>
        <w:contextualSpacing/>
        <w:jc w:val="both"/>
        <w:rPr>
          <w:rFonts w:eastAsiaTheme="minorHAnsi" w:cs="Arial"/>
          <w:szCs w:val="20"/>
        </w:rPr>
      </w:pPr>
      <w:r w:rsidRPr="003754D8">
        <w:rPr>
          <w:rFonts w:eastAsiaTheme="minorHAnsi" w:cs="Arial"/>
          <w:szCs w:val="20"/>
        </w:rPr>
        <w:t>naslovnikom po e-pošti</w:t>
      </w:r>
    </w:p>
    <w:p w14:paraId="40D3E914" w14:textId="77777777" w:rsidR="003754D8" w:rsidRPr="003754D8" w:rsidRDefault="003754D8" w:rsidP="003754D8">
      <w:pPr>
        <w:spacing w:after="160" w:line="259" w:lineRule="auto"/>
        <w:jc w:val="both"/>
        <w:rPr>
          <w:rFonts w:eastAsiaTheme="minorHAnsi" w:cs="Arial"/>
          <w:szCs w:val="20"/>
        </w:rPr>
      </w:pPr>
    </w:p>
    <w:p w14:paraId="1CA1709F"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V vednost:</w:t>
      </w:r>
    </w:p>
    <w:p w14:paraId="786A3AC2" w14:textId="77777777" w:rsidR="003754D8" w:rsidRPr="003754D8" w:rsidRDefault="003754D8" w:rsidP="003754D8">
      <w:pPr>
        <w:numPr>
          <w:ilvl w:val="0"/>
          <w:numId w:val="6"/>
        </w:numPr>
        <w:spacing w:after="160" w:line="259" w:lineRule="auto"/>
        <w:contextualSpacing/>
        <w:jc w:val="both"/>
        <w:rPr>
          <w:rFonts w:eastAsiaTheme="minorHAnsi" w:cs="Arial"/>
          <w:szCs w:val="20"/>
        </w:rPr>
      </w:pPr>
      <w:r w:rsidRPr="003754D8">
        <w:rPr>
          <w:rFonts w:eastAsiaTheme="minorHAnsi" w:cs="Arial"/>
          <w:szCs w:val="20"/>
        </w:rPr>
        <w:t xml:space="preserve">Generalni sekretariat vlade; </w:t>
      </w:r>
      <w:hyperlink r:id="rId9" w:history="1">
        <w:r w:rsidRPr="003754D8">
          <w:rPr>
            <w:rFonts w:eastAsiaTheme="minorHAnsi" w:cs="Arial"/>
            <w:color w:val="0563C1" w:themeColor="hyperlink"/>
            <w:szCs w:val="20"/>
            <w:u w:val="single"/>
          </w:rPr>
          <w:t>gp.gs@gov.si</w:t>
        </w:r>
      </w:hyperlink>
    </w:p>
    <w:p w14:paraId="1E5D0AC2" w14:textId="77777777" w:rsidR="003754D8" w:rsidRPr="003754D8" w:rsidRDefault="003754D8" w:rsidP="003754D8">
      <w:pPr>
        <w:numPr>
          <w:ilvl w:val="0"/>
          <w:numId w:val="6"/>
        </w:numPr>
        <w:spacing w:after="160" w:line="259" w:lineRule="auto"/>
        <w:contextualSpacing/>
        <w:jc w:val="both"/>
        <w:rPr>
          <w:rFonts w:eastAsiaTheme="minorHAnsi" w:cs="Arial"/>
          <w:szCs w:val="20"/>
        </w:rPr>
      </w:pPr>
      <w:r w:rsidRPr="003754D8">
        <w:rPr>
          <w:rFonts w:eastAsiaTheme="minorHAnsi" w:cs="Arial"/>
          <w:szCs w:val="20"/>
        </w:rPr>
        <w:t xml:space="preserve">Kabinet predsednika vlade; </w:t>
      </w:r>
      <w:hyperlink r:id="rId10" w:history="1">
        <w:r w:rsidRPr="003754D8">
          <w:rPr>
            <w:rFonts w:eastAsiaTheme="minorHAnsi" w:cs="Arial"/>
            <w:color w:val="0563C1" w:themeColor="hyperlink"/>
            <w:szCs w:val="20"/>
            <w:u w:val="single"/>
          </w:rPr>
          <w:t>kpv@gov.si</w:t>
        </w:r>
      </w:hyperlink>
    </w:p>
    <w:p w14:paraId="727265B4" w14:textId="77777777" w:rsidR="003754D8" w:rsidRPr="003754D8" w:rsidRDefault="003754D8" w:rsidP="003754D8">
      <w:pPr>
        <w:spacing w:after="160" w:line="259" w:lineRule="auto"/>
        <w:ind w:left="720"/>
        <w:contextualSpacing/>
        <w:jc w:val="both"/>
        <w:rPr>
          <w:rFonts w:eastAsiaTheme="minorHAnsi" w:cs="Arial"/>
          <w:szCs w:val="20"/>
        </w:rPr>
      </w:pPr>
    </w:p>
    <w:p w14:paraId="29B49132"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 </w:t>
      </w:r>
    </w:p>
    <w:p w14:paraId="59D2FBD3" w14:textId="77777777" w:rsidR="0098661D" w:rsidRPr="008A32DA" w:rsidRDefault="0098661D" w:rsidP="0098661D">
      <w:pPr>
        <w:spacing w:line="260" w:lineRule="exact"/>
        <w:jc w:val="both"/>
        <w:rPr>
          <w:rFonts w:cs="Arial"/>
          <w:szCs w:val="20"/>
        </w:rPr>
      </w:pPr>
    </w:p>
    <w:p w14:paraId="5A8EE368" w14:textId="77777777" w:rsidR="0098661D" w:rsidRDefault="0098661D" w:rsidP="0098661D">
      <w:pPr>
        <w:spacing w:line="240" w:lineRule="atLeast"/>
        <w:jc w:val="both"/>
        <w:rPr>
          <w:rFonts w:cs="Arial"/>
          <w:color w:val="000000" w:themeColor="text1"/>
          <w:szCs w:val="20"/>
        </w:rPr>
      </w:pPr>
    </w:p>
    <w:p w14:paraId="36B70531" w14:textId="77777777" w:rsidR="0098661D" w:rsidRDefault="0098661D" w:rsidP="0098661D">
      <w:pPr>
        <w:spacing w:line="240" w:lineRule="atLeast"/>
        <w:jc w:val="both"/>
        <w:rPr>
          <w:rFonts w:cs="Arial"/>
          <w:color w:val="000000" w:themeColor="text1"/>
          <w:szCs w:val="20"/>
        </w:rPr>
      </w:pPr>
    </w:p>
    <w:p w14:paraId="264EFEAC" w14:textId="77777777" w:rsidR="0098661D" w:rsidRPr="00B01D7B" w:rsidRDefault="0098661D" w:rsidP="0098661D">
      <w:pPr>
        <w:spacing w:line="240" w:lineRule="atLeast"/>
        <w:jc w:val="both"/>
        <w:rPr>
          <w:rFonts w:cs="Arial"/>
          <w:szCs w:val="20"/>
        </w:rPr>
      </w:pPr>
    </w:p>
    <w:p w14:paraId="1698C770" w14:textId="77777777" w:rsidR="0098661D" w:rsidRPr="00CA200C" w:rsidRDefault="0098661D" w:rsidP="0098661D">
      <w:pPr>
        <w:spacing w:line="260" w:lineRule="exact"/>
      </w:pPr>
    </w:p>
    <w:p w14:paraId="6E6AF16D" w14:textId="77777777" w:rsidR="0098661D" w:rsidRDefault="0098661D" w:rsidP="0098661D"/>
    <w:bookmarkEnd w:id="0"/>
    <w:p w14:paraId="17BCC3EF" w14:textId="77777777" w:rsidR="00C12278" w:rsidRDefault="00C12278"/>
    <w:sectPr w:rsidR="00C12278" w:rsidSect="00A5646A">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C4B9D" w14:textId="77777777" w:rsidR="00E759A3" w:rsidRDefault="00E759A3" w:rsidP="0098661D">
      <w:pPr>
        <w:spacing w:line="240" w:lineRule="auto"/>
      </w:pPr>
      <w:r>
        <w:separator/>
      </w:r>
    </w:p>
  </w:endnote>
  <w:endnote w:type="continuationSeparator" w:id="0">
    <w:p w14:paraId="03766978" w14:textId="77777777" w:rsidR="00E759A3" w:rsidRDefault="00E759A3" w:rsidP="0098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442BA2B5" w14:textId="77777777" w:rsidR="0049629D" w:rsidRDefault="0098661D">
        <w:pPr>
          <w:pStyle w:val="Noga"/>
          <w:jc w:val="right"/>
        </w:pPr>
        <w:r>
          <w:fldChar w:fldCharType="begin"/>
        </w:r>
        <w:r>
          <w:instrText>PAGE   \* MERGEFORMAT</w:instrText>
        </w:r>
        <w:r>
          <w:fldChar w:fldCharType="separate"/>
        </w:r>
        <w:r w:rsidR="00DE0468">
          <w:rPr>
            <w:noProof/>
          </w:rPr>
          <w:t>11</w:t>
        </w:r>
        <w:r>
          <w:rPr>
            <w:noProof/>
          </w:rPr>
          <w:fldChar w:fldCharType="end"/>
        </w:r>
      </w:p>
    </w:sdtContent>
  </w:sdt>
  <w:p w14:paraId="590DC189" w14:textId="77777777" w:rsidR="0049629D" w:rsidRDefault="003D12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F34A" w14:textId="77777777" w:rsidR="00E759A3" w:rsidRDefault="00E759A3" w:rsidP="0098661D">
      <w:pPr>
        <w:spacing w:line="240" w:lineRule="auto"/>
      </w:pPr>
      <w:r>
        <w:separator/>
      </w:r>
    </w:p>
  </w:footnote>
  <w:footnote w:type="continuationSeparator" w:id="0">
    <w:p w14:paraId="71BF380E" w14:textId="77777777" w:rsidR="00E759A3" w:rsidRDefault="00E759A3" w:rsidP="009866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27F5" w14:textId="77777777" w:rsidR="0049629D" w:rsidRPr="00110CBD" w:rsidRDefault="003D12B5"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5A1C" w14:textId="77777777" w:rsidR="003D12B5" w:rsidRDefault="003D12B5" w:rsidP="003D12B5">
    <w:pPr>
      <w:pStyle w:val="Glava"/>
      <w:tabs>
        <w:tab w:val="clear" w:pos="4320"/>
        <w:tab w:val="clear" w:pos="8640"/>
        <w:tab w:val="left" w:pos="964"/>
      </w:tabs>
      <w:spacing w:before="240" w:line="240" w:lineRule="exact"/>
      <w:rPr>
        <w:rFonts w:cs="Arial"/>
        <w:sz w:val="16"/>
      </w:rPr>
    </w:pPr>
    <w:bookmarkStart w:id="1" w:name="_GoBack"/>
    <w:bookmarkEnd w:id="1"/>
    <w:r>
      <w:rPr>
        <w:noProof/>
        <w:lang w:eastAsia="sl-SI"/>
      </w:rPr>
      <w:drawing>
        <wp:anchor distT="0" distB="0" distL="114300" distR="114300" simplePos="0" relativeHeight="251659264" behindDoc="1" locked="0" layoutInCell="1" allowOverlap="1" wp14:anchorId="27B145B0" wp14:editId="56CB29BB">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p>
  <w:p w14:paraId="3466AAD5" w14:textId="77777777" w:rsidR="003D12B5" w:rsidRPr="008F3500" w:rsidRDefault="003D12B5" w:rsidP="003D12B5">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61B46BDE" w14:textId="77777777" w:rsidR="003D12B5" w:rsidRPr="008F3500" w:rsidRDefault="003D12B5" w:rsidP="003D12B5">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619B1038" w14:textId="77777777" w:rsidR="003D12B5" w:rsidRPr="008F3500" w:rsidRDefault="003D12B5" w:rsidP="003D12B5">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4CA15C1" w14:textId="77777777" w:rsidR="003D12B5" w:rsidRPr="008F3500" w:rsidRDefault="003D12B5" w:rsidP="003D12B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DA279E5" w14:textId="77777777" w:rsidR="0049629D" w:rsidRDefault="003D12B5" w:rsidP="00A5646A">
    <w:pPr>
      <w:pStyle w:val="Glava"/>
      <w:tabs>
        <w:tab w:val="clear" w:pos="4320"/>
        <w:tab w:val="clear" w:pos="8640"/>
        <w:tab w:val="left" w:pos="5112"/>
      </w:tabs>
    </w:pPr>
  </w:p>
  <w:p w14:paraId="1D2B2940" w14:textId="77777777" w:rsidR="0049629D" w:rsidRDefault="003D12B5" w:rsidP="00A5646A">
    <w:pPr>
      <w:pStyle w:val="Glava"/>
      <w:tabs>
        <w:tab w:val="clear" w:pos="4320"/>
        <w:tab w:val="clear" w:pos="8640"/>
        <w:tab w:val="left" w:pos="5112"/>
      </w:tabs>
    </w:pPr>
  </w:p>
  <w:p w14:paraId="1BDA34AC" w14:textId="77777777" w:rsidR="0049629D" w:rsidRDefault="003D12B5" w:rsidP="00A5646A">
    <w:pPr>
      <w:pStyle w:val="Glava"/>
      <w:tabs>
        <w:tab w:val="clear" w:pos="4320"/>
        <w:tab w:val="clear" w:pos="8640"/>
        <w:tab w:val="left" w:pos="5112"/>
      </w:tabs>
    </w:pPr>
  </w:p>
  <w:p w14:paraId="1D237BB6" w14:textId="77777777" w:rsidR="0049629D" w:rsidRDefault="003D12B5" w:rsidP="00A5646A">
    <w:pPr>
      <w:pStyle w:val="Glava"/>
      <w:tabs>
        <w:tab w:val="clear" w:pos="4320"/>
        <w:tab w:val="clear" w:pos="8640"/>
        <w:tab w:val="left" w:pos="5112"/>
      </w:tabs>
    </w:pPr>
  </w:p>
  <w:p w14:paraId="754DA4B2" w14:textId="7EF30E52" w:rsidR="0049629D" w:rsidRPr="00924C3B" w:rsidRDefault="003D12B5" w:rsidP="00A5646A">
    <w:pPr>
      <w:pStyle w:val="Glava"/>
      <w:tabs>
        <w:tab w:val="clear" w:pos="4320"/>
        <w:tab w:val="clear" w:pos="8640"/>
        <w:tab w:val="left" w:pos="5112"/>
      </w:tabs>
      <w:rPr>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2C2"/>
    <w:multiLevelType w:val="hybridMultilevel"/>
    <w:tmpl w:val="FC92135A"/>
    <w:lvl w:ilvl="0" w:tplc="AC3C20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E7183"/>
    <w:multiLevelType w:val="hybridMultilevel"/>
    <w:tmpl w:val="FE467800"/>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2602CF"/>
    <w:multiLevelType w:val="hybridMultilevel"/>
    <w:tmpl w:val="D5F239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70B10142"/>
    <w:multiLevelType w:val="hybridMultilevel"/>
    <w:tmpl w:val="FC864BF0"/>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1D"/>
    <w:rsid w:val="000348F6"/>
    <w:rsid w:val="00037751"/>
    <w:rsid w:val="00045A9E"/>
    <w:rsid w:val="00076698"/>
    <w:rsid w:val="00085ED9"/>
    <w:rsid w:val="00095FEC"/>
    <w:rsid w:val="000C318D"/>
    <w:rsid w:val="000D2541"/>
    <w:rsid w:val="000E7935"/>
    <w:rsid w:val="001E10D0"/>
    <w:rsid w:val="001E21F4"/>
    <w:rsid w:val="00316C82"/>
    <w:rsid w:val="00371658"/>
    <w:rsid w:val="003754D8"/>
    <w:rsid w:val="003B39FF"/>
    <w:rsid w:val="003D12B5"/>
    <w:rsid w:val="003E34EE"/>
    <w:rsid w:val="0040622A"/>
    <w:rsid w:val="00436ADC"/>
    <w:rsid w:val="004574E3"/>
    <w:rsid w:val="004F1E82"/>
    <w:rsid w:val="00534D84"/>
    <w:rsid w:val="00550A3E"/>
    <w:rsid w:val="00554D6F"/>
    <w:rsid w:val="00576545"/>
    <w:rsid w:val="005D01C9"/>
    <w:rsid w:val="00615164"/>
    <w:rsid w:val="00626070"/>
    <w:rsid w:val="00653B0D"/>
    <w:rsid w:val="006945F8"/>
    <w:rsid w:val="006C43A7"/>
    <w:rsid w:val="006E7204"/>
    <w:rsid w:val="00777474"/>
    <w:rsid w:val="007879D9"/>
    <w:rsid w:val="00795124"/>
    <w:rsid w:val="007B0697"/>
    <w:rsid w:val="007B4B75"/>
    <w:rsid w:val="007C4CB6"/>
    <w:rsid w:val="00821DEC"/>
    <w:rsid w:val="008247F3"/>
    <w:rsid w:val="00837A41"/>
    <w:rsid w:val="008827BE"/>
    <w:rsid w:val="008F50A8"/>
    <w:rsid w:val="00924C3B"/>
    <w:rsid w:val="00960DD4"/>
    <w:rsid w:val="00977C85"/>
    <w:rsid w:val="0098661D"/>
    <w:rsid w:val="00994B51"/>
    <w:rsid w:val="009A7ED6"/>
    <w:rsid w:val="009B1985"/>
    <w:rsid w:val="009C0960"/>
    <w:rsid w:val="00A03E2B"/>
    <w:rsid w:val="00A56DE6"/>
    <w:rsid w:val="00A66A49"/>
    <w:rsid w:val="00AE5FF5"/>
    <w:rsid w:val="00B4464D"/>
    <w:rsid w:val="00B45BAB"/>
    <w:rsid w:val="00C12278"/>
    <w:rsid w:val="00C15393"/>
    <w:rsid w:val="00C3081A"/>
    <w:rsid w:val="00C33985"/>
    <w:rsid w:val="00C950C0"/>
    <w:rsid w:val="00CB3B9E"/>
    <w:rsid w:val="00CB4907"/>
    <w:rsid w:val="00D22DB4"/>
    <w:rsid w:val="00D265E8"/>
    <w:rsid w:val="00D658CF"/>
    <w:rsid w:val="00D944D5"/>
    <w:rsid w:val="00DD1B69"/>
    <w:rsid w:val="00DE0468"/>
    <w:rsid w:val="00DE31B2"/>
    <w:rsid w:val="00DE7B68"/>
    <w:rsid w:val="00DF7722"/>
    <w:rsid w:val="00E2551D"/>
    <w:rsid w:val="00E60BB5"/>
    <w:rsid w:val="00E72495"/>
    <w:rsid w:val="00E759A3"/>
    <w:rsid w:val="00F12F54"/>
    <w:rsid w:val="00F30E5A"/>
    <w:rsid w:val="00F528B8"/>
    <w:rsid w:val="00F96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51F49"/>
  <w15:docId w15:val="{B4493193-4677-40DC-9AA4-7410163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661D"/>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8661D"/>
    <w:pPr>
      <w:tabs>
        <w:tab w:val="center" w:pos="4320"/>
        <w:tab w:val="right" w:pos="8640"/>
      </w:tabs>
    </w:pPr>
  </w:style>
  <w:style w:type="character" w:customStyle="1" w:styleId="GlavaZnak">
    <w:name w:val="Glava Znak"/>
    <w:basedOn w:val="Privzetapisavaodstavka"/>
    <w:link w:val="Glava"/>
    <w:rsid w:val="0098661D"/>
    <w:rPr>
      <w:rFonts w:ascii="Arial" w:eastAsia="Times New Roman" w:hAnsi="Arial" w:cs="Times New Roman"/>
      <w:sz w:val="20"/>
      <w:szCs w:val="24"/>
    </w:rPr>
  </w:style>
  <w:style w:type="paragraph" w:customStyle="1" w:styleId="datumtevilka">
    <w:name w:val="datum številka"/>
    <w:basedOn w:val="Navaden"/>
    <w:qFormat/>
    <w:rsid w:val="0098661D"/>
    <w:pPr>
      <w:tabs>
        <w:tab w:val="left" w:pos="1701"/>
      </w:tabs>
    </w:pPr>
    <w:rPr>
      <w:szCs w:val="20"/>
      <w:lang w:eastAsia="sl-SI"/>
    </w:rPr>
  </w:style>
  <w:style w:type="paragraph" w:customStyle="1" w:styleId="podpisi">
    <w:name w:val="podpisi"/>
    <w:basedOn w:val="Navaden"/>
    <w:qFormat/>
    <w:rsid w:val="0098661D"/>
    <w:pPr>
      <w:tabs>
        <w:tab w:val="left" w:pos="3402"/>
      </w:tabs>
    </w:pPr>
    <w:rPr>
      <w:lang w:val="it-IT"/>
    </w:rPr>
  </w:style>
  <w:style w:type="paragraph" w:styleId="Telobesedila2">
    <w:name w:val="Body Text 2"/>
    <w:basedOn w:val="Navaden"/>
    <w:link w:val="Telobesedila2Znak"/>
    <w:rsid w:val="0098661D"/>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98661D"/>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98661D"/>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98661D"/>
    <w:pPr>
      <w:tabs>
        <w:tab w:val="center" w:pos="4536"/>
        <w:tab w:val="right" w:pos="9072"/>
      </w:tabs>
      <w:spacing w:line="240" w:lineRule="auto"/>
    </w:pPr>
  </w:style>
  <w:style w:type="character" w:customStyle="1" w:styleId="NogaZnak">
    <w:name w:val="Noga Znak"/>
    <w:basedOn w:val="Privzetapisavaodstavka"/>
    <w:link w:val="Noga"/>
    <w:uiPriority w:val="99"/>
    <w:rsid w:val="0098661D"/>
    <w:rPr>
      <w:rFonts w:ascii="Arial" w:eastAsia="Times New Roman" w:hAnsi="Arial" w:cs="Times New Roman"/>
      <w:sz w:val="20"/>
      <w:szCs w:val="24"/>
    </w:rPr>
  </w:style>
  <w:style w:type="character" w:styleId="Hiperpovezava">
    <w:name w:val="Hyperlink"/>
    <w:basedOn w:val="Privzetapisavaodstavka"/>
    <w:uiPriority w:val="99"/>
    <w:unhideWhenUsed/>
    <w:rsid w:val="0098661D"/>
    <w:rPr>
      <w:color w:val="0000FF"/>
      <w:u w:val="single"/>
    </w:rPr>
  </w:style>
  <w:style w:type="paragraph" w:customStyle="1" w:styleId="odstavek">
    <w:name w:val="odstavek"/>
    <w:basedOn w:val="Navaden"/>
    <w:rsid w:val="0098661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98661D"/>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8661D"/>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98661D"/>
    <w:rPr>
      <w:vertAlign w:val="superscript"/>
    </w:rPr>
  </w:style>
  <w:style w:type="paragraph" w:styleId="Besedilooblaka">
    <w:name w:val="Balloon Text"/>
    <w:basedOn w:val="Navaden"/>
    <w:link w:val="BesedilooblakaZnak"/>
    <w:uiPriority w:val="99"/>
    <w:semiHidden/>
    <w:unhideWhenUsed/>
    <w:rsid w:val="00534D8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4D84"/>
    <w:rPr>
      <w:rFonts w:ascii="Segoe UI" w:eastAsia="Times New Roman" w:hAnsi="Segoe UI" w:cs="Segoe UI"/>
      <w:sz w:val="18"/>
      <w:szCs w:val="18"/>
    </w:rPr>
  </w:style>
  <w:style w:type="table" w:styleId="Tabelamrea">
    <w:name w:val="Table Grid"/>
    <w:basedOn w:val="Navadnatabela"/>
    <w:uiPriority w:val="39"/>
    <w:rsid w:val="000D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lacni-siste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pv@gov.si"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543B93-EE93-4405-953F-55CB788B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1739</Words>
  <Characters>9913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Knez</dc:creator>
  <cp:lastModifiedBy>Mojca Kustec</cp:lastModifiedBy>
  <cp:revision>6</cp:revision>
  <dcterms:created xsi:type="dcterms:W3CDTF">2020-09-11T10:47:00Z</dcterms:created>
  <dcterms:modified xsi:type="dcterms:W3CDTF">2020-09-18T08:09:00Z</dcterms:modified>
</cp:coreProperties>
</file>