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4897830"/>
    <w:bookmarkStart w:id="1" w:name="_GoBack"/>
    <w:bookmarkEnd w:id="1"/>
    <w:p w14:paraId="0C0C86F1" w14:textId="15D1A7BB" w:rsidR="0098661D" w:rsidRPr="00FC086C" w:rsidRDefault="0098661D" w:rsidP="0098661D">
      <w:pPr>
        <w:pStyle w:val="datumtevilka"/>
        <w:rPr>
          <w:color w:val="FF0000"/>
        </w:rPr>
      </w:pPr>
      <w:r>
        <w:rPr>
          <w:noProof/>
        </w:rPr>
        <mc:AlternateContent>
          <mc:Choice Requires="wps">
            <w:drawing>
              <wp:anchor distT="360045" distB="540385" distL="0" distR="0" simplePos="0" relativeHeight="251659264" behindDoc="0" locked="0" layoutInCell="1" allowOverlap="0" wp14:anchorId="7D1FF90F" wp14:editId="4EA2A48B">
                <wp:simplePos x="0" y="0"/>
                <wp:positionH relativeFrom="page">
                  <wp:posOffset>1156335</wp:posOffset>
                </wp:positionH>
                <wp:positionV relativeFrom="page">
                  <wp:posOffset>2908935</wp:posOffset>
                </wp:positionV>
                <wp:extent cx="4585335" cy="4479290"/>
                <wp:effectExtent l="0" t="0" r="5715" b="1651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47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B6FC5" w14:textId="77777777" w:rsidR="0098661D" w:rsidRPr="000F38EC" w:rsidRDefault="0098661D" w:rsidP="0098661D">
                            <w:pPr>
                              <w:jc w:val="both"/>
                              <w:rPr>
                                <w:b/>
                                <w:color w:val="000000"/>
                              </w:rPr>
                            </w:pPr>
                            <w:r w:rsidRPr="000F38EC">
                              <w:rPr>
                                <w:b/>
                                <w:color w:val="000000"/>
                              </w:rPr>
                              <w:t>URAD PREDSEDNIKA REPUBLIKE</w:t>
                            </w:r>
                          </w:p>
                          <w:p w14:paraId="4C9B90D6" w14:textId="77777777" w:rsidR="0098661D" w:rsidRPr="000F38EC" w:rsidRDefault="0098661D" w:rsidP="0098661D">
                            <w:pPr>
                              <w:jc w:val="both"/>
                              <w:rPr>
                                <w:b/>
                                <w:color w:val="000000"/>
                              </w:rPr>
                            </w:pPr>
                            <w:r w:rsidRPr="000F38EC">
                              <w:rPr>
                                <w:b/>
                                <w:color w:val="000000"/>
                              </w:rPr>
                              <w:t>DRŽAVNI ZBOR REPUBLIKE SLOVENIJE</w:t>
                            </w:r>
                          </w:p>
                          <w:p w14:paraId="07104B65" w14:textId="77777777" w:rsidR="0098661D" w:rsidRPr="000F38EC" w:rsidRDefault="0098661D" w:rsidP="0098661D">
                            <w:pPr>
                              <w:jc w:val="both"/>
                              <w:rPr>
                                <w:b/>
                                <w:color w:val="000000"/>
                              </w:rPr>
                            </w:pPr>
                            <w:r w:rsidRPr="000F38EC">
                              <w:rPr>
                                <w:b/>
                                <w:color w:val="000000"/>
                              </w:rPr>
                              <w:t>DRŽAVNI SVET REPUBLIKE SLOVENIJE</w:t>
                            </w:r>
                          </w:p>
                          <w:p w14:paraId="17291984" w14:textId="77777777" w:rsidR="0098661D" w:rsidRPr="000F38EC" w:rsidRDefault="0098661D" w:rsidP="0098661D">
                            <w:pPr>
                              <w:jc w:val="both"/>
                              <w:rPr>
                                <w:b/>
                                <w:color w:val="000000"/>
                              </w:rPr>
                            </w:pPr>
                            <w:r w:rsidRPr="000F38EC">
                              <w:rPr>
                                <w:b/>
                                <w:color w:val="000000"/>
                              </w:rPr>
                              <w:t>USTAVNO SODIŠČE REPUBLIKE SLOVENIJE</w:t>
                            </w:r>
                          </w:p>
                          <w:p w14:paraId="1EC49CCB" w14:textId="77777777" w:rsidR="0098661D" w:rsidRPr="000F38EC" w:rsidRDefault="0098661D" w:rsidP="0098661D">
                            <w:pPr>
                              <w:jc w:val="both"/>
                              <w:rPr>
                                <w:b/>
                                <w:color w:val="000000"/>
                              </w:rPr>
                            </w:pPr>
                            <w:r w:rsidRPr="000F38EC">
                              <w:rPr>
                                <w:b/>
                                <w:color w:val="000000"/>
                              </w:rPr>
                              <w:t>RAČUNSKO SODIŠČE REPUBLIKE SLOVENIJE</w:t>
                            </w:r>
                          </w:p>
                          <w:p w14:paraId="77BFE84A" w14:textId="77777777" w:rsidR="0098661D" w:rsidRPr="000F38EC" w:rsidRDefault="0098661D" w:rsidP="0098661D">
                            <w:pPr>
                              <w:jc w:val="both"/>
                              <w:rPr>
                                <w:b/>
                                <w:color w:val="000000"/>
                              </w:rPr>
                            </w:pPr>
                            <w:r w:rsidRPr="000F38EC">
                              <w:rPr>
                                <w:b/>
                                <w:color w:val="000000"/>
                              </w:rPr>
                              <w:t>VARUH ČLOVEKOVIH PRAVIC REPUBLIKE SLOVENIJE</w:t>
                            </w:r>
                          </w:p>
                          <w:p w14:paraId="183F6934" w14:textId="77777777" w:rsidR="0098661D" w:rsidRPr="000F38EC" w:rsidRDefault="0098661D" w:rsidP="0098661D">
                            <w:pPr>
                              <w:jc w:val="both"/>
                              <w:rPr>
                                <w:b/>
                                <w:color w:val="000000"/>
                              </w:rPr>
                            </w:pPr>
                            <w:r w:rsidRPr="000F38EC">
                              <w:rPr>
                                <w:b/>
                                <w:color w:val="000000"/>
                              </w:rPr>
                              <w:t>DRŽAVNA REVIZIJSKA KOMISIJA REPUBLIKE SLOVENIJE</w:t>
                            </w:r>
                          </w:p>
                          <w:p w14:paraId="53B3AF5B" w14:textId="77777777" w:rsidR="0098661D" w:rsidRPr="000F38EC" w:rsidRDefault="0098661D" w:rsidP="0098661D">
                            <w:pPr>
                              <w:jc w:val="both"/>
                              <w:rPr>
                                <w:b/>
                                <w:color w:val="000000"/>
                              </w:rPr>
                            </w:pPr>
                            <w:r w:rsidRPr="000F38EC">
                              <w:rPr>
                                <w:b/>
                                <w:color w:val="000000"/>
                              </w:rPr>
                              <w:t>INFORMACIJSKI POOBLAŠČENEC REPUBLIKE SLOVENIJE</w:t>
                            </w:r>
                          </w:p>
                          <w:p w14:paraId="2F5B0A21" w14:textId="77777777" w:rsidR="0098661D" w:rsidRPr="0058732A" w:rsidRDefault="0098661D" w:rsidP="0098661D">
                            <w:pPr>
                              <w:jc w:val="both"/>
                              <w:rPr>
                                <w:b/>
                                <w:lang w:val="pt-BR"/>
                              </w:rPr>
                            </w:pPr>
                            <w:r w:rsidRPr="0058732A">
                              <w:rPr>
                                <w:b/>
                                <w:lang w:val="pt-BR"/>
                              </w:rPr>
                              <w:t>KOMISIJA ZA PREPREČEVANJE KORUPCIJE REPUBLIKE SLOVENIJE</w:t>
                            </w:r>
                          </w:p>
                          <w:p w14:paraId="52A0662F" w14:textId="77777777" w:rsidR="0098661D" w:rsidRPr="0058732A" w:rsidRDefault="0098661D" w:rsidP="0098661D">
                            <w:pPr>
                              <w:jc w:val="both"/>
                              <w:rPr>
                                <w:b/>
                                <w:lang w:val="pt-BR"/>
                              </w:rPr>
                            </w:pPr>
                            <w:r w:rsidRPr="0058732A">
                              <w:rPr>
                                <w:b/>
                                <w:lang w:val="pt-BR"/>
                              </w:rPr>
                              <w:t>DRŽAVNA VOLILNA KOMISIJA</w:t>
                            </w:r>
                          </w:p>
                          <w:p w14:paraId="6E7CFCE0" w14:textId="77777777" w:rsidR="0098661D" w:rsidRPr="0058732A" w:rsidRDefault="0098661D" w:rsidP="0098661D">
                            <w:pPr>
                              <w:jc w:val="both"/>
                              <w:rPr>
                                <w:b/>
                                <w:lang w:val="pt-BR"/>
                              </w:rPr>
                            </w:pPr>
                            <w:r w:rsidRPr="0058732A">
                              <w:rPr>
                                <w:b/>
                                <w:lang w:val="pt-BR"/>
                              </w:rPr>
                              <w:t>FISKALNI SVET</w:t>
                            </w:r>
                          </w:p>
                          <w:p w14:paraId="4BFE1B7B" w14:textId="77777777" w:rsidR="0098661D" w:rsidRPr="0058732A" w:rsidRDefault="0098661D" w:rsidP="0098661D">
                            <w:pPr>
                              <w:jc w:val="both"/>
                              <w:rPr>
                                <w:b/>
                                <w:lang w:val="pt-BR"/>
                              </w:rPr>
                            </w:pPr>
                            <w:r w:rsidRPr="0058732A">
                              <w:rPr>
                                <w:b/>
                                <w:lang w:val="pt-BR"/>
                              </w:rPr>
                              <w:t>SODNI SVET</w:t>
                            </w:r>
                          </w:p>
                          <w:p w14:paraId="6E710C22" w14:textId="77777777" w:rsidR="0098661D" w:rsidRPr="0058732A" w:rsidRDefault="0098661D" w:rsidP="0098661D">
                            <w:pPr>
                              <w:jc w:val="both"/>
                              <w:rPr>
                                <w:b/>
                                <w:lang w:val="pt-BR"/>
                              </w:rPr>
                            </w:pPr>
                            <w:r w:rsidRPr="0058732A">
                              <w:rPr>
                                <w:b/>
                                <w:lang w:val="pt-BR"/>
                              </w:rPr>
                              <w:t>ZAGOVORNIK NAČELA ENAKOSTI</w:t>
                            </w:r>
                          </w:p>
                          <w:p w14:paraId="01EB5503" w14:textId="77777777" w:rsidR="0098661D" w:rsidRPr="0058732A" w:rsidRDefault="0098661D" w:rsidP="0098661D">
                            <w:pPr>
                              <w:jc w:val="both"/>
                              <w:rPr>
                                <w:b/>
                                <w:lang w:val="pt-BR"/>
                              </w:rPr>
                            </w:pPr>
                          </w:p>
                          <w:p w14:paraId="3C2913DB" w14:textId="77777777" w:rsidR="0098661D" w:rsidRPr="0058732A" w:rsidRDefault="0098661D" w:rsidP="0098661D">
                            <w:pPr>
                              <w:jc w:val="both"/>
                              <w:rPr>
                                <w:b/>
                                <w:lang w:val="pt-BR"/>
                              </w:rPr>
                            </w:pPr>
                            <w:r w:rsidRPr="0058732A">
                              <w:rPr>
                                <w:b/>
                                <w:lang w:val="pt-BR"/>
                              </w:rPr>
                              <w:t>VRHOVNO SODIŠČE REPUBLIKE SLOVENIJE</w:t>
                            </w:r>
                          </w:p>
                          <w:p w14:paraId="0EEB8225" w14:textId="77777777" w:rsidR="0098661D" w:rsidRPr="0058732A" w:rsidRDefault="0098661D" w:rsidP="0098661D">
                            <w:pPr>
                              <w:jc w:val="both"/>
                              <w:rPr>
                                <w:b/>
                                <w:lang w:val="pt-BR"/>
                              </w:rPr>
                            </w:pPr>
                            <w:r w:rsidRPr="0058732A">
                              <w:rPr>
                                <w:b/>
                                <w:lang w:val="pt-BR"/>
                              </w:rPr>
                              <w:t>VRHOVNO DRŽAVNO TOŽILSTVO</w:t>
                            </w:r>
                          </w:p>
                          <w:p w14:paraId="7BEC77CA" w14:textId="77777777" w:rsidR="0098661D" w:rsidRPr="0058732A" w:rsidRDefault="0098661D" w:rsidP="0098661D">
                            <w:pPr>
                              <w:jc w:val="both"/>
                              <w:rPr>
                                <w:b/>
                                <w:lang w:val="pt-BR"/>
                              </w:rPr>
                            </w:pPr>
                            <w:r w:rsidRPr="0058732A">
                              <w:rPr>
                                <w:b/>
                                <w:lang w:val="pt-BR"/>
                              </w:rPr>
                              <w:t>DRŽAVNO ODVETNIŠTVO</w:t>
                            </w:r>
                          </w:p>
                          <w:p w14:paraId="39BC82FC" w14:textId="77777777" w:rsidR="0098661D" w:rsidRPr="006B2F93" w:rsidRDefault="0098661D" w:rsidP="0098661D">
                            <w:pPr>
                              <w:rPr>
                                <w:b/>
                                <w:lang w:val="pt-BR"/>
                              </w:rPr>
                            </w:pPr>
                          </w:p>
                          <w:p w14:paraId="0FF9C81B" w14:textId="77777777" w:rsidR="0098661D" w:rsidRPr="006B2F93" w:rsidRDefault="0098661D" w:rsidP="0098661D">
                            <w:pPr>
                              <w:jc w:val="both"/>
                              <w:rPr>
                                <w:b/>
                                <w:lang w:val="pt-BR"/>
                              </w:rPr>
                            </w:pPr>
                            <w:r w:rsidRPr="006B2F93">
                              <w:rPr>
                                <w:b/>
                                <w:lang w:val="pt-BR"/>
                              </w:rPr>
                              <w:t>OBČINE</w:t>
                            </w:r>
                          </w:p>
                          <w:p w14:paraId="7C7E5D04" w14:textId="77777777" w:rsidR="0098661D" w:rsidRPr="006B2F93" w:rsidRDefault="0098661D" w:rsidP="0098661D">
                            <w:pPr>
                              <w:jc w:val="both"/>
                              <w:rPr>
                                <w:b/>
                                <w:lang w:val="pt-BR"/>
                              </w:rPr>
                            </w:pPr>
                            <w:r w:rsidRPr="006B2F93">
                              <w:rPr>
                                <w:b/>
                                <w:lang w:val="pt-BR"/>
                              </w:rPr>
                              <w:t>ZDRUŽENJE OBČIN SLOVENIJE</w:t>
                            </w:r>
                          </w:p>
                          <w:p w14:paraId="16C35EE9" w14:textId="77777777" w:rsidR="0098661D" w:rsidRPr="006B2F93" w:rsidRDefault="0098661D" w:rsidP="0098661D">
                            <w:pPr>
                              <w:jc w:val="both"/>
                              <w:rPr>
                                <w:b/>
                                <w:lang w:val="pt-BR"/>
                              </w:rPr>
                            </w:pPr>
                            <w:r w:rsidRPr="006B2F93">
                              <w:rPr>
                                <w:b/>
                                <w:lang w:val="pt-BR"/>
                              </w:rPr>
                              <w:t>SKUPNOST OBČIN SLOVENIJE</w:t>
                            </w:r>
                          </w:p>
                          <w:p w14:paraId="601CDF3E" w14:textId="77777777" w:rsidR="0098661D" w:rsidRPr="006B2F93" w:rsidRDefault="0098661D" w:rsidP="0098661D">
                            <w:pPr>
                              <w:jc w:val="both"/>
                              <w:rPr>
                                <w:b/>
                                <w:lang w:val="pt-BR"/>
                              </w:rPr>
                            </w:pPr>
                            <w:r w:rsidRPr="006B2F93">
                              <w:rPr>
                                <w:b/>
                                <w:lang w:val="pt-BR"/>
                              </w:rPr>
                              <w:t>ZDRUŽENJE MESTNIH OBČIN SLOVENIJE</w:t>
                            </w:r>
                          </w:p>
                          <w:p w14:paraId="4EAD3C1E" w14:textId="77777777" w:rsidR="0098661D" w:rsidRPr="006B2F93" w:rsidRDefault="0098661D" w:rsidP="0098661D">
                            <w:pPr>
                              <w:rPr>
                                <w:b/>
                                <w:lang w:val="pt-BR"/>
                              </w:rPr>
                            </w:pPr>
                          </w:p>
                          <w:p w14:paraId="66E828A2" w14:textId="77777777" w:rsidR="0098661D" w:rsidRPr="006B2F93" w:rsidRDefault="0098661D" w:rsidP="0098661D">
                            <w:pPr>
                              <w:rPr>
                                <w:b/>
                                <w:lang w:val="pt-BR"/>
                              </w:rPr>
                            </w:pPr>
                            <w:r w:rsidRPr="006B2F93">
                              <w:rPr>
                                <w:b/>
                                <w:lang w:val="pt-BR"/>
                              </w:rPr>
                              <w:t>MINISTRSTVA</w:t>
                            </w:r>
                          </w:p>
                          <w:p w14:paraId="1170F70F" w14:textId="77777777" w:rsidR="0098661D" w:rsidRPr="001276AE" w:rsidRDefault="0098661D" w:rsidP="0098661D">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F90F" id="_x0000_t202" coordsize="21600,21600" o:spt="202" path="m,l,21600r21600,l21600,xe">
                <v:stroke joinstyle="miter"/>
                <v:path gradientshapeok="t" o:connecttype="rect"/>
              </v:shapetype>
              <v:shape id="Polje z besedilom 1" o:spid="_x0000_s1026" type="#_x0000_t202" alt="Prostor za vnos naslovnika&#10;" style="position:absolute;margin-left:91.05pt;margin-top:229.05pt;width:361.05pt;height:352.7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" o:allowoverlap="f" filled="f" stroked="f">
                <v:textbox inset="0,0,0,0">
                  <w:txbxContent>
                    <w:p w14:paraId="191B6FC5" w14:textId="77777777" w:rsidR="0098661D" w:rsidRPr="000F38EC" w:rsidRDefault="0098661D" w:rsidP="0098661D">
                      <w:pPr>
                        <w:jc w:val="both"/>
                        <w:rPr>
                          <w:b/>
                          <w:color w:val="000000"/>
                        </w:rPr>
                      </w:pPr>
                      <w:r w:rsidRPr="000F38EC">
                        <w:rPr>
                          <w:b/>
                          <w:color w:val="000000"/>
                        </w:rPr>
                        <w:t>URAD PREDSEDNIKA REPUBLIKE</w:t>
                      </w:r>
                    </w:p>
                    <w:p w14:paraId="4C9B90D6" w14:textId="77777777" w:rsidR="0098661D" w:rsidRPr="000F38EC" w:rsidRDefault="0098661D" w:rsidP="0098661D">
                      <w:pPr>
                        <w:jc w:val="both"/>
                        <w:rPr>
                          <w:b/>
                          <w:color w:val="000000"/>
                        </w:rPr>
                      </w:pPr>
                      <w:r w:rsidRPr="000F38EC">
                        <w:rPr>
                          <w:b/>
                          <w:color w:val="000000"/>
                        </w:rPr>
                        <w:t>DRŽAVNI ZBOR REPUBLIKE SLOVENIJE</w:t>
                      </w:r>
                    </w:p>
                    <w:p w14:paraId="07104B65" w14:textId="77777777" w:rsidR="0098661D" w:rsidRPr="000F38EC" w:rsidRDefault="0098661D" w:rsidP="0098661D">
                      <w:pPr>
                        <w:jc w:val="both"/>
                        <w:rPr>
                          <w:b/>
                          <w:color w:val="000000"/>
                        </w:rPr>
                      </w:pPr>
                      <w:r w:rsidRPr="000F38EC">
                        <w:rPr>
                          <w:b/>
                          <w:color w:val="000000"/>
                        </w:rPr>
                        <w:t>DRŽAVNI SVET REPUBLIKE SLOVENIJE</w:t>
                      </w:r>
                    </w:p>
                    <w:p w14:paraId="17291984" w14:textId="77777777" w:rsidR="0098661D" w:rsidRPr="000F38EC" w:rsidRDefault="0098661D" w:rsidP="0098661D">
                      <w:pPr>
                        <w:jc w:val="both"/>
                        <w:rPr>
                          <w:b/>
                          <w:color w:val="000000"/>
                        </w:rPr>
                      </w:pPr>
                      <w:r w:rsidRPr="000F38EC">
                        <w:rPr>
                          <w:b/>
                          <w:color w:val="000000"/>
                        </w:rPr>
                        <w:t>USTAVNO SODIŠČE REPUBLIKE SLOVENIJE</w:t>
                      </w:r>
                    </w:p>
                    <w:p w14:paraId="1EC49CCB" w14:textId="77777777" w:rsidR="0098661D" w:rsidRPr="000F38EC" w:rsidRDefault="0098661D" w:rsidP="0098661D">
                      <w:pPr>
                        <w:jc w:val="both"/>
                        <w:rPr>
                          <w:b/>
                          <w:color w:val="000000"/>
                        </w:rPr>
                      </w:pPr>
                      <w:r w:rsidRPr="000F38EC">
                        <w:rPr>
                          <w:b/>
                          <w:color w:val="000000"/>
                        </w:rPr>
                        <w:t>RAČUNSKO SODIŠČE REPUBLIKE SLOVENIJE</w:t>
                      </w:r>
                    </w:p>
                    <w:p w14:paraId="77BFE84A" w14:textId="77777777" w:rsidR="0098661D" w:rsidRPr="000F38EC" w:rsidRDefault="0098661D" w:rsidP="0098661D">
                      <w:pPr>
                        <w:jc w:val="both"/>
                        <w:rPr>
                          <w:b/>
                          <w:color w:val="000000"/>
                        </w:rPr>
                      </w:pPr>
                      <w:r w:rsidRPr="000F38EC">
                        <w:rPr>
                          <w:b/>
                          <w:color w:val="000000"/>
                        </w:rPr>
                        <w:t>VARUH ČLOVEKOVIH PRAVIC REPUBLIKE SLOVENIJE</w:t>
                      </w:r>
                    </w:p>
                    <w:p w14:paraId="183F6934" w14:textId="77777777" w:rsidR="0098661D" w:rsidRPr="000F38EC" w:rsidRDefault="0098661D" w:rsidP="0098661D">
                      <w:pPr>
                        <w:jc w:val="both"/>
                        <w:rPr>
                          <w:b/>
                          <w:color w:val="000000"/>
                        </w:rPr>
                      </w:pPr>
                      <w:r w:rsidRPr="000F38EC">
                        <w:rPr>
                          <w:b/>
                          <w:color w:val="000000"/>
                        </w:rPr>
                        <w:t>DRŽAVNA REVIZIJSKA KOMISIJA REPUBLIKE SLOVENIJE</w:t>
                      </w:r>
                    </w:p>
                    <w:p w14:paraId="53B3AF5B" w14:textId="77777777" w:rsidR="0098661D" w:rsidRPr="000F38EC" w:rsidRDefault="0098661D" w:rsidP="0098661D">
                      <w:pPr>
                        <w:jc w:val="both"/>
                        <w:rPr>
                          <w:b/>
                          <w:color w:val="000000"/>
                        </w:rPr>
                      </w:pPr>
                      <w:r w:rsidRPr="000F38EC">
                        <w:rPr>
                          <w:b/>
                          <w:color w:val="000000"/>
                        </w:rPr>
                        <w:t>INFORMACIJSKI POOBLAŠČENEC REPUBLIKE SLOVENIJE</w:t>
                      </w:r>
                    </w:p>
                    <w:p w14:paraId="2F5B0A21" w14:textId="77777777" w:rsidR="0098661D" w:rsidRPr="0058732A" w:rsidRDefault="0098661D" w:rsidP="0098661D">
                      <w:pPr>
                        <w:jc w:val="both"/>
                        <w:rPr>
                          <w:b/>
                          <w:lang w:val="pt-BR"/>
                        </w:rPr>
                      </w:pPr>
                      <w:r w:rsidRPr="0058732A">
                        <w:rPr>
                          <w:b/>
                          <w:lang w:val="pt-BR"/>
                        </w:rPr>
                        <w:t>KOMISIJA ZA PREPREČEVANJE KORUPCIJE REPUBLIKE SLOVENIJE</w:t>
                      </w:r>
                    </w:p>
                    <w:p w14:paraId="52A0662F" w14:textId="77777777" w:rsidR="0098661D" w:rsidRPr="0058732A" w:rsidRDefault="0098661D" w:rsidP="0098661D">
                      <w:pPr>
                        <w:jc w:val="both"/>
                        <w:rPr>
                          <w:b/>
                          <w:lang w:val="pt-BR"/>
                        </w:rPr>
                      </w:pPr>
                      <w:r w:rsidRPr="0058732A">
                        <w:rPr>
                          <w:b/>
                          <w:lang w:val="pt-BR"/>
                        </w:rPr>
                        <w:t>DRŽAVNA VOLILNA KOMISIJA</w:t>
                      </w:r>
                    </w:p>
                    <w:p w14:paraId="6E7CFCE0" w14:textId="77777777" w:rsidR="0098661D" w:rsidRPr="0058732A" w:rsidRDefault="0098661D" w:rsidP="0098661D">
                      <w:pPr>
                        <w:jc w:val="both"/>
                        <w:rPr>
                          <w:b/>
                          <w:lang w:val="pt-BR"/>
                        </w:rPr>
                      </w:pPr>
                      <w:r w:rsidRPr="0058732A">
                        <w:rPr>
                          <w:b/>
                          <w:lang w:val="pt-BR"/>
                        </w:rPr>
                        <w:t>FISKALNI SVET</w:t>
                      </w:r>
                    </w:p>
                    <w:p w14:paraId="4BFE1B7B" w14:textId="77777777" w:rsidR="0098661D" w:rsidRPr="0058732A" w:rsidRDefault="0098661D" w:rsidP="0098661D">
                      <w:pPr>
                        <w:jc w:val="both"/>
                        <w:rPr>
                          <w:b/>
                          <w:lang w:val="pt-BR"/>
                        </w:rPr>
                      </w:pPr>
                      <w:r w:rsidRPr="0058732A">
                        <w:rPr>
                          <w:b/>
                          <w:lang w:val="pt-BR"/>
                        </w:rPr>
                        <w:t>SODNI SVET</w:t>
                      </w:r>
                    </w:p>
                    <w:p w14:paraId="6E710C22" w14:textId="77777777" w:rsidR="0098661D" w:rsidRPr="0058732A" w:rsidRDefault="0098661D" w:rsidP="0098661D">
                      <w:pPr>
                        <w:jc w:val="both"/>
                        <w:rPr>
                          <w:b/>
                          <w:lang w:val="pt-BR"/>
                        </w:rPr>
                      </w:pPr>
                      <w:r w:rsidRPr="0058732A">
                        <w:rPr>
                          <w:b/>
                          <w:lang w:val="pt-BR"/>
                        </w:rPr>
                        <w:t>ZAGOVORNIK NAČELA ENAKOSTI</w:t>
                      </w:r>
                    </w:p>
                    <w:p w14:paraId="01EB5503" w14:textId="77777777" w:rsidR="0098661D" w:rsidRPr="0058732A" w:rsidRDefault="0098661D" w:rsidP="0098661D">
                      <w:pPr>
                        <w:jc w:val="both"/>
                        <w:rPr>
                          <w:b/>
                          <w:lang w:val="pt-BR"/>
                        </w:rPr>
                      </w:pPr>
                    </w:p>
                    <w:p w14:paraId="3C2913DB" w14:textId="77777777" w:rsidR="0098661D" w:rsidRPr="0058732A" w:rsidRDefault="0098661D" w:rsidP="0098661D">
                      <w:pPr>
                        <w:jc w:val="both"/>
                        <w:rPr>
                          <w:b/>
                          <w:lang w:val="pt-BR"/>
                        </w:rPr>
                      </w:pPr>
                      <w:r w:rsidRPr="0058732A">
                        <w:rPr>
                          <w:b/>
                          <w:lang w:val="pt-BR"/>
                        </w:rPr>
                        <w:t>VRHOVNO SODIŠČE REPUBLIKE SLOVENIJE</w:t>
                      </w:r>
                    </w:p>
                    <w:p w14:paraId="0EEB8225" w14:textId="77777777" w:rsidR="0098661D" w:rsidRPr="0058732A" w:rsidRDefault="0098661D" w:rsidP="0098661D">
                      <w:pPr>
                        <w:jc w:val="both"/>
                        <w:rPr>
                          <w:b/>
                          <w:lang w:val="pt-BR"/>
                        </w:rPr>
                      </w:pPr>
                      <w:r w:rsidRPr="0058732A">
                        <w:rPr>
                          <w:b/>
                          <w:lang w:val="pt-BR"/>
                        </w:rPr>
                        <w:t>VRHOVNO DRŽAVNO TOŽILSTVO</w:t>
                      </w:r>
                    </w:p>
                    <w:p w14:paraId="7BEC77CA" w14:textId="77777777" w:rsidR="0098661D" w:rsidRPr="0058732A" w:rsidRDefault="0098661D" w:rsidP="0098661D">
                      <w:pPr>
                        <w:jc w:val="both"/>
                        <w:rPr>
                          <w:b/>
                          <w:lang w:val="pt-BR"/>
                        </w:rPr>
                      </w:pPr>
                      <w:r w:rsidRPr="0058732A">
                        <w:rPr>
                          <w:b/>
                          <w:lang w:val="pt-BR"/>
                        </w:rPr>
                        <w:t>DRŽAVNO ODVETNIŠTVO</w:t>
                      </w:r>
                    </w:p>
                    <w:p w14:paraId="39BC82FC" w14:textId="77777777" w:rsidR="0098661D" w:rsidRPr="006B2F93" w:rsidRDefault="0098661D" w:rsidP="0098661D">
                      <w:pPr>
                        <w:rPr>
                          <w:b/>
                          <w:lang w:val="pt-BR"/>
                        </w:rPr>
                      </w:pPr>
                    </w:p>
                    <w:p w14:paraId="0FF9C81B" w14:textId="77777777" w:rsidR="0098661D" w:rsidRPr="006B2F93" w:rsidRDefault="0098661D" w:rsidP="0098661D">
                      <w:pPr>
                        <w:jc w:val="both"/>
                        <w:rPr>
                          <w:b/>
                          <w:lang w:val="pt-BR"/>
                        </w:rPr>
                      </w:pPr>
                      <w:r w:rsidRPr="006B2F93">
                        <w:rPr>
                          <w:b/>
                          <w:lang w:val="pt-BR"/>
                        </w:rPr>
                        <w:t>OBČINE</w:t>
                      </w:r>
                    </w:p>
                    <w:p w14:paraId="7C7E5D04" w14:textId="77777777" w:rsidR="0098661D" w:rsidRPr="006B2F93" w:rsidRDefault="0098661D" w:rsidP="0098661D">
                      <w:pPr>
                        <w:jc w:val="both"/>
                        <w:rPr>
                          <w:b/>
                          <w:lang w:val="pt-BR"/>
                        </w:rPr>
                      </w:pPr>
                      <w:r w:rsidRPr="006B2F93">
                        <w:rPr>
                          <w:b/>
                          <w:lang w:val="pt-BR"/>
                        </w:rPr>
                        <w:t>ZDRUŽENJE OBČIN SLOVENIJE</w:t>
                      </w:r>
                    </w:p>
                    <w:p w14:paraId="16C35EE9" w14:textId="77777777" w:rsidR="0098661D" w:rsidRPr="006B2F93" w:rsidRDefault="0098661D" w:rsidP="0098661D">
                      <w:pPr>
                        <w:jc w:val="both"/>
                        <w:rPr>
                          <w:b/>
                          <w:lang w:val="pt-BR"/>
                        </w:rPr>
                      </w:pPr>
                      <w:r w:rsidRPr="006B2F93">
                        <w:rPr>
                          <w:b/>
                          <w:lang w:val="pt-BR"/>
                        </w:rPr>
                        <w:t>SKUPNOST OBČIN SLOVENIJE</w:t>
                      </w:r>
                    </w:p>
                    <w:p w14:paraId="601CDF3E" w14:textId="77777777" w:rsidR="0098661D" w:rsidRPr="006B2F93" w:rsidRDefault="0098661D" w:rsidP="0098661D">
                      <w:pPr>
                        <w:jc w:val="both"/>
                        <w:rPr>
                          <w:b/>
                          <w:lang w:val="pt-BR"/>
                        </w:rPr>
                      </w:pPr>
                      <w:r w:rsidRPr="006B2F93">
                        <w:rPr>
                          <w:b/>
                          <w:lang w:val="pt-BR"/>
                        </w:rPr>
                        <w:t>ZDRUŽENJE MESTNIH OBČIN SLOVENIJE</w:t>
                      </w:r>
                    </w:p>
                    <w:p w14:paraId="4EAD3C1E" w14:textId="77777777" w:rsidR="0098661D" w:rsidRPr="006B2F93" w:rsidRDefault="0098661D" w:rsidP="0098661D">
                      <w:pPr>
                        <w:rPr>
                          <w:b/>
                          <w:lang w:val="pt-BR"/>
                        </w:rPr>
                      </w:pPr>
                    </w:p>
                    <w:p w14:paraId="66E828A2" w14:textId="77777777" w:rsidR="0098661D" w:rsidRPr="006B2F93" w:rsidRDefault="0098661D" w:rsidP="0098661D">
                      <w:pPr>
                        <w:rPr>
                          <w:b/>
                          <w:lang w:val="pt-BR"/>
                        </w:rPr>
                      </w:pPr>
                      <w:r w:rsidRPr="006B2F93">
                        <w:rPr>
                          <w:b/>
                          <w:lang w:val="pt-BR"/>
                        </w:rPr>
                        <w:t>MINISTRSTVA</w:t>
                      </w:r>
                    </w:p>
                    <w:p w14:paraId="1170F70F" w14:textId="77777777" w:rsidR="0098661D" w:rsidRPr="001276AE" w:rsidRDefault="0098661D" w:rsidP="0098661D">
                      <w:pPr>
                        <w:rPr>
                          <w:szCs w:val="20"/>
                        </w:rPr>
                      </w:pPr>
                    </w:p>
                  </w:txbxContent>
                </v:textbox>
                <w10:wrap type="topAndBottom" anchorx="page" anchory="page"/>
              </v:shape>
            </w:pict>
          </mc:Fallback>
        </mc:AlternateContent>
      </w:r>
      <w:r w:rsidRPr="00CA200C">
        <w:t xml:space="preserve">Številka: </w:t>
      </w:r>
      <w:r>
        <w:t>0100-</w:t>
      </w:r>
      <w:r w:rsidR="006E7204">
        <w:t>227/2020</w:t>
      </w:r>
      <w:r w:rsidR="008827BE">
        <w:t>/6</w:t>
      </w:r>
    </w:p>
    <w:p w14:paraId="57A17B47" w14:textId="0ED5357B" w:rsidR="0098661D" w:rsidRPr="00CA200C" w:rsidRDefault="0098661D" w:rsidP="0098661D">
      <w:pPr>
        <w:pStyle w:val="datumtevilka"/>
      </w:pPr>
      <w:r w:rsidRPr="00CA200C">
        <w:t xml:space="preserve">Datum: </w:t>
      </w:r>
      <w:r w:rsidR="006E7204">
        <w:t>24</w:t>
      </w:r>
      <w:r w:rsidR="004574E3">
        <w:t>.</w:t>
      </w:r>
      <w:r w:rsidR="006E7204">
        <w:t>4</w:t>
      </w:r>
      <w:r w:rsidR="004574E3">
        <w:t>.2020</w:t>
      </w:r>
      <w:r w:rsidRPr="00CA200C">
        <w:tab/>
      </w:r>
    </w:p>
    <w:p w14:paraId="690347AE" w14:textId="77777777" w:rsidR="0098661D" w:rsidRPr="00CA200C" w:rsidRDefault="0098661D" w:rsidP="0098661D"/>
    <w:p w14:paraId="3DE1C5D6" w14:textId="77777777" w:rsidR="0098661D" w:rsidRPr="00CA200C" w:rsidRDefault="0098661D" w:rsidP="0098661D"/>
    <w:p w14:paraId="10F0A12B" w14:textId="77777777" w:rsidR="0098661D" w:rsidRPr="00CA200C" w:rsidRDefault="0098661D" w:rsidP="0098661D">
      <w:pPr>
        <w:autoSpaceDE w:val="0"/>
        <w:autoSpaceDN w:val="0"/>
        <w:adjustRightInd w:val="0"/>
        <w:spacing w:line="260" w:lineRule="exact"/>
        <w:jc w:val="both"/>
        <w:rPr>
          <w:rFonts w:cs="Arial"/>
          <w:szCs w:val="20"/>
        </w:rPr>
      </w:pPr>
    </w:p>
    <w:p w14:paraId="51DBBB41" w14:textId="77777777" w:rsidR="003754D8" w:rsidRPr="003754D8" w:rsidRDefault="003754D8" w:rsidP="003754D8">
      <w:pPr>
        <w:spacing w:after="160" w:line="259" w:lineRule="auto"/>
        <w:rPr>
          <w:rFonts w:eastAsiaTheme="minorHAnsi" w:cs="Arial"/>
          <w:szCs w:val="20"/>
        </w:rPr>
      </w:pPr>
      <w:r w:rsidRPr="003754D8">
        <w:rPr>
          <w:rFonts w:eastAsiaTheme="minorHAnsi" w:cs="Arial"/>
          <w:szCs w:val="20"/>
        </w:rPr>
        <w:t xml:space="preserve">ZADEVA: </w:t>
      </w:r>
      <w:r w:rsidRPr="003754D8">
        <w:rPr>
          <w:rFonts w:eastAsiaTheme="minorHAnsi" w:cs="Arial"/>
          <w:b/>
          <w:bCs/>
          <w:szCs w:val="20"/>
        </w:rPr>
        <w:t>Financiranje dodatka na podlagi 71. člena ZIUZEOP – pojasnilo</w:t>
      </w:r>
    </w:p>
    <w:p w14:paraId="75AB840D" w14:textId="77777777" w:rsidR="003754D8" w:rsidRPr="003754D8" w:rsidRDefault="003754D8" w:rsidP="003754D8">
      <w:pPr>
        <w:spacing w:after="160" w:line="259" w:lineRule="auto"/>
        <w:rPr>
          <w:rFonts w:eastAsiaTheme="minorHAnsi" w:cs="Arial"/>
          <w:szCs w:val="20"/>
        </w:rPr>
      </w:pPr>
    </w:p>
    <w:p w14:paraId="4FF5E5F3" w14:textId="77777777" w:rsidR="003754D8" w:rsidRPr="003754D8" w:rsidRDefault="003754D8" w:rsidP="003754D8">
      <w:pPr>
        <w:spacing w:after="160" w:line="259" w:lineRule="auto"/>
        <w:rPr>
          <w:rFonts w:eastAsiaTheme="minorHAnsi" w:cs="Arial"/>
          <w:szCs w:val="20"/>
        </w:rPr>
      </w:pPr>
      <w:r w:rsidRPr="003754D8">
        <w:rPr>
          <w:rFonts w:eastAsiaTheme="minorHAnsi" w:cs="Arial"/>
          <w:szCs w:val="20"/>
        </w:rPr>
        <w:t>Spoštovani,</w:t>
      </w:r>
    </w:p>
    <w:p w14:paraId="2783859A" w14:textId="77777777" w:rsidR="003754D8" w:rsidRPr="003754D8" w:rsidRDefault="003754D8" w:rsidP="003754D8">
      <w:pPr>
        <w:spacing w:after="160" w:line="259" w:lineRule="auto"/>
        <w:jc w:val="both"/>
        <w:rPr>
          <w:rFonts w:eastAsiaTheme="minorHAnsi" w:cs="Arial"/>
          <w:szCs w:val="20"/>
        </w:rPr>
      </w:pPr>
    </w:p>
    <w:p w14:paraId="7BA9351E"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lastRenderedPageBreak/>
        <w:t>Vlada Republike Slovenije je na seji, dne 22. 4. 2020, upoštevaje šesti odstavek 71.člena Zakona o interventnih ukrepih za zajezitev epidemije COVID-19 in omilitev njenih posledic za državljane in gospodarstvo (ZIUZEOP – Uradni list RS, št. 49/20), določila obseg sredstev za financiranje dodatka za nevarnost in posebne obremenitve v času epidemije (v nadaljevanju: dodatek COVID-19), razdelitev sredstev na neposredne uporabnike proračuna ter kriterije za razdelitev sredstev posrednim uporabnikom proračuna (sklep vlade, številka: 10007-46/2020/5 z dne 22. 4. 2020).</w:t>
      </w:r>
    </w:p>
    <w:p w14:paraId="2567A760"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Gre za dodatek v višini do največ 100 odstotkov urne postavke osnovne plače zaposlenega, ki je zaradi obvladovanja epidemije COVID-19 nadpovprečno izpostavljen tveganju za svoje zdravje oziroma prekomerno obremenjen pri svojem delu. Pravico do dodatka COVID-19 torej imajo izključno zaposleni, ki:</w:t>
      </w:r>
    </w:p>
    <w:p w14:paraId="148CE1DF" w14:textId="77777777" w:rsidR="003754D8" w:rsidRPr="003754D8" w:rsidRDefault="003754D8" w:rsidP="003754D8">
      <w:pPr>
        <w:numPr>
          <w:ilvl w:val="0"/>
          <w:numId w:val="5"/>
        </w:numPr>
        <w:spacing w:after="160" w:line="259" w:lineRule="auto"/>
        <w:contextualSpacing/>
        <w:jc w:val="both"/>
        <w:rPr>
          <w:rFonts w:eastAsiaTheme="minorHAnsi" w:cs="Arial"/>
          <w:szCs w:val="20"/>
        </w:rPr>
      </w:pPr>
      <w:r w:rsidRPr="003754D8">
        <w:rPr>
          <w:rFonts w:eastAsiaTheme="minorHAnsi" w:cs="Arial"/>
          <w:szCs w:val="20"/>
        </w:rPr>
        <w:t xml:space="preserve">so nadpovprečno izpostavljeni tveganju za svoje zdravje </w:t>
      </w:r>
      <w:r w:rsidRPr="003754D8">
        <w:rPr>
          <w:rFonts w:eastAsiaTheme="minorHAnsi" w:cs="Arial"/>
          <w:szCs w:val="20"/>
          <w:u w:val="single"/>
        </w:rPr>
        <w:t>zaradi obvladovanja epidemije</w:t>
      </w:r>
      <w:r w:rsidRPr="003754D8">
        <w:rPr>
          <w:rFonts w:eastAsiaTheme="minorHAnsi" w:cs="Arial"/>
          <w:szCs w:val="20"/>
        </w:rPr>
        <w:t>;</w:t>
      </w:r>
    </w:p>
    <w:p w14:paraId="75798AB3" w14:textId="77777777" w:rsidR="003754D8" w:rsidRDefault="003754D8" w:rsidP="003754D8">
      <w:pPr>
        <w:numPr>
          <w:ilvl w:val="0"/>
          <w:numId w:val="5"/>
        </w:numPr>
        <w:spacing w:after="160" w:line="259" w:lineRule="auto"/>
        <w:contextualSpacing/>
        <w:jc w:val="both"/>
        <w:rPr>
          <w:rFonts w:eastAsiaTheme="minorHAnsi" w:cs="Arial"/>
          <w:szCs w:val="20"/>
        </w:rPr>
      </w:pPr>
      <w:r w:rsidRPr="003754D8">
        <w:rPr>
          <w:rFonts w:eastAsiaTheme="minorHAnsi" w:cs="Arial"/>
          <w:szCs w:val="20"/>
        </w:rPr>
        <w:t xml:space="preserve">so prekomerno obremenjeni </w:t>
      </w:r>
      <w:r w:rsidRPr="003754D8">
        <w:rPr>
          <w:rFonts w:eastAsiaTheme="minorHAnsi" w:cs="Arial"/>
          <w:szCs w:val="20"/>
          <w:u w:val="single"/>
        </w:rPr>
        <w:t>zaradi obvladovanja epidemije.</w:t>
      </w:r>
      <w:r w:rsidRPr="003754D8">
        <w:rPr>
          <w:rFonts w:eastAsiaTheme="minorHAnsi" w:cs="Arial"/>
          <w:szCs w:val="20"/>
        </w:rPr>
        <w:t xml:space="preserve"> </w:t>
      </w:r>
    </w:p>
    <w:p w14:paraId="7BC1F33D" w14:textId="29351BD5" w:rsidR="003754D8" w:rsidRPr="003754D8" w:rsidRDefault="003754D8" w:rsidP="003754D8">
      <w:pPr>
        <w:spacing w:after="160" w:line="259" w:lineRule="auto"/>
        <w:contextualSpacing/>
        <w:jc w:val="both"/>
        <w:rPr>
          <w:rFonts w:eastAsiaTheme="minorHAnsi" w:cs="Arial"/>
          <w:szCs w:val="20"/>
        </w:rPr>
      </w:pPr>
      <w:r w:rsidRPr="003754D8">
        <w:rPr>
          <w:rFonts w:eastAsiaTheme="minorHAnsi" w:cs="Arial"/>
          <w:szCs w:val="20"/>
        </w:rPr>
        <w:t xml:space="preserve"> </w:t>
      </w:r>
    </w:p>
    <w:p w14:paraId="5A9D5316"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Kot izhaja iz navedenega, do tega dodatka niso upravičeni zaposleni, ki so npr. nadpovprečno  obremenjeni zaradi običajnih nalog, ki sodijo v delovno področje proračunskega uporabnika, zaradi česar bi lahko bili upravičeni do izplačila dela plače za delovno uspešnost iz naslova povečanega obsega dela v skladu z 22.d oziroma 22.e členom Zakona o sistemu plač v javnem sektorju (ZSPJS). Da bi zaposleni lahko prejeli dodatek COVID-19 iz naslova prekomerne obremenitve, mora biti prekomerna obremenitev posledica opravljanja dela in nalog, povezanih z </w:t>
      </w:r>
      <w:r w:rsidRPr="003754D8">
        <w:rPr>
          <w:rFonts w:eastAsiaTheme="minorHAnsi" w:cs="Arial"/>
          <w:szCs w:val="20"/>
          <w:u w:val="single"/>
        </w:rPr>
        <w:t>obvladovanjem epidemije</w:t>
      </w:r>
      <w:r w:rsidRPr="003754D8">
        <w:rPr>
          <w:rFonts w:eastAsiaTheme="minorHAnsi" w:cs="Arial"/>
          <w:szCs w:val="20"/>
        </w:rPr>
        <w:t xml:space="preserve"> (npr. priprava predloga interventne zakonodaje za obvladovanje epidemije COVID-19 in vse s tem povezane naloge, omogočanje dela preko oddaljenega dostopa velikemu številu uporabnikov z obiski na terenu pri uporabnikih, v krajšem času kot sicer). Prav tako je razumljivo, da do dodatka COVID-19 iz naslova nadpovprečne izpostavljenosti za svoje zdravje ne morejo biti upravičeni zaposleni, ki delajo na domu.   </w:t>
      </w:r>
    </w:p>
    <w:p w14:paraId="60894A6F"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Z namenom zagotovitve enotnega razumevanja in ravnanj proračunskih uporabnikov glede zgoraj citiranega sklepa vlade, v okviru pristojnosti Ministrstva za javno upravo posredujemo naslednja pojasnila:</w:t>
      </w:r>
    </w:p>
    <w:p w14:paraId="0DF95D31"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vlada je določila najvišji znesek (limit), ki ga lahko za izplačilo dodatka COVID-19 porabijo proračunski uporabniki. Gre torej za najvišji dovoljen obseg sredstev, ki se lahko porabi za ta namen, kar pa nikakor ne pomeni, da se bodo ta sredstva tudi avtomatično v celoti porabila;</w:t>
      </w:r>
    </w:p>
    <w:p w14:paraId="3278E49D" w14:textId="52CAEA70"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financiranje dodatka COVID-19 v okviru dovoljenega obsega sredstev izvaja </w:t>
      </w:r>
      <w:r w:rsidRPr="003754D8">
        <w:rPr>
          <w:rFonts w:eastAsiaTheme="minorHAnsi" w:cs="Arial"/>
          <w:szCs w:val="20"/>
          <w:u w:val="single"/>
        </w:rPr>
        <w:t>ustanovitelj</w:t>
      </w:r>
      <w:r w:rsidRPr="003754D8">
        <w:rPr>
          <w:rFonts w:eastAsiaTheme="minorHAnsi" w:cs="Arial"/>
          <w:szCs w:val="20"/>
        </w:rPr>
        <w:t xml:space="preserve">, ki ni nujno tudi financer konkretne skupine proračunskih uporabnikov iz pristojnosti neposrednega proračunskega uporabnika (npr. ustanovitelj zdravstvenega doma je občina, ki upoštevaje citirani sklep vlade določi obseg sredstev za dodatek COVID-19 tudi zdravstvenim domovom, financiranje pa bo zagotovljeno iz državnega proračuna, čeprav običajno financiranje plač zaposlenih v zdravstvenem domu, vključno z vsemi dodatki, zagotavlja zdravstvena blagajna). Iz obeh tabel (za mesec marec in april) v prilogi zgoraj citiranega sklepa jasno izhaja, katerim neposrednim proračunskim uporabnikom je določen najvišji možen obseg sredstev za financiranje tega dodatka, ki se potem na podlagi kriterijev iz II. točke priloge istega sklepa vlade delijo na posredne proračunske uporabnike, katerih ustanovitelj je konkretni neposredni uporabnik proračuna (temu pojasnilu je priložen šifrant, iz katerega je razvidno, katerih posrednih uporabnikov proračuna ustanovitelj je neposredni proračunski uporabnik iz obeh zgoraj navedenih tabel);   </w:t>
      </w:r>
    </w:p>
    <w:p w14:paraId="62E71D45"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obseg sredstev je določen za neposredne proračunske uporabnike (npr. ministrstva, druge državne organe, občine) oziroma za predlagatelje finančnih načrtov, saj so npr. nekatera ministrstva predlagatelji finančni načrtov za neposredne proračunske uporabnike iz njihove pristojnosti. Tako so npr. ministrstva kot neposredni proračunski uporabnik predlagatelji finančnih načrtov za organe v sestavi ministrstev, ki so sicer prav tako neposredni proračunski uporabnik, vendar obseg sredstev ni določen za organe v sestavi posebej, temveč za ministrstvo kot celoto (vključno z organi v sestavi, ki bo upoštevaje kriterije iz zgoraj citiranega sklepa vlade določilo obseg sredstev za posamezne proračunske uporabnike iz svoje pristojnosti. Kot je že navedeno v prejšnji točki, pa so v obseg sredstev za neposrednega </w:t>
      </w:r>
      <w:r w:rsidRPr="003754D8">
        <w:rPr>
          <w:rFonts w:eastAsiaTheme="minorHAnsi" w:cs="Arial"/>
          <w:szCs w:val="20"/>
        </w:rPr>
        <w:lastRenderedPageBreak/>
        <w:t>proračunskega uporabnika vključena tudi sredstva za vse proračunske uporabnike, v zvezi s katerimi izvaja  neposredni proračunski uporabnik vlogo ustanovitelja.</w:t>
      </w:r>
    </w:p>
    <w:p w14:paraId="575ACFC9"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obseg sredstev, ki je dodeljen neposrednemu proračunskemu uporabniku torej vključuje sredstva tako za zaposlene pri neposrednem uporabniku proračuna (vključno s funkcionarji in direktorji), kot za zaposlene pri posrednih uporabnikih proračuna iz njegove pristojnosti oziroma za uporabnike proračuna, za katere je predlagatelje finančnih načrtov;</w:t>
      </w:r>
    </w:p>
    <w:p w14:paraId="51E22530"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dodelitev sredstev neposrednim proračunskim uporabnikom v okviru obsega, ki ga je določila vlada, se bo izvedla na podlagi zahtevkov neposrednih proračunskih uporabnikov, naslovljenih na Ministrstvo za finance. Ti bodo ta zahtevek posredovali Ministrstvu za finance glede na zahtevke za nakazilo sredstev, ki jih bodo prejeli od posrednih uporabnikov proračuna skupaj z utemeljitvijo razlogov za dodelitev sredstev;         </w:t>
      </w:r>
    </w:p>
    <w:p w14:paraId="6BB9941A"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neposredni proračunski uporabniki so pri določitvi obsega sredstev za uporabnike proračuna iz njihove pristojnosti dolžni upoštevati kriterije, ki jih je vlada določila za razdelitev teh sredstev uporabnikom proračuna iz njihove pristojnosti. Npr. Ministrstvo za zdravje razdeli sredstva bolnišnicam upoštevaje kriterije iz II. točke priloge zgoraj citiranega sklepa vlade (izpostavljenost nevarnosti konkretne bolnišnice, število zaposlenih, ki delajo na delovnem mestu na lokaciji delodajalca, število zaposlenih, ki delajo od doma, delež vrednosti bruto urne postavke osnovne plače, in sicer pri bolj izpostavljenih (rizičnih) dejavnostih v povprečju 25 % urne postavke osnovne plače pri tistih, ki delajo na delovnem mestu na lokaciji delodajalca, in 10 % urne postavke osnovne plače pri tistih, ki delajo na domu);</w:t>
      </w:r>
    </w:p>
    <w:p w14:paraId="49739857"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uporaba kriterijev za dodelitev sredstev posrednim uporabnikom proračuna je za neposrednega proračunskega uporabnika obvezna, v smislu, da se skupen dovoljen obseg sredstev, ki ga je določila vlada, ne preseže. Sicer pa je v pristojnosti neposrednega uporabnika proračuna, da upoštevaje predložene zahtevke posrednih proračunskih uporabnikov za nakazilo sredstev za izplačilo dodatka COVID-19, presodi, ali  bo konkreten zahtevek glede na utemeljitev posrednega uporabnika poračuna upošteval ali pa ga bo zavrnil. Posredni proračunski uporabniki so namreč pri odločanju o upravičenosti do dodatka poleg limita dodeljenih sredstev dolžni upoštevati tudi zakonska pogoja, to sta nadpovprečna izpostavljenost tveganju ali prekomerna obremenitev zaposlenega, kar so v svojem zahtevku dolžni tudi utemeljiti;</w:t>
      </w:r>
    </w:p>
    <w:p w14:paraId="72A814D9" w14:textId="77777777" w:rsidR="003754D8" w:rsidRPr="003754D8" w:rsidRDefault="003754D8" w:rsidP="003754D8">
      <w:pPr>
        <w:numPr>
          <w:ilvl w:val="0"/>
          <w:numId w:val="4"/>
        </w:numPr>
        <w:spacing w:after="160" w:line="259" w:lineRule="auto"/>
        <w:contextualSpacing/>
        <w:jc w:val="both"/>
        <w:rPr>
          <w:rFonts w:eastAsiaTheme="minorHAnsi" w:cs="Arial"/>
          <w:szCs w:val="20"/>
        </w:rPr>
      </w:pPr>
      <w:r w:rsidRPr="003754D8">
        <w:rPr>
          <w:rFonts w:eastAsiaTheme="minorHAnsi" w:cs="Arial"/>
          <w:szCs w:val="20"/>
        </w:rPr>
        <w:t xml:space="preserve">neposredni uporabnik proračuna pri dodelitvi obsega sredstev uporabnikom iz svoje pristojnosti obravnava kriterije, ki jih je določila vlada kot nujno izhodišče za določitev obsega dodeljenih sredstev, pri čemer pa glede nadpovprečne izpostavljenosti tveganju konkretnih proračunskih uporabnikov lahko tudi sam sprejme določene kriterije, na podlagi katerih bo presojal utemeljitev zahtevkov za nakazilo sredstev, ki jih je prejel od uporabnikov proračuna iz njegove pristojnosti (npr. občina bo pri presoji utemeljenosti zahtevka lahko upoštevala, da je npr. konkretni zdravstveni dom bolj izpostavljen kot drugi zdravstveni dom; neposredni proračunski uporabnik bo prav tako lahko upošteval, da obstaja razlika izpostavljenosti oziroma obremenjenosti tudi med dvema domovoma starejših občanov </w:t>
      </w:r>
      <w:proofErr w:type="spellStart"/>
      <w:r w:rsidRPr="003754D8">
        <w:rPr>
          <w:rFonts w:eastAsiaTheme="minorHAnsi" w:cs="Arial"/>
          <w:szCs w:val="20"/>
        </w:rPr>
        <w:t>ipd</w:t>
      </w:r>
      <w:proofErr w:type="spellEnd"/>
      <w:r w:rsidRPr="003754D8">
        <w:rPr>
          <w:rFonts w:eastAsiaTheme="minorHAnsi" w:cs="Arial"/>
          <w:szCs w:val="20"/>
        </w:rPr>
        <w:t xml:space="preserve">). </w:t>
      </w:r>
    </w:p>
    <w:p w14:paraId="44A7F6D0" w14:textId="77777777" w:rsidR="003754D8" w:rsidRDefault="003754D8" w:rsidP="003754D8">
      <w:pPr>
        <w:spacing w:after="160" w:line="259" w:lineRule="auto"/>
        <w:jc w:val="both"/>
        <w:rPr>
          <w:rFonts w:eastAsiaTheme="minorHAnsi" w:cs="Arial"/>
          <w:szCs w:val="20"/>
        </w:rPr>
      </w:pPr>
    </w:p>
    <w:p w14:paraId="3534C178" w14:textId="4D90BCCE"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Ob zgoraj navedenem je treba upoštevati, da se bo dodatek COVID-19 lahko izplačal zaposlenemu na podlagi sklepa delodajalca, kot to določa četrti odstavek 71. člena ZIUZEOP. V sklepu bo delodajalec (predstojnik oziroma oseba, ki odloča o pravicah in obveznostih zaposlenega) določil višino dodatka, pri čemer bo moral upoštevati stopnjo izpostavljenosti tveganju oziroma prekomerne obremenjenosti ter obseg dodeljenih finančnih sredstev. V tej zvezi je Ministrstvo za javno upravo objavilo vzorec sklepa glede pravice do dodatka COVID-19, in sicer na naslednjem elektronskem naslovu:</w:t>
      </w:r>
    </w:p>
    <w:p w14:paraId="43EEDD27" w14:textId="77777777" w:rsidR="003754D8" w:rsidRPr="003754D8" w:rsidRDefault="00037751" w:rsidP="003754D8">
      <w:pPr>
        <w:spacing w:after="160" w:line="259" w:lineRule="auto"/>
        <w:jc w:val="both"/>
        <w:rPr>
          <w:rFonts w:eastAsiaTheme="minorHAnsi" w:cs="Arial"/>
          <w:szCs w:val="20"/>
        </w:rPr>
      </w:pPr>
      <w:hyperlink r:id="rId8" w:history="1">
        <w:r w:rsidR="003754D8" w:rsidRPr="003754D8">
          <w:rPr>
            <w:rFonts w:eastAsiaTheme="minorHAnsi" w:cs="Arial"/>
            <w:color w:val="0563C1" w:themeColor="hyperlink"/>
            <w:szCs w:val="20"/>
            <w:u w:val="single"/>
          </w:rPr>
          <w:t>https://www.gov.si/teme/placni-sistem/</w:t>
        </w:r>
      </w:hyperlink>
      <w:r w:rsidR="003754D8" w:rsidRPr="003754D8">
        <w:rPr>
          <w:rFonts w:eastAsiaTheme="minorHAnsi" w:cs="Arial"/>
          <w:szCs w:val="20"/>
        </w:rPr>
        <w:t xml:space="preserve"> (Vzorec sklepa o izplačilu dodatka za nevarnost in posebne obremenitve v času epidemije, 71.člen ZIUZEOP (24.4.2020)).</w:t>
      </w:r>
    </w:p>
    <w:p w14:paraId="3DA702BA"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Dodatek COVID-19 je uveden na novo z ZIUZEOP in ga je treba ločiti od dodatka za delo v rizičnih razmerah (epidemija), ki je materija Kolektivne pogodbe za javni sektor (KPJS) (11. točka 39. člena KPJS). ZIUZEOP v tretjem odstavku 71. člena zgolj določa, da lahko javni uslužbenci (razen javnih uslužbencev iz plačne skupine B – direktorji), upravičenci do dodatka za delo v rizičnih razmerah po KPJS iz naslova tega dodatka in iz naslova novega dodatka po 71. členu </w:t>
      </w:r>
      <w:r w:rsidRPr="003754D8">
        <w:rPr>
          <w:rFonts w:eastAsiaTheme="minorHAnsi" w:cs="Arial"/>
          <w:szCs w:val="20"/>
        </w:rPr>
        <w:lastRenderedPageBreak/>
        <w:t>ZIUZEOP (dodatek COVID-19) prejmejo skupaj največ 100 odstotkov urne postavke osnovne plače (glede na dejstvo, da znaša dodatek za delo v rizičnih razmerah 65 odstotkov urne postavke osnovne plače lahko torej javni uslužbenec, ki je prejel dodatek po KPJS za vse ure dela, iz naslova dodatka COVID-19 prejme še največ 35 odstotkov urne postavke osnovne plače).</w:t>
      </w:r>
    </w:p>
    <w:p w14:paraId="4B206014"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Tako kot velja za dodatek COVID-19, za katerega je vlada določila obseg sredstev za financiranje dodatka za nevarnost in posebne obremenitve v času epidemije, razdelitev sredstev na neposredne uporabnike proračuna ter kriterije za razdelitev sredstev posrednim uporabnikom proračuna, tudi za dodatek za delo v rizičnih razmerah na podlagi 11. točke 39. člena KPJS sredstva zagotavlja državni proračun (prvi stavek šestega odstavka 71. člena ZIUZEOP). Vendar pa glede dodatka za delo v rizičnih razmerah ni vnaprej določenega najvišjega obsega sredstev, ki se za izplačilo tega dodatka lahko porabijo. So pa pristojna ministrstva v zvezi  s tem oblikovala priporočila oziroma usmeritve, ki naj bi zagotovile čimbolj enako obravnavo javnih uslužbencev v podobnih pogojih. Proračunski uporabniki so glede izplačila tega dodatka dolžni upoštevati razlago Komisije za razlago KPJS (Uradni list RS, št. 48/20) ter navedene usmeritve ministrstev. </w:t>
      </w:r>
    </w:p>
    <w:p w14:paraId="3412B62F" w14:textId="77777777" w:rsidR="003754D8" w:rsidRPr="003754D8" w:rsidRDefault="003754D8" w:rsidP="003754D8">
      <w:pPr>
        <w:spacing w:after="160" w:line="259" w:lineRule="auto"/>
        <w:jc w:val="both"/>
        <w:rPr>
          <w:rFonts w:eastAsiaTheme="minorHAnsi" w:cs="Arial"/>
          <w:szCs w:val="20"/>
        </w:rPr>
      </w:pPr>
    </w:p>
    <w:p w14:paraId="4CE3F786"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Prijazen pozdrav,</w:t>
      </w:r>
    </w:p>
    <w:p w14:paraId="609BB056" w14:textId="77777777" w:rsidR="003754D8" w:rsidRPr="003754D8" w:rsidRDefault="003754D8" w:rsidP="003754D8">
      <w:pPr>
        <w:spacing w:after="160" w:line="259" w:lineRule="auto"/>
        <w:jc w:val="both"/>
        <w:rPr>
          <w:rFonts w:eastAsiaTheme="minorHAnsi" w:cs="Arial"/>
          <w:szCs w:val="20"/>
        </w:rPr>
      </w:pPr>
    </w:p>
    <w:p w14:paraId="4FC8B938"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                                                                                                                   Boštjan Koritnik</w:t>
      </w:r>
    </w:p>
    <w:p w14:paraId="62767B59"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                                                                                                                         minister</w:t>
      </w:r>
    </w:p>
    <w:p w14:paraId="7666F5A6"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Priloga:</w:t>
      </w:r>
    </w:p>
    <w:p w14:paraId="66EAC5DB" w14:textId="77777777" w:rsidR="003754D8" w:rsidRPr="003754D8" w:rsidRDefault="003754D8" w:rsidP="003754D8">
      <w:pPr>
        <w:numPr>
          <w:ilvl w:val="0"/>
          <w:numId w:val="7"/>
        </w:numPr>
        <w:spacing w:after="160" w:line="259" w:lineRule="auto"/>
        <w:contextualSpacing/>
        <w:jc w:val="both"/>
        <w:rPr>
          <w:rFonts w:eastAsiaTheme="minorHAnsi" w:cs="Arial"/>
          <w:szCs w:val="20"/>
        </w:rPr>
      </w:pPr>
      <w:r w:rsidRPr="003754D8">
        <w:rPr>
          <w:rFonts w:eastAsiaTheme="minorHAnsi" w:cs="Arial"/>
          <w:szCs w:val="20"/>
        </w:rPr>
        <w:t>Šifrant neposrednih in posrednih proračunskih uporabnikov</w:t>
      </w:r>
    </w:p>
    <w:p w14:paraId="57B559C5" w14:textId="77777777" w:rsidR="003754D8" w:rsidRPr="003754D8" w:rsidRDefault="003754D8" w:rsidP="003754D8">
      <w:pPr>
        <w:spacing w:after="160" w:line="259" w:lineRule="auto"/>
        <w:jc w:val="both"/>
        <w:rPr>
          <w:rFonts w:eastAsiaTheme="minorHAnsi" w:cs="Arial"/>
          <w:szCs w:val="20"/>
        </w:rPr>
      </w:pPr>
    </w:p>
    <w:p w14:paraId="6341B407"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Poslano:</w:t>
      </w:r>
    </w:p>
    <w:p w14:paraId="6AA46C19" w14:textId="77777777" w:rsidR="003754D8" w:rsidRPr="003754D8" w:rsidRDefault="003754D8" w:rsidP="003754D8">
      <w:pPr>
        <w:numPr>
          <w:ilvl w:val="0"/>
          <w:numId w:val="6"/>
        </w:numPr>
        <w:spacing w:after="160" w:line="259" w:lineRule="auto"/>
        <w:contextualSpacing/>
        <w:jc w:val="both"/>
        <w:rPr>
          <w:rFonts w:eastAsiaTheme="minorHAnsi" w:cs="Arial"/>
          <w:szCs w:val="20"/>
        </w:rPr>
      </w:pPr>
      <w:r w:rsidRPr="003754D8">
        <w:rPr>
          <w:rFonts w:eastAsiaTheme="minorHAnsi" w:cs="Arial"/>
          <w:szCs w:val="20"/>
        </w:rPr>
        <w:t>naslovnikom po e-pošti</w:t>
      </w:r>
    </w:p>
    <w:p w14:paraId="40D3E914" w14:textId="77777777" w:rsidR="003754D8" w:rsidRPr="003754D8" w:rsidRDefault="003754D8" w:rsidP="003754D8">
      <w:pPr>
        <w:spacing w:after="160" w:line="259" w:lineRule="auto"/>
        <w:jc w:val="both"/>
        <w:rPr>
          <w:rFonts w:eastAsiaTheme="minorHAnsi" w:cs="Arial"/>
          <w:szCs w:val="20"/>
        </w:rPr>
      </w:pPr>
    </w:p>
    <w:p w14:paraId="1CA1709F"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V vednost:</w:t>
      </w:r>
    </w:p>
    <w:p w14:paraId="786A3AC2" w14:textId="77777777" w:rsidR="003754D8" w:rsidRPr="003754D8" w:rsidRDefault="003754D8" w:rsidP="003754D8">
      <w:pPr>
        <w:numPr>
          <w:ilvl w:val="0"/>
          <w:numId w:val="6"/>
        </w:numPr>
        <w:spacing w:after="160" w:line="259" w:lineRule="auto"/>
        <w:contextualSpacing/>
        <w:jc w:val="both"/>
        <w:rPr>
          <w:rFonts w:eastAsiaTheme="minorHAnsi" w:cs="Arial"/>
          <w:szCs w:val="20"/>
        </w:rPr>
      </w:pPr>
      <w:r w:rsidRPr="003754D8">
        <w:rPr>
          <w:rFonts w:eastAsiaTheme="minorHAnsi" w:cs="Arial"/>
          <w:szCs w:val="20"/>
        </w:rPr>
        <w:t xml:space="preserve">Generalni sekretariat vlade; </w:t>
      </w:r>
      <w:hyperlink r:id="rId9" w:history="1">
        <w:r w:rsidRPr="003754D8">
          <w:rPr>
            <w:rFonts w:eastAsiaTheme="minorHAnsi" w:cs="Arial"/>
            <w:color w:val="0563C1" w:themeColor="hyperlink"/>
            <w:szCs w:val="20"/>
            <w:u w:val="single"/>
          </w:rPr>
          <w:t>gp.gs@gov.si</w:t>
        </w:r>
      </w:hyperlink>
    </w:p>
    <w:p w14:paraId="1E5D0AC2" w14:textId="77777777" w:rsidR="003754D8" w:rsidRPr="003754D8" w:rsidRDefault="003754D8" w:rsidP="003754D8">
      <w:pPr>
        <w:numPr>
          <w:ilvl w:val="0"/>
          <w:numId w:val="6"/>
        </w:numPr>
        <w:spacing w:after="160" w:line="259" w:lineRule="auto"/>
        <w:contextualSpacing/>
        <w:jc w:val="both"/>
        <w:rPr>
          <w:rFonts w:eastAsiaTheme="minorHAnsi" w:cs="Arial"/>
          <w:szCs w:val="20"/>
        </w:rPr>
      </w:pPr>
      <w:r w:rsidRPr="003754D8">
        <w:rPr>
          <w:rFonts w:eastAsiaTheme="minorHAnsi" w:cs="Arial"/>
          <w:szCs w:val="20"/>
        </w:rPr>
        <w:t xml:space="preserve">Kabinet predsednika vlade; </w:t>
      </w:r>
      <w:hyperlink r:id="rId10" w:history="1">
        <w:r w:rsidRPr="003754D8">
          <w:rPr>
            <w:rFonts w:eastAsiaTheme="minorHAnsi" w:cs="Arial"/>
            <w:color w:val="0563C1" w:themeColor="hyperlink"/>
            <w:szCs w:val="20"/>
            <w:u w:val="single"/>
          </w:rPr>
          <w:t>kpv@gov.si</w:t>
        </w:r>
      </w:hyperlink>
    </w:p>
    <w:p w14:paraId="727265B4" w14:textId="77777777" w:rsidR="003754D8" w:rsidRPr="003754D8" w:rsidRDefault="003754D8" w:rsidP="003754D8">
      <w:pPr>
        <w:spacing w:after="160" w:line="259" w:lineRule="auto"/>
        <w:ind w:left="720"/>
        <w:contextualSpacing/>
        <w:jc w:val="both"/>
        <w:rPr>
          <w:rFonts w:eastAsiaTheme="minorHAnsi" w:cs="Arial"/>
          <w:szCs w:val="20"/>
        </w:rPr>
      </w:pPr>
    </w:p>
    <w:p w14:paraId="29B49132" w14:textId="77777777" w:rsidR="003754D8" w:rsidRPr="003754D8" w:rsidRDefault="003754D8" w:rsidP="003754D8">
      <w:pPr>
        <w:spacing w:after="160" w:line="259" w:lineRule="auto"/>
        <w:jc w:val="both"/>
        <w:rPr>
          <w:rFonts w:eastAsiaTheme="minorHAnsi" w:cs="Arial"/>
          <w:szCs w:val="20"/>
        </w:rPr>
      </w:pPr>
      <w:r w:rsidRPr="003754D8">
        <w:rPr>
          <w:rFonts w:eastAsiaTheme="minorHAnsi" w:cs="Arial"/>
          <w:szCs w:val="20"/>
        </w:rPr>
        <w:t xml:space="preserve"> </w:t>
      </w:r>
    </w:p>
    <w:p w14:paraId="59D2FBD3" w14:textId="77777777" w:rsidR="0098661D" w:rsidRPr="008A32DA" w:rsidRDefault="0098661D" w:rsidP="0098661D">
      <w:pPr>
        <w:spacing w:line="260" w:lineRule="exact"/>
        <w:jc w:val="both"/>
        <w:rPr>
          <w:rFonts w:cs="Arial"/>
          <w:szCs w:val="20"/>
        </w:rPr>
      </w:pPr>
    </w:p>
    <w:p w14:paraId="5A8EE368" w14:textId="77777777" w:rsidR="0098661D" w:rsidRDefault="0098661D" w:rsidP="0098661D">
      <w:pPr>
        <w:spacing w:line="240" w:lineRule="atLeast"/>
        <w:jc w:val="both"/>
        <w:rPr>
          <w:rFonts w:cs="Arial"/>
          <w:color w:val="000000" w:themeColor="text1"/>
          <w:szCs w:val="20"/>
        </w:rPr>
      </w:pPr>
    </w:p>
    <w:p w14:paraId="36B70531" w14:textId="77777777" w:rsidR="0098661D" w:rsidRDefault="0098661D" w:rsidP="0098661D">
      <w:pPr>
        <w:spacing w:line="240" w:lineRule="atLeast"/>
        <w:jc w:val="both"/>
        <w:rPr>
          <w:rFonts w:cs="Arial"/>
          <w:color w:val="000000" w:themeColor="text1"/>
          <w:szCs w:val="20"/>
        </w:rPr>
      </w:pPr>
    </w:p>
    <w:p w14:paraId="264EFEAC" w14:textId="77777777" w:rsidR="0098661D" w:rsidRPr="00B01D7B" w:rsidRDefault="0098661D" w:rsidP="0098661D">
      <w:pPr>
        <w:spacing w:line="240" w:lineRule="atLeast"/>
        <w:jc w:val="both"/>
        <w:rPr>
          <w:rFonts w:cs="Arial"/>
          <w:szCs w:val="20"/>
        </w:rPr>
      </w:pPr>
    </w:p>
    <w:p w14:paraId="1698C770" w14:textId="77777777" w:rsidR="0098661D" w:rsidRPr="00CA200C" w:rsidRDefault="0098661D" w:rsidP="0098661D">
      <w:pPr>
        <w:spacing w:line="260" w:lineRule="exact"/>
      </w:pPr>
    </w:p>
    <w:p w14:paraId="6E6AF16D" w14:textId="77777777" w:rsidR="0098661D" w:rsidRDefault="0098661D" w:rsidP="0098661D"/>
    <w:bookmarkEnd w:id="0"/>
    <w:p w14:paraId="17BCC3EF" w14:textId="77777777" w:rsidR="00C12278" w:rsidRDefault="00C12278"/>
    <w:sectPr w:rsidR="00C12278" w:rsidSect="00A5646A">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C4B9D" w14:textId="77777777" w:rsidR="00E759A3" w:rsidRDefault="00E759A3" w:rsidP="0098661D">
      <w:pPr>
        <w:spacing w:line="240" w:lineRule="auto"/>
      </w:pPr>
      <w:r>
        <w:separator/>
      </w:r>
    </w:p>
  </w:endnote>
  <w:endnote w:type="continuationSeparator" w:id="0">
    <w:p w14:paraId="03766978" w14:textId="77777777" w:rsidR="00E759A3" w:rsidRDefault="00E759A3" w:rsidP="0098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442BA2B5" w14:textId="77777777" w:rsidR="0049629D" w:rsidRDefault="0098661D">
        <w:pPr>
          <w:pStyle w:val="Noga"/>
          <w:jc w:val="right"/>
        </w:pPr>
        <w:r>
          <w:fldChar w:fldCharType="begin"/>
        </w:r>
        <w:r>
          <w:instrText>PAGE   \* MERGEFORMAT</w:instrText>
        </w:r>
        <w:r>
          <w:fldChar w:fldCharType="separate"/>
        </w:r>
        <w:r w:rsidR="00DE0468">
          <w:rPr>
            <w:noProof/>
          </w:rPr>
          <w:t>11</w:t>
        </w:r>
        <w:r>
          <w:rPr>
            <w:noProof/>
          </w:rPr>
          <w:fldChar w:fldCharType="end"/>
        </w:r>
      </w:p>
    </w:sdtContent>
  </w:sdt>
  <w:p w14:paraId="590DC189" w14:textId="77777777" w:rsidR="0049629D" w:rsidRDefault="000377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F34A" w14:textId="77777777" w:rsidR="00E759A3" w:rsidRDefault="00E759A3" w:rsidP="0098661D">
      <w:pPr>
        <w:spacing w:line="240" w:lineRule="auto"/>
      </w:pPr>
      <w:r>
        <w:separator/>
      </w:r>
    </w:p>
  </w:footnote>
  <w:footnote w:type="continuationSeparator" w:id="0">
    <w:p w14:paraId="71BF380E" w14:textId="77777777" w:rsidR="00E759A3" w:rsidRDefault="00E759A3" w:rsidP="009866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27F5" w14:textId="77777777" w:rsidR="0049629D" w:rsidRPr="00110CBD" w:rsidRDefault="00037751"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9629D" w:rsidRPr="008F3500" w14:paraId="77E9F1D2" w14:textId="77777777" w:rsidTr="00A5646A">
      <w:trPr>
        <w:cantSplit/>
        <w:trHeight w:hRule="exact" w:val="847"/>
      </w:trPr>
      <w:tc>
        <w:tcPr>
          <w:tcW w:w="649" w:type="dxa"/>
        </w:tcPr>
        <w:p w14:paraId="7D053790" w14:textId="77777777" w:rsidR="0049629D" w:rsidRDefault="0098661D" w:rsidP="00A5646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C319CB4" w14:textId="77777777" w:rsidR="0049629D" w:rsidRPr="006D42D9" w:rsidRDefault="00037751" w:rsidP="00A5646A">
          <w:pPr>
            <w:rPr>
              <w:rFonts w:ascii="Republika" w:hAnsi="Republika"/>
              <w:sz w:val="60"/>
              <w:szCs w:val="60"/>
            </w:rPr>
          </w:pPr>
        </w:p>
        <w:p w14:paraId="265575F1" w14:textId="77777777" w:rsidR="0049629D" w:rsidRPr="006D42D9" w:rsidRDefault="00037751" w:rsidP="00A5646A">
          <w:pPr>
            <w:rPr>
              <w:rFonts w:ascii="Republika" w:hAnsi="Republika"/>
              <w:sz w:val="60"/>
              <w:szCs w:val="60"/>
            </w:rPr>
          </w:pPr>
        </w:p>
        <w:p w14:paraId="379A5C25" w14:textId="77777777" w:rsidR="0049629D" w:rsidRPr="006D42D9" w:rsidRDefault="00037751" w:rsidP="00A5646A">
          <w:pPr>
            <w:rPr>
              <w:rFonts w:ascii="Republika" w:hAnsi="Republika"/>
              <w:sz w:val="60"/>
              <w:szCs w:val="60"/>
            </w:rPr>
          </w:pPr>
        </w:p>
        <w:p w14:paraId="37CDB6C2" w14:textId="77777777" w:rsidR="0049629D" w:rsidRPr="006D42D9" w:rsidRDefault="00037751" w:rsidP="00A5646A">
          <w:pPr>
            <w:rPr>
              <w:rFonts w:ascii="Republika" w:hAnsi="Republika"/>
              <w:sz w:val="60"/>
              <w:szCs w:val="60"/>
            </w:rPr>
          </w:pPr>
        </w:p>
        <w:p w14:paraId="69E8F69B" w14:textId="77777777" w:rsidR="0049629D" w:rsidRPr="006D42D9" w:rsidRDefault="00037751" w:rsidP="00A5646A">
          <w:pPr>
            <w:rPr>
              <w:rFonts w:ascii="Republika" w:hAnsi="Republika"/>
              <w:sz w:val="60"/>
              <w:szCs w:val="60"/>
            </w:rPr>
          </w:pPr>
        </w:p>
        <w:p w14:paraId="2949991D" w14:textId="77777777" w:rsidR="0049629D" w:rsidRPr="006D42D9" w:rsidRDefault="00037751" w:rsidP="00A5646A">
          <w:pPr>
            <w:rPr>
              <w:rFonts w:ascii="Republika" w:hAnsi="Republika"/>
              <w:sz w:val="60"/>
              <w:szCs w:val="60"/>
            </w:rPr>
          </w:pPr>
        </w:p>
        <w:p w14:paraId="0783AA3B" w14:textId="77777777" w:rsidR="0049629D" w:rsidRPr="006D42D9" w:rsidRDefault="00037751" w:rsidP="00A5646A">
          <w:pPr>
            <w:rPr>
              <w:rFonts w:ascii="Republika" w:hAnsi="Republika"/>
              <w:sz w:val="60"/>
              <w:szCs w:val="60"/>
            </w:rPr>
          </w:pPr>
        </w:p>
        <w:p w14:paraId="612651DA" w14:textId="77777777" w:rsidR="0049629D" w:rsidRPr="006D42D9" w:rsidRDefault="00037751" w:rsidP="00A5646A">
          <w:pPr>
            <w:rPr>
              <w:rFonts w:ascii="Republika" w:hAnsi="Republika"/>
              <w:sz w:val="60"/>
              <w:szCs w:val="60"/>
            </w:rPr>
          </w:pPr>
        </w:p>
        <w:p w14:paraId="161F0FC9" w14:textId="77777777" w:rsidR="0049629D" w:rsidRPr="006D42D9" w:rsidRDefault="00037751" w:rsidP="00A5646A">
          <w:pPr>
            <w:rPr>
              <w:rFonts w:ascii="Republika" w:hAnsi="Republika"/>
              <w:sz w:val="60"/>
              <w:szCs w:val="60"/>
            </w:rPr>
          </w:pPr>
        </w:p>
        <w:p w14:paraId="40AD4199" w14:textId="77777777" w:rsidR="0049629D" w:rsidRPr="006D42D9" w:rsidRDefault="00037751" w:rsidP="00A5646A">
          <w:pPr>
            <w:rPr>
              <w:rFonts w:ascii="Republika" w:hAnsi="Republika"/>
              <w:sz w:val="60"/>
              <w:szCs w:val="60"/>
            </w:rPr>
          </w:pPr>
        </w:p>
        <w:p w14:paraId="51BA7188" w14:textId="77777777" w:rsidR="0049629D" w:rsidRPr="006D42D9" w:rsidRDefault="00037751" w:rsidP="00A5646A">
          <w:pPr>
            <w:rPr>
              <w:rFonts w:ascii="Republika" w:hAnsi="Republika"/>
              <w:sz w:val="60"/>
              <w:szCs w:val="60"/>
            </w:rPr>
          </w:pPr>
        </w:p>
        <w:p w14:paraId="78A25E45" w14:textId="77777777" w:rsidR="0049629D" w:rsidRPr="006D42D9" w:rsidRDefault="00037751" w:rsidP="00A5646A">
          <w:pPr>
            <w:rPr>
              <w:rFonts w:ascii="Republika" w:hAnsi="Republika"/>
              <w:sz w:val="60"/>
              <w:szCs w:val="60"/>
            </w:rPr>
          </w:pPr>
        </w:p>
        <w:p w14:paraId="0807848A" w14:textId="77777777" w:rsidR="0049629D" w:rsidRPr="006D42D9" w:rsidRDefault="00037751" w:rsidP="00A5646A">
          <w:pPr>
            <w:rPr>
              <w:rFonts w:ascii="Republika" w:hAnsi="Republika"/>
              <w:sz w:val="60"/>
              <w:szCs w:val="60"/>
            </w:rPr>
          </w:pPr>
        </w:p>
        <w:p w14:paraId="23746532" w14:textId="77777777" w:rsidR="0049629D" w:rsidRPr="006D42D9" w:rsidRDefault="00037751" w:rsidP="00A5646A">
          <w:pPr>
            <w:rPr>
              <w:rFonts w:ascii="Republika" w:hAnsi="Republika"/>
              <w:sz w:val="60"/>
              <w:szCs w:val="60"/>
            </w:rPr>
          </w:pPr>
        </w:p>
        <w:p w14:paraId="435AF872" w14:textId="77777777" w:rsidR="0049629D" w:rsidRPr="006D42D9" w:rsidRDefault="00037751" w:rsidP="00A5646A">
          <w:pPr>
            <w:rPr>
              <w:rFonts w:ascii="Republika" w:hAnsi="Republika"/>
              <w:sz w:val="60"/>
              <w:szCs w:val="60"/>
            </w:rPr>
          </w:pPr>
        </w:p>
        <w:p w14:paraId="13F9F99F" w14:textId="77777777" w:rsidR="0049629D" w:rsidRPr="006D42D9" w:rsidRDefault="00037751" w:rsidP="00A5646A">
          <w:pPr>
            <w:rPr>
              <w:rFonts w:ascii="Republika" w:hAnsi="Republika"/>
              <w:sz w:val="60"/>
              <w:szCs w:val="60"/>
            </w:rPr>
          </w:pPr>
        </w:p>
      </w:tc>
    </w:tr>
  </w:tbl>
  <w:p w14:paraId="64EEF3CE" w14:textId="77777777" w:rsidR="0049629D" w:rsidRPr="008F3500" w:rsidRDefault="0098661D" w:rsidP="00A5646A">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9264" behindDoc="1" locked="0" layoutInCell="0" allowOverlap="1" wp14:anchorId="20A54BC1" wp14:editId="0057E27D">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7A49"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3E0C230B" w14:textId="77777777" w:rsidR="0049629D" w:rsidRPr="00CB5329" w:rsidRDefault="0098661D" w:rsidP="00A5646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14:paraId="72A9247A" w14:textId="77777777" w:rsidR="0049629D" w:rsidRPr="008F3500" w:rsidRDefault="0098661D" w:rsidP="00A5646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5DE94119" w14:textId="77777777" w:rsidR="0049629D" w:rsidRPr="008F3500" w:rsidRDefault="0098661D"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587341C2" w14:textId="77777777" w:rsidR="0049629D" w:rsidRPr="008F3500" w:rsidRDefault="0098661D"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8AE9BF9" w14:textId="77777777" w:rsidR="0049629D" w:rsidRPr="008F3500" w:rsidRDefault="0098661D" w:rsidP="00A5646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DA279E5" w14:textId="77777777" w:rsidR="0049629D" w:rsidRDefault="00037751" w:rsidP="00A5646A">
    <w:pPr>
      <w:pStyle w:val="Glava"/>
      <w:tabs>
        <w:tab w:val="clear" w:pos="4320"/>
        <w:tab w:val="clear" w:pos="8640"/>
        <w:tab w:val="left" w:pos="5112"/>
      </w:tabs>
    </w:pPr>
  </w:p>
  <w:p w14:paraId="1D2B2940" w14:textId="77777777" w:rsidR="0049629D" w:rsidRDefault="00037751" w:rsidP="00A5646A">
    <w:pPr>
      <w:pStyle w:val="Glava"/>
      <w:tabs>
        <w:tab w:val="clear" w:pos="4320"/>
        <w:tab w:val="clear" w:pos="8640"/>
        <w:tab w:val="left" w:pos="5112"/>
      </w:tabs>
    </w:pPr>
  </w:p>
  <w:p w14:paraId="1BDA34AC" w14:textId="77777777" w:rsidR="0049629D" w:rsidRDefault="00037751" w:rsidP="00A5646A">
    <w:pPr>
      <w:pStyle w:val="Glava"/>
      <w:tabs>
        <w:tab w:val="clear" w:pos="4320"/>
        <w:tab w:val="clear" w:pos="8640"/>
        <w:tab w:val="left" w:pos="5112"/>
      </w:tabs>
    </w:pPr>
  </w:p>
  <w:p w14:paraId="1D237BB6" w14:textId="77777777" w:rsidR="0049629D" w:rsidRDefault="00037751" w:rsidP="00A5646A">
    <w:pPr>
      <w:pStyle w:val="Glava"/>
      <w:tabs>
        <w:tab w:val="clear" w:pos="4320"/>
        <w:tab w:val="clear" w:pos="8640"/>
        <w:tab w:val="left" w:pos="5112"/>
      </w:tabs>
    </w:pPr>
  </w:p>
  <w:p w14:paraId="754DA4B2" w14:textId="7EF30E52" w:rsidR="0049629D" w:rsidRPr="00924C3B" w:rsidRDefault="00037751" w:rsidP="00A5646A">
    <w:pPr>
      <w:pStyle w:val="Glava"/>
      <w:tabs>
        <w:tab w:val="clear" w:pos="4320"/>
        <w:tab w:val="clear" w:pos="8640"/>
        <w:tab w:val="left" w:pos="5112"/>
      </w:tabs>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2C2"/>
    <w:multiLevelType w:val="hybridMultilevel"/>
    <w:tmpl w:val="FC92135A"/>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E7183"/>
    <w:multiLevelType w:val="hybridMultilevel"/>
    <w:tmpl w:val="FE467800"/>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2602CF"/>
    <w:multiLevelType w:val="hybridMultilevel"/>
    <w:tmpl w:val="D5F239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70B10142"/>
    <w:multiLevelType w:val="hybridMultilevel"/>
    <w:tmpl w:val="FC864BF0"/>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1D"/>
    <w:rsid w:val="000348F6"/>
    <w:rsid w:val="00037751"/>
    <w:rsid w:val="00045A9E"/>
    <w:rsid w:val="00076698"/>
    <w:rsid w:val="00085ED9"/>
    <w:rsid w:val="00095FEC"/>
    <w:rsid w:val="000E7935"/>
    <w:rsid w:val="001E21F4"/>
    <w:rsid w:val="00316C82"/>
    <w:rsid w:val="00371658"/>
    <w:rsid w:val="003754D8"/>
    <w:rsid w:val="003B39FF"/>
    <w:rsid w:val="003E34EE"/>
    <w:rsid w:val="0040622A"/>
    <w:rsid w:val="00436ADC"/>
    <w:rsid w:val="004574E3"/>
    <w:rsid w:val="004F1E82"/>
    <w:rsid w:val="00534D84"/>
    <w:rsid w:val="00550A3E"/>
    <w:rsid w:val="00554D6F"/>
    <w:rsid w:val="00576545"/>
    <w:rsid w:val="005D01C9"/>
    <w:rsid w:val="00615164"/>
    <w:rsid w:val="00626070"/>
    <w:rsid w:val="00653B0D"/>
    <w:rsid w:val="006945F8"/>
    <w:rsid w:val="006C43A7"/>
    <w:rsid w:val="006E7204"/>
    <w:rsid w:val="00777474"/>
    <w:rsid w:val="007879D9"/>
    <w:rsid w:val="00795124"/>
    <w:rsid w:val="007B0697"/>
    <w:rsid w:val="007B4B75"/>
    <w:rsid w:val="007C4CB6"/>
    <w:rsid w:val="00821DEC"/>
    <w:rsid w:val="008247F3"/>
    <w:rsid w:val="00837A41"/>
    <w:rsid w:val="008827BE"/>
    <w:rsid w:val="008F50A8"/>
    <w:rsid w:val="00924C3B"/>
    <w:rsid w:val="00960DD4"/>
    <w:rsid w:val="00977C85"/>
    <w:rsid w:val="0098661D"/>
    <w:rsid w:val="00994B51"/>
    <w:rsid w:val="009A7ED6"/>
    <w:rsid w:val="009B1985"/>
    <w:rsid w:val="009C0960"/>
    <w:rsid w:val="00A03E2B"/>
    <w:rsid w:val="00A56DE6"/>
    <w:rsid w:val="00A66A49"/>
    <w:rsid w:val="00AE5FF5"/>
    <w:rsid w:val="00B4464D"/>
    <w:rsid w:val="00B45BAB"/>
    <w:rsid w:val="00C12278"/>
    <w:rsid w:val="00C15393"/>
    <w:rsid w:val="00C3081A"/>
    <w:rsid w:val="00C33985"/>
    <w:rsid w:val="00C950C0"/>
    <w:rsid w:val="00CB3B9E"/>
    <w:rsid w:val="00CB4907"/>
    <w:rsid w:val="00D22DB4"/>
    <w:rsid w:val="00D265E8"/>
    <w:rsid w:val="00D658CF"/>
    <w:rsid w:val="00D944D5"/>
    <w:rsid w:val="00DD1B69"/>
    <w:rsid w:val="00DE0468"/>
    <w:rsid w:val="00DE31B2"/>
    <w:rsid w:val="00DE7B68"/>
    <w:rsid w:val="00DF7722"/>
    <w:rsid w:val="00E2551D"/>
    <w:rsid w:val="00E60BB5"/>
    <w:rsid w:val="00E759A3"/>
    <w:rsid w:val="00F12F54"/>
    <w:rsid w:val="00F30E5A"/>
    <w:rsid w:val="00F528B8"/>
    <w:rsid w:val="00F96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1F49"/>
  <w15:docId w15:val="{B4493193-4677-40DC-9AA4-7410163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8661D"/>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8661D"/>
    <w:pPr>
      <w:tabs>
        <w:tab w:val="center" w:pos="4320"/>
        <w:tab w:val="right" w:pos="8640"/>
      </w:tabs>
    </w:pPr>
  </w:style>
  <w:style w:type="character" w:customStyle="1" w:styleId="GlavaZnak">
    <w:name w:val="Glava Znak"/>
    <w:basedOn w:val="Privzetapisavaodstavka"/>
    <w:link w:val="Glava"/>
    <w:rsid w:val="0098661D"/>
    <w:rPr>
      <w:rFonts w:ascii="Arial" w:eastAsia="Times New Roman" w:hAnsi="Arial" w:cs="Times New Roman"/>
      <w:sz w:val="20"/>
      <w:szCs w:val="24"/>
    </w:rPr>
  </w:style>
  <w:style w:type="paragraph" w:customStyle="1" w:styleId="datumtevilka">
    <w:name w:val="datum številka"/>
    <w:basedOn w:val="Navaden"/>
    <w:qFormat/>
    <w:rsid w:val="0098661D"/>
    <w:pPr>
      <w:tabs>
        <w:tab w:val="left" w:pos="1701"/>
      </w:tabs>
    </w:pPr>
    <w:rPr>
      <w:szCs w:val="20"/>
      <w:lang w:eastAsia="sl-SI"/>
    </w:rPr>
  </w:style>
  <w:style w:type="paragraph" w:customStyle="1" w:styleId="podpisi">
    <w:name w:val="podpisi"/>
    <w:basedOn w:val="Navaden"/>
    <w:qFormat/>
    <w:rsid w:val="0098661D"/>
    <w:pPr>
      <w:tabs>
        <w:tab w:val="left" w:pos="3402"/>
      </w:tabs>
    </w:pPr>
    <w:rPr>
      <w:lang w:val="it-IT"/>
    </w:rPr>
  </w:style>
  <w:style w:type="paragraph" w:styleId="Telobesedila2">
    <w:name w:val="Body Text 2"/>
    <w:basedOn w:val="Navaden"/>
    <w:link w:val="Telobesedila2Znak"/>
    <w:rsid w:val="0098661D"/>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8661D"/>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98661D"/>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98661D"/>
    <w:pPr>
      <w:tabs>
        <w:tab w:val="center" w:pos="4536"/>
        <w:tab w:val="right" w:pos="9072"/>
      </w:tabs>
      <w:spacing w:line="240" w:lineRule="auto"/>
    </w:pPr>
  </w:style>
  <w:style w:type="character" w:customStyle="1" w:styleId="NogaZnak">
    <w:name w:val="Noga Znak"/>
    <w:basedOn w:val="Privzetapisavaodstavka"/>
    <w:link w:val="Noga"/>
    <w:uiPriority w:val="99"/>
    <w:rsid w:val="0098661D"/>
    <w:rPr>
      <w:rFonts w:ascii="Arial" w:eastAsia="Times New Roman" w:hAnsi="Arial" w:cs="Times New Roman"/>
      <w:sz w:val="20"/>
      <w:szCs w:val="24"/>
    </w:rPr>
  </w:style>
  <w:style w:type="character" w:styleId="Hiperpovezava">
    <w:name w:val="Hyperlink"/>
    <w:basedOn w:val="Privzetapisavaodstavka"/>
    <w:uiPriority w:val="99"/>
    <w:unhideWhenUsed/>
    <w:rsid w:val="0098661D"/>
    <w:rPr>
      <w:color w:val="0000FF"/>
      <w:u w:val="single"/>
    </w:rPr>
  </w:style>
  <w:style w:type="paragraph" w:customStyle="1" w:styleId="odstavek">
    <w:name w:val="odstavek"/>
    <w:basedOn w:val="Navaden"/>
    <w:rsid w:val="0098661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98661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8661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8661D"/>
    <w:rPr>
      <w:vertAlign w:val="superscript"/>
    </w:rPr>
  </w:style>
  <w:style w:type="paragraph" w:styleId="Besedilooblaka">
    <w:name w:val="Balloon Text"/>
    <w:basedOn w:val="Navaden"/>
    <w:link w:val="BesedilooblakaZnak"/>
    <w:uiPriority w:val="99"/>
    <w:semiHidden/>
    <w:unhideWhenUsed/>
    <w:rsid w:val="00534D8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4D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lacni-siste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pv@gov.si"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7AFF20-FED6-4A58-8077-454638F7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Knez</dc:creator>
  <cp:lastModifiedBy>Mirjam Kopač</cp:lastModifiedBy>
  <cp:revision>2</cp:revision>
  <dcterms:created xsi:type="dcterms:W3CDTF">2020-04-28T06:29:00Z</dcterms:created>
  <dcterms:modified xsi:type="dcterms:W3CDTF">2020-04-28T06:29:00Z</dcterms:modified>
</cp:coreProperties>
</file>