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7EBF" w14:textId="77777777" w:rsidR="00C65880" w:rsidRPr="00C65880" w:rsidRDefault="00C65880" w:rsidP="00C65880">
      <w:pPr>
        <w:tabs>
          <w:tab w:val="left" w:pos="5112"/>
        </w:tabs>
        <w:spacing w:before="120" w:after="0" w:line="240" w:lineRule="exact"/>
        <w:rPr>
          <w:rFonts w:ascii="Arial" w:eastAsia="Times New Roman" w:hAnsi="Arial" w:cs="Arial"/>
          <w:sz w:val="16"/>
          <w:szCs w:val="24"/>
        </w:rPr>
      </w:pPr>
    </w:p>
    <w:p w14:paraId="089B6B23" w14:textId="77777777" w:rsidR="00C65880" w:rsidRPr="00C65880" w:rsidRDefault="00C65880" w:rsidP="00C65880">
      <w:pPr>
        <w:tabs>
          <w:tab w:val="left" w:pos="5112"/>
        </w:tabs>
        <w:spacing w:before="120" w:after="0" w:line="240" w:lineRule="exact"/>
        <w:rPr>
          <w:rFonts w:ascii="Arial" w:eastAsia="Times New Roman" w:hAnsi="Arial" w:cs="Arial"/>
          <w:sz w:val="16"/>
          <w:szCs w:val="24"/>
        </w:rPr>
      </w:pPr>
    </w:p>
    <w:p w14:paraId="4D69DA08" w14:textId="77777777" w:rsidR="00C65880" w:rsidRPr="00C65880" w:rsidRDefault="00C65880" w:rsidP="00C65880">
      <w:pPr>
        <w:tabs>
          <w:tab w:val="left" w:pos="5112"/>
        </w:tabs>
        <w:spacing w:before="120" w:after="0" w:line="240" w:lineRule="exact"/>
        <w:rPr>
          <w:rFonts w:ascii="Arial" w:eastAsia="Times New Roman" w:hAnsi="Arial" w:cs="Arial"/>
          <w:sz w:val="16"/>
          <w:szCs w:val="24"/>
        </w:rPr>
      </w:pPr>
    </w:p>
    <w:p w14:paraId="70DE4736" w14:textId="77777777" w:rsidR="00C65880" w:rsidRPr="00C65880" w:rsidRDefault="00C65880" w:rsidP="00C65880">
      <w:pPr>
        <w:tabs>
          <w:tab w:val="left" w:pos="5112"/>
        </w:tabs>
        <w:spacing w:before="120" w:after="0" w:line="240" w:lineRule="exact"/>
        <w:rPr>
          <w:rFonts w:ascii="Arial" w:eastAsia="Times New Roman" w:hAnsi="Arial" w:cs="Arial"/>
          <w:sz w:val="16"/>
          <w:szCs w:val="24"/>
        </w:rPr>
      </w:pPr>
      <w:r w:rsidRPr="00C65880">
        <w:rPr>
          <w:rFonts w:ascii="Arial" w:eastAsia="Times New Roman" w:hAnsi="Arial" w:cs="Times New Roman"/>
          <w:noProof/>
          <w:sz w:val="20"/>
          <w:szCs w:val="24"/>
          <w:lang w:val="en-US"/>
        </w:rPr>
        <w:drawing>
          <wp:anchor distT="0" distB="0" distL="114300" distR="114300" simplePos="0" relativeHeight="251660288" behindDoc="1" locked="0" layoutInCell="1" allowOverlap="1" wp14:anchorId="4BA8F41D" wp14:editId="2BA9DC38">
            <wp:simplePos x="0" y="0"/>
            <wp:positionH relativeFrom="page">
              <wp:posOffset>612140</wp:posOffset>
            </wp:positionH>
            <wp:positionV relativeFrom="page">
              <wp:posOffset>648335</wp:posOffset>
            </wp:positionV>
            <wp:extent cx="2348865" cy="52959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DJ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880">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2E722876" wp14:editId="6C8701B8">
                <wp:simplePos x="0" y="0"/>
                <wp:positionH relativeFrom="column">
                  <wp:posOffset>-463550</wp:posOffset>
                </wp:positionH>
                <wp:positionV relativeFrom="page">
                  <wp:posOffset>3600450</wp:posOffset>
                </wp:positionV>
                <wp:extent cx="215900" cy="0"/>
                <wp:effectExtent l="6985" t="9525" r="5715" b="9525"/>
                <wp:wrapNone/>
                <wp:docPr id="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FB367" id="_x0000_t32" coordsize="21600,21600" o:spt="32" o:oned="t" path="m,l21600,21600e" filled="f">
                <v:path arrowok="t" fillok="f" o:connecttype="none"/>
                <o:lock v:ext="edit" shapetype="t"/>
              </v:shapetype>
              <v:shape id="AutoShape 1" o:spid="_x0000_s1026" type="#_x0000_t32" alt="&quot;&quot;"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C65880">
        <w:rPr>
          <w:rFonts w:ascii="Arial" w:eastAsia="Times New Roman" w:hAnsi="Arial" w:cs="Arial"/>
          <w:sz w:val="16"/>
          <w:szCs w:val="24"/>
        </w:rPr>
        <w:t>Tržaška cesta 21, 1000 Ljubljana</w:t>
      </w:r>
      <w:r w:rsidRPr="00C65880">
        <w:rPr>
          <w:rFonts w:ascii="Arial" w:eastAsia="Times New Roman" w:hAnsi="Arial" w:cs="Arial"/>
          <w:sz w:val="16"/>
          <w:szCs w:val="24"/>
        </w:rPr>
        <w:tab/>
        <w:t>T: 01 478 16 50</w:t>
      </w:r>
    </w:p>
    <w:p w14:paraId="1A5EC873" w14:textId="77777777" w:rsidR="00C65880" w:rsidRPr="00C65880" w:rsidRDefault="00C65880" w:rsidP="00C65880">
      <w:pPr>
        <w:tabs>
          <w:tab w:val="left" w:pos="5112"/>
        </w:tabs>
        <w:spacing w:after="0" w:line="240" w:lineRule="exact"/>
        <w:rPr>
          <w:rFonts w:ascii="Arial" w:eastAsia="Times New Roman" w:hAnsi="Arial" w:cs="Arial"/>
          <w:sz w:val="16"/>
          <w:szCs w:val="24"/>
        </w:rPr>
      </w:pPr>
      <w:r w:rsidRPr="00C65880">
        <w:rPr>
          <w:rFonts w:ascii="Arial" w:eastAsia="Times New Roman" w:hAnsi="Arial" w:cs="Arial"/>
          <w:sz w:val="16"/>
          <w:szCs w:val="24"/>
        </w:rPr>
        <w:tab/>
        <w:t>E: gp.mju@gov.si</w:t>
      </w:r>
    </w:p>
    <w:p w14:paraId="413C918F" w14:textId="77777777" w:rsidR="00C65880" w:rsidRPr="00C65880" w:rsidRDefault="00C65880" w:rsidP="00C65880">
      <w:pPr>
        <w:tabs>
          <w:tab w:val="left" w:pos="5112"/>
        </w:tabs>
        <w:spacing w:after="0" w:line="240" w:lineRule="exact"/>
        <w:rPr>
          <w:rFonts w:ascii="Arial" w:eastAsia="Times New Roman" w:hAnsi="Arial" w:cs="Arial"/>
          <w:sz w:val="16"/>
          <w:szCs w:val="24"/>
        </w:rPr>
      </w:pPr>
      <w:r w:rsidRPr="00C65880">
        <w:rPr>
          <w:rFonts w:ascii="Arial" w:eastAsia="Times New Roman" w:hAnsi="Arial" w:cs="Arial"/>
          <w:sz w:val="16"/>
          <w:szCs w:val="24"/>
        </w:rPr>
        <w:tab/>
        <w:t>www.mju.gov.si</w:t>
      </w:r>
    </w:p>
    <w:p w14:paraId="10D4DC31" w14:textId="77777777" w:rsidR="00DE6064" w:rsidRDefault="00DE6064" w:rsidP="00DE6064">
      <w:pPr>
        <w:pStyle w:val="ZADEVA"/>
        <w:jc w:val="both"/>
        <w:rPr>
          <w:rFonts w:cs="Arial"/>
          <w:szCs w:val="20"/>
          <w:lang w:val="sl-SI"/>
        </w:rPr>
      </w:pPr>
    </w:p>
    <w:p w14:paraId="6D90E4D3" w14:textId="77777777" w:rsidR="00DE6064" w:rsidRDefault="00DE6064" w:rsidP="00DE6064">
      <w:pPr>
        <w:pStyle w:val="ZADEVA"/>
        <w:jc w:val="both"/>
        <w:rPr>
          <w:rFonts w:cs="Arial"/>
          <w:szCs w:val="20"/>
          <w:lang w:val="sl-SI"/>
        </w:rPr>
      </w:pPr>
    </w:p>
    <w:p w14:paraId="3105BA50" w14:textId="77777777" w:rsidR="00DE6064" w:rsidRDefault="00DE6064" w:rsidP="00DE6064">
      <w:pPr>
        <w:pStyle w:val="ZADEVA"/>
        <w:jc w:val="both"/>
        <w:rPr>
          <w:rFonts w:cs="Arial"/>
          <w:szCs w:val="20"/>
          <w:lang w:val="sl-SI"/>
        </w:rPr>
      </w:pPr>
    </w:p>
    <w:p w14:paraId="5A3201AD" w14:textId="77777777" w:rsidR="00DE6064" w:rsidRDefault="00DE6064" w:rsidP="00DE6064">
      <w:pPr>
        <w:pStyle w:val="ZADEVA"/>
        <w:jc w:val="both"/>
        <w:rPr>
          <w:rFonts w:cs="Arial"/>
          <w:szCs w:val="20"/>
          <w:lang w:val="sl-SI"/>
        </w:rPr>
      </w:pPr>
    </w:p>
    <w:p w14:paraId="3863DD49" w14:textId="77777777" w:rsidR="00DE6064" w:rsidRDefault="00DE6064" w:rsidP="00DE6064">
      <w:pPr>
        <w:pStyle w:val="ZADEVA"/>
        <w:jc w:val="both"/>
        <w:rPr>
          <w:rFonts w:cs="Arial"/>
          <w:szCs w:val="20"/>
          <w:lang w:val="sl-SI"/>
        </w:rPr>
      </w:pPr>
    </w:p>
    <w:p w14:paraId="2E1E3DB0" w14:textId="77777777" w:rsidR="00A76F9D" w:rsidRDefault="00A76F9D" w:rsidP="00A76F9D">
      <w:pPr>
        <w:pStyle w:val="datumtevilka"/>
      </w:pPr>
    </w:p>
    <w:p w14:paraId="4FB82888" w14:textId="77777777" w:rsidR="00A76F9D" w:rsidRDefault="00A76F9D" w:rsidP="00A76F9D">
      <w:pPr>
        <w:pStyle w:val="datumtevilka"/>
      </w:pPr>
    </w:p>
    <w:p w14:paraId="7E4C9AE3" w14:textId="4A8EC55F" w:rsidR="00A76F9D" w:rsidRPr="00202A77" w:rsidRDefault="00A76F9D" w:rsidP="00A76F9D">
      <w:pPr>
        <w:pStyle w:val="datumtevilka"/>
      </w:pPr>
      <w:r w:rsidRPr="00202A77">
        <w:t xml:space="preserve">Datum: </w:t>
      </w:r>
      <w:r w:rsidRPr="00202A77">
        <w:tab/>
      </w:r>
      <w:r>
        <w:t>22. 7. 2021</w:t>
      </w:r>
      <w:r w:rsidRPr="00202A77">
        <w:t xml:space="preserve"> </w:t>
      </w:r>
    </w:p>
    <w:p w14:paraId="5E4F61F6" w14:textId="77777777" w:rsidR="00DE6064" w:rsidRDefault="00DE6064" w:rsidP="00DE6064">
      <w:pPr>
        <w:pStyle w:val="ZADEVA"/>
        <w:jc w:val="both"/>
        <w:rPr>
          <w:rFonts w:cs="Arial"/>
          <w:szCs w:val="20"/>
          <w:lang w:val="sl-SI"/>
        </w:rPr>
      </w:pPr>
    </w:p>
    <w:p w14:paraId="24E5DEE0" w14:textId="77777777" w:rsidR="00A76F9D" w:rsidRDefault="00A76F9D" w:rsidP="00A76F9D">
      <w:pPr>
        <w:tabs>
          <w:tab w:val="left" w:pos="1701"/>
        </w:tabs>
        <w:spacing w:after="0" w:line="260" w:lineRule="exact"/>
        <w:jc w:val="both"/>
        <w:rPr>
          <w:rFonts w:ascii="Arial" w:eastAsia="Times New Roman" w:hAnsi="Arial" w:cs="Times New Roman"/>
          <w:b/>
          <w:sz w:val="20"/>
          <w:szCs w:val="24"/>
        </w:rPr>
      </w:pPr>
    </w:p>
    <w:p w14:paraId="386789FB" w14:textId="018E9E16" w:rsidR="00DE6064" w:rsidRPr="00DE6064" w:rsidRDefault="00DE6064" w:rsidP="00DE6064">
      <w:pPr>
        <w:tabs>
          <w:tab w:val="left" w:pos="1701"/>
        </w:tabs>
        <w:spacing w:after="0" w:line="260" w:lineRule="exact"/>
        <w:ind w:left="1701" w:hanging="1701"/>
        <w:jc w:val="both"/>
        <w:rPr>
          <w:rFonts w:ascii="Arial" w:eastAsia="Times New Roman" w:hAnsi="Arial" w:cs="Times New Roman"/>
          <w:b/>
          <w:sz w:val="20"/>
          <w:szCs w:val="24"/>
        </w:rPr>
      </w:pPr>
      <w:r w:rsidRPr="00DE6064">
        <w:rPr>
          <w:rFonts w:ascii="Arial" w:eastAsia="Times New Roman" w:hAnsi="Arial" w:cs="Times New Roman"/>
          <w:b/>
          <w:sz w:val="20"/>
          <w:szCs w:val="24"/>
        </w:rPr>
        <w:t xml:space="preserve">Zadeva: </w:t>
      </w:r>
      <w:r w:rsidRPr="00DE6064">
        <w:rPr>
          <w:rFonts w:ascii="Arial" w:eastAsia="Times New Roman" w:hAnsi="Arial" w:cs="Times New Roman"/>
          <w:b/>
          <w:sz w:val="20"/>
          <w:szCs w:val="24"/>
        </w:rPr>
        <w:tab/>
      </w:r>
      <w:r>
        <w:rPr>
          <w:rFonts w:ascii="Arial" w:eastAsia="Times New Roman" w:hAnsi="Arial" w:cs="Times New Roman"/>
          <w:b/>
          <w:sz w:val="20"/>
          <w:szCs w:val="24"/>
        </w:rPr>
        <w:t xml:space="preserve">Pojasnila </w:t>
      </w:r>
      <w:r w:rsidR="00CB1BE8">
        <w:rPr>
          <w:rFonts w:ascii="Arial" w:eastAsia="Times New Roman" w:hAnsi="Arial" w:cs="Times New Roman"/>
          <w:b/>
          <w:sz w:val="20"/>
          <w:szCs w:val="24"/>
        </w:rPr>
        <w:t xml:space="preserve">občinam in upravnim enotam </w:t>
      </w:r>
      <w:r>
        <w:rPr>
          <w:rFonts w:ascii="Arial" w:eastAsia="Times New Roman" w:hAnsi="Arial" w:cs="Times New Roman"/>
          <w:b/>
          <w:sz w:val="20"/>
          <w:szCs w:val="24"/>
        </w:rPr>
        <w:t>v</w:t>
      </w:r>
      <w:r w:rsidRPr="00DE6064">
        <w:rPr>
          <w:rFonts w:ascii="Arial" w:eastAsia="Times New Roman" w:hAnsi="Arial" w:cs="Times New Roman"/>
          <w:b/>
          <w:sz w:val="20"/>
          <w:szCs w:val="24"/>
        </w:rPr>
        <w:t xml:space="preserve"> zvezi z izplačilom dodatka za nevarnost in posebne</w:t>
      </w:r>
      <w:r>
        <w:rPr>
          <w:rFonts w:ascii="Arial" w:eastAsia="Times New Roman" w:hAnsi="Arial" w:cs="Times New Roman"/>
          <w:b/>
          <w:sz w:val="20"/>
          <w:szCs w:val="24"/>
        </w:rPr>
        <w:t xml:space="preserve"> </w:t>
      </w:r>
      <w:r w:rsidRPr="00DE6064">
        <w:rPr>
          <w:rFonts w:ascii="Arial" w:eastAsia="Times New Roman" w:hAnsi="Arial" w:cs="Times New Roman"/>
          <w:b/>
          <w:sz w:val="20"/>
          <w:szCs w:val="24"/>
        </w:rPr>
        <w:t>obremenitve v času epidemije COVID-19 po 42. členu Zakona o nujnih ukrepih na področju</w:t>
      </w:r>
      <w:r>
        <w:rPr>
          <w:rFonts w:ascii="Arial" w:eastAsia="Times New Roman" w:hAnsi="Arial" w:cs="Times New Roman"/>
          <w:b/>
          <w:sz w:val="20"/>
          <w:szCs w:val="24"/>
        </w:rPr>
        <w:t xml:space="preserve"> </w:t>
      </w:r>
      <w:r w:rsidRPr="00DE6064">
        <w:rPr>
          <w:rFonts w:ascii="Arial" w:eastAsia="Times New Roman" w:hAnsi="Arial" w:cs="Times New Roman"/>
          <w:b/>
          <w:sz w:val="20"/>
          <w:szCs w:val="24"/>
        </w:rPr>
        <w:t>zdravstva</w:t>
      </w:r>
    </w:p>
    <w:p w14:paraId="77254264" w14:textId="0339A79F" w:rsidR="00DE6064" w:rsidRDefault="00DE6064" w:rsidP="00DE6064">
      <w:pPr>
        <w:spacing w:after="0" w:line="260" w:lineRule="exact"/>
        <w:rPr>
          <w:rFonts w:ascii="Arial" w:eastAsia="Times New Roman" w:hAnsi="Arial" w:cs="Times New Roman"/>
          <w:sz w:val="20"/>
          <w:szCs w:val="24"/>
        </w:rPr>
      </w:pPr>
    </w:p>
    <w:p w14:paraId="393758EF" w14:textId="69C4DC7C" w:rsidR="00246679" w:rsidRDefault="00246679" w:rsidP="00DE6064">
      <w:pPr>
        <w:spacing w:after="0" w:line="260" w:lineRule="exact"/>
        <w:rPr>
          <w:rFonts w:ascii="Arial" w:eastAsia="Times New Roman" w:hAnsi="Arial" w:cs="Times New Roman"/>
          <w:sz w:val="20"/>
          <w:szCs w:val="24"/>
        </w:rPr>
      </w:pPr>
      <w:r>
        <w:rPr>
          <w:rFonts w:ascii="Arial" w:eastAsia="Times New Roman" w:hAnsi="Arial" w:cs="Times New Roman"/>
          <w:sz w:val="20"/>
          <w:szCs w:val="24"/>
        </w:rPr>
        <w:t>Spoštovani,</w:t>
      </w:r>
    </w:p>
    <w:p w14:paraId="26296A1C" w14:textId="77777777" w:rsidR="00A76F9D" w:rsidRDefault="00A76F9D" w:rsidP="00D50E70">
      <w:pPr>
        <w:tabs>
          <w:tab w:val="left" w:pos="1701"/>
        </w:tabs>
        <w:spacing w:after="0" w:line="260" w:lineRule="exact"/>
        <w:jc w:val="both"/>
        <w:rPr>
          <w:rFonts w:ascii="Arial" w:eastAsia="Times New Roman" w:hAnsi="Arial" w:cs="Arial"/>
          <w:bCs/>
          <w:sz w:val="20"/>
          <w:szCs w:val="20"/>
        </w:rPr>
      </w:pPr>
    </w:p>
    <w:p w14:paraId="562748A2" w14:textId="36D861B7" w:rsidR="00D50E70" w:rsidRDefault="00246679" w:rsidP="00D50E70">
      <w:pPr>
        <w:tabs>
          <w:tab w:val="left" w:pos="1701"/>
        </w:tabs>
        <w:spacing w:after="0" w:line="260" w:lineRule="exact"/>
        <w:jc w:val="both"/>
        <w:rPr>
          <w:rFonts w:ascii="Arial" w:eastAsia="Times New Roman" w:hAnsi="Arial" w:cs="Arial"/>
          <w:bCs/>
          <w:sz w:val="20"/>
          <w:szCs w:val="20"/>
        </w:rPr>
      </w:pPr>
      <w:r>
        <w:rPr>
          <w:rFonts w:ascii="Arial" w:eastAsia="Times New Roman" w:hAnsi="Arial" w:cs="Arial"/>
          <w:bCs/>
          <w:sz w:val="20"/>
          <w:szCs w:val="20"/>
        </w:rPr>
        <w:t>s</w:t>
      </w:r>
      <w:r w:rsidR="00D50E70" w:rsidRPr="00D50E70">
        <w:rPr>
          <w:rFonts w:ascii="Arial" w:eastAsia="Times New Roman" w:hAnsi="Arial" w:cs="Arial"/>
          <w:bCs/>
          <w:sz w:val="20"/>
          <w:szCs w:val="20"/>
        </w:rPr>
        <w:t xml:space="preserve">kladno z 42. členom </w:t>
      </w:r>
      <w:r w:rsidRPr="00246679">
        <w:rPr>
          <w:rFonts w:ascii="Arial" w:eastAsia="Times New Roman" w:hAnsi="Arial" w:cs="Arial"/>
          <w:bCs/>
          <w:sz w:val="20"/>
          <w:szCs w:val="20"/>
        </w:rPr>
        <w:t>Zakona o nujnih ukrepih na področju zdravstva (Uradni list RS, št. 112/21: v nadaljnjem besedilu: ZNUPZ)</w:t>
      </w:r>
      <w:r w:rsidR="00D50E70" w:rsidRPr="00D50E70">
        <w:rPr>
          <w:rFonts w:ascii="Arial" w:eastAsia="Times New Roman" w:hAnsi="Arial" w:cs="Arial"/>
          <w:bCs/>
          <w:sz w:val="20"/>
          <w:szCs w:val="20"/>
        </w:rPr>
        <w:t xml:space="preserve"> funkcionarjem plačne podskupine A5, kot</w:t>
      </w:r>
      <w:r w:rsidR="00D50E70" w:rsidRPr="00D50E70">
        <w:rPr>
          <w:rFonts w:ascii="Arial" w:eastAsia="Times New Roman" w:hAnsi="Arial" w:cs="Arial"/>
          <w:bCs/>
          <w:spacing w:val="-2"/>
          <w:sz w:val="20"/>
          <w:szCs w:val="20"/>
        </w:rPr>
        <w:t xml:space="preserve"> </w:t>
      </w:r>
      <w:r w:rsidR="00D50E70" w:rsidRPr="00D50E70">
        <w:rPr>
          <w:rFonts w:ascii="Arial" w:eastAsia="Times New Roman" w:hAnsi="Arial" w:cs="Arial"/>
          <w:bCs/>
          <w:sz w:val="20"/>
          <w:szCs w:val="20"/>
        </w:rPr>
        <w:t>jih določa Priloga 3 ZSPJS ter županom in podžupanom, ki funkcijo opravljajo nepoklicno,</w:t>
      </w:r>
      <w:r w:rsidR="00D50E70" w:rsidRPr="00D50E70">
        <w:rPr>
          <w:rFonts w:ascii="Arial" w:eastAsia="Times New Roman" w:hAnsi="Arial" w:cs="Arial"/>
          <w:bCs/>
          <w:spacing w:val="-2"/>
          <w:sz w:val="20"/>
          <w:szCs w:val="20"/>
        </w:rPr>
        <w:t xml:space="preserve"> </w:t>
      </w:r>
      <w:r w:rsidR="00D50E70" w:rsidRPr="00D50E70">
        <w:rPr>
          <w:rFonts w:ascii="Arial" w:eastAsia="Times New Roman" w:hAnsi="Arial" w:cs="Arial"/>
          <w:bCs/>
          <w:sz w:val="20"/>
          <w:szCs w:val="20"/>
        </w:rPr>
        <w:t>v času razglašene epidemije COVID-19 pripada dodatek za nevarnost in posebne</w:t>
      </w:r>
      <w:r w:rsidR="00D50E70" w:rsidRPr="00D50E70">
        <w:rPr>
          <w:rFonts w:ascii="Arial" w:eastAsia="Times New Roman" w:hAnsi="Arial" w:cs="Arial"/>
          <w:bCs/>
          <w:spacing w:val="-2"/>
          <w:sz w:val="20"/>
          <w:szCs w:val="20"/>
        </w:rPr>
        <w:t xml:space="preserve"> </w:t>
      </w:r>
      <w:r w:rsidR="00D50E70" w:rsidRPr="00D50E70">
        <w:rPr>
          <w:rFonts w:ascii="Arial" w:eastAsia="Times New Roman" w:hAnsi="Arial" w:cs="Arial"/>
          <w:bCs/>
          <w:sz w:val="20"/>
          <w:szCs w:val="20"/>
        </w:rPr>
        <w:t>obremenitve v višini 200 eurov mesečno. Če funkcije ne opravljajo ves koledarski mesec</w:t>
      </w:r>
      <w:r w:rsidR="00D50E70" w:rsidRPr="00D50E70">
        <w:rPr>
          <w:rFonts w:ascii="Arial" w:eastAsia="Times New Roman" w:hAnsi="Arial" w:cs="Arial"/>
          <w:bCs/>
          <w:spacing w:val="-2"/>
          <w:sz w:val="20"/>
          <w:szCs w:val="20"/>
        </w:rPr>
        <w:t xml:space="preserve"> </w:t>
      </w:r>
      <w:r w:rsidR="00D50E70" w:rsidRPr="00D50E70">
        <w:rPr>
          <w:rFonts w:ascii="Arial" w:eastAsia="Times New Roman" w:hAnsi="Arial" w:cs="Arial"/>
          <w:bCs/>
          <w:sz w:val="20"/>
          <w:szCs w:val="20"/>
        </w:rPr>
        <w:t>oziroma če epidemija COVID-19 ni razglašena za ves koledarski mesec, so upravičeni do sorazmernega dela dodatka, glede na število dni opravljanja funkcije v posameznem koledarskem mesecu in glede na število dni razglašene epidemije COVID-19 v posameznem koledarskem mesecu. Dodatek v isti višini in pod enakimi pogoji pripada tudi direktorjem občinskih uprav in načelnikom upravnih enot. Ne glede na določbe zakonov, ki urejajo osnovo za nadomestilo plače za čas odsotnosti z dela, se dodatek ne všteva v osnovo za nadomestilo plače za čas odsotnosti z dela. Sredstva za financiranje dodatka se zagotovijo v proračunu Republike Slovenije. Zahtevki za izplačilo sredstev se vložijo pri ministrstvu, pristojnem za finance. Način izstavitve zahtevkov in roke izplačil določi minister, pristojen za finance. Zahtevki za izplačilo sredstev za obdobje od 19. oktobra 2020 do 15. junija 2021 se vložijo najpozneje do 31. julija 2021. Dodatek funkcionarjem plačne podskupine A5 in županom ter podžupanom, ki funkcijo opravljajo nepoklicno, direktorjem občinskih uprav in načelnikom upravnih enot pripada za obdobje od 19. oktobra 2020 do 15. junija 2021 in se izplača najpozneje do 31. avgusta 2021.</w:t>
      </w:r>
    </w:p>
    <w:p w14:paraId="4EA4E576" w14:textId="2703CC4A" w:rsidR="00246679" w:rsidRDefault="00246679" w:rsidP="00D50E70">
      <w:pPr>
        <w:tabs>
          <w:tab w:val="left" w:pos="1701"/>
        </w:tabs>
        <w:spacing w:after="0" w:line="260" w:lineRule="exact"/>
        <w:jc w:val="both"/>
        <w:rPr>
          <w:rFonts w:ascii="Arial" w:eastAsia="Times New Roman" w:hAnsi="Arial" w:cs="Arial"/>
          <w:bCs/>
          <w:sz w:val="20"/>
          <w:szCs w:val="20"/>
        </w:rPr>
      </w:pPr>
    </w:p>
    <w:p w14:paraId="57C1065A" w14:textId="72A3D94D" w:rsidR="00246679" w:rsidRPr="00D50E70" w:rsidRDefault="00246679" w:rsidP="00D50E70">
      <w:pPr>
        <w:tabs>
          <w:tab w:val="left" w:pos="1701"/>
        </w:tabs>
        <w:spacing w:after="0" w:line="260" w:lineRule="exact"/>
        <w:jc w:val="both"/>
        <w:rPr>
          <w:rFonts w:ascii="Arial" w:eastAsia="Times New Roman" w:hAnsi="Arial" w:cs="Arial"/>
          <w:bCs/>
          <w:sz w:val="20"/>
          <w:szCs w:val="20"/>
        </w:rPr>
      </w:pPr>
      <w:r>
        <w:rPr>
          <w:rFonts w:ascii="Arial" w:eastAsia="Times New Roman" w:hAnsi="Arial" w:cs="Arial"/>
          <w:bCs/>
          <w:sz w:val="20"/>
          <w:szCs w:val="20"/>
        </w:rPr>
        <w:t>Glede načina vlaganja zahtevkov vas napotujemo na spletno stran Ministrstva za finance,</w:t>
      </w:r>
      <w:r w:rsidR="00CB1BE8" w:rsidRPr="00CB1BE8">
        <w:t xml:space="preserve"> </w:t>
      </w:r>
      <w:hyperlink r:id="rId8" w:history="1">
        <w:r w:rsidR="00CB1BE8" w:rsidRPr="000316C9">
          <w:rPr>
            <w:rStyle w:val="Hiperpovezava"/>
            <w:rFonts w:ascii="Arial" w:eastAsia="Times New Roman" w:hAnsi="Arial" w:cs="Arial"/>
            <w:bCs/>
            <w:sz w:val="20"/>
            <w:szCs w:val="20"/>
          </w:rPr>
          <w:t>https://www.gov.si/teme/financiranje-obcin/</w:t>
        </w:r>
      </w:hyperlink>
      <w:r w:rsidR="00CB1BE8">
        <w:rPr>
          <w:rFonts w:ascii="Arial" w:eastAsia="Times New Roman" w:hAnsi="Arial" w:cs="Arial"/>
          <w:bCs/>
          <w:sz w:val="20"/>
          <w:szCs w:val="20"/>
        </w:rPr>
        <w:t>.</w:t>
      </w:r>
      <w:r>
        <w:rPr>
          <w:rFonts w:ascii="Arial" w:eastAsia="Times New Roman" w:hAnsi="Arial" w:cs="Arial"/>
          <w:bCs/>
          <w:sz w:val="20"/>
          <w:szCs w:val="20"/>
        </w:rPr>
        <w:t xml:space="preserve"> Služba za upravne enote pa je dne 21. 7. 2021 </w:t>
      </w:r>
      <w:r w:rsidR="00477DE2">
        <w:rPr>
          <w:rFonts w:ascii="Arial" w:eastAsia="Times New Roman" w:hAnsi="Arial" w:cs="Arial"/>
          <w:bCs/>
          <w:sz w:val="20"/>
          <w:szCs w:val="20"/>
        </w:rPr>
        <w:t xml:space="preserve">navodila posredovala </w:t>
      </w:r>
      <w:r>
        <w:rPr>
          <w:rFonts w:ascii="Arial" w:eastAsia="Times New Roman" w:hAnsi="Arial" w:cs="Arial"/>
          <w:bCs/>
          <w:sz w:val="20"/>
          <w:szCs w:val="20"/>
        </w:rPr>
        <w:t>upravn</w:t>
      </w:r>
      <w:r w:rsidR="00477DE2">
        <w:rPr>
          <w:rFonts w:ascii="Arial" w:eastAsia="Times New Roman" w:hAnsi="Arial" w:cs="Arial"/>
          <w:bCs/>
          <w:sz w:val="20"/>
          <w:szCs w:val="20"/>
        </w:rPr>
        <w:t xml:space="preserve">im </w:t>
      </w:r>
      <w:r>
        <w:rPr>
          <w:rFonts w:ascii="Arial" w:eastAsia="Times New Roman" w:hAnsi="Arial" w:cs="Arial"/>
          <w:bCs/>
          <w:sz w:val="20"/>
          <w:szCs w:val="20"/>
        </w:rPr>
        <w:t>enot</w:t>
      </w:r>
      <w:r w:rsidR="00477DE2">
        <w:rPr>
          <w:rFonts w:ascii="Arial" w:eastAsia="Times New Roman" w:hAnsi="Arial" w:cs="Arial"/>
          <w:bCs/>
          <w:sz w:val="20"/>
          <w:szCs w:val="20"/>
        </w:rPr>
        <w:t>am.</w:t>
      </w:r>
      <w:r>
        <w:rPr>
          <w:rFonts w:ascii="Arial" w:eastAsia="Times New Roman" w:hAnsi="Arial" w:cs="Arial"/>
          <w:bCs/>
          <w:sz w:val="20"/>
          <w:szCs w:val="20"/>
        </w:rPr>
        <w:t xml:space="preserve"> </w:t>
      </w:r>
    </w:p>
    <w:p w14:paraId="3C1A4A6A" w14:textId="2D28332E" w:rsidR="00D50E70" w:rsidRDefault="00D50E70" w:rsidP="00D50E70">
      <w:pPr>
        <w:tabs>
          <w:tab w:val="left" w:pos="1701"/>
        </w:tabs>
        <w:spacing w:after="0" w:line="260" w:lineRule="exact"/>
        <w:jc w:val="both"/>
        <w:rPr>
          <w:rFonts w:ascii="Arial" w:eastAsia="Times New Roman" w:hAnsi="Arial" w:cs="Arial"/>
          <w:bCs/>
          <w:sz w:val="20"/>
          <w:szCs w:val="20"/>
        </w:rPr>
      </w:pPr>
    </w:p>
    <w:p w14:paraId="7A402ADF" w14:textId="53DA980A" w:rsidR="00477DE2" w:rsidRDefault="00477DE2" w:rsidP="00D50E70">
      <w:pPr>
        <w:tabs>
          <w:tab w:val="left" w:pos="1701"/>
        </w:tabs>
        <w:spacing w:after="0" w:line="260" w:lineRule="exact"/>
        <w:jc w:val="both"/>
        <w:rPr>
          <w:rFonts w:ascii="Arial" w:eastAsia="Times New Roman" w:hAnsi="Arial" w:cs="Arial"/>
          <w:bCs/>
          <w:sz w:val="20"/>
          <w:szCs w:val="20"/>
        </w:rPr>
      </w:pPr>
      <w:r w:rsidRPr="00477DE2">
        <w:rPr>
          <w:rFonts w:ascii="Arial" w:eastAsia="Times New Roman" w:hAnsi="Arial" w:cs="Arial"/>
          <w:b/>
          <w:sz w:val="20"/>
          <w:szCs w:val="20"/>
        </w:rPr>
        <w:t xml:space="preserve">V nadaljevanju posredujemo </w:t>
      </w:r>
      <w:r w:rsidR="0088710B">
        <w:rPr>
          <w:rFonts w:ascii="Arial" w:eastAsia="Times New Roman" w:hAnsi="Arial" w:cs="Arial"/>
          <w:b/>
          <w:sz w:val="20"/>
          <w:szCs w:val="20"/>
        </w:rPr>
        <w:t xml:space="preserve">odgovore </w:t>
      </w:r>
      <w:r w:rsidRPr="00477DE2">
        <w:rPr>
          <w:rFonts w:ascii="Arial" w:eastAsia="Times New Roman" w:hAnsi="Arial" w:cs="Arial"/>
          <w:b/>
          <w:sz w:val="20"/>
          <w:szCs w:val="20"/>
        </w:rPr>
        <w:t xml:space="preserve">na </w:t>
      </w:r>
      <w:r w:rsidR="0088710B">
        <w:rPr>
          <w:rFonts w:ascii="Arial" w:eastAsia="Times New Roman" w:hAnsi="Arial" w:cs="Arial"/>
          <w:b/>
          <w:sz w:val="20"/>
          <w:szCs w:val="20"/>
        </w:rPr>
        <w:t xml:space="preserve">najpogostejša </w:t>
      </w:r>
      <w:r w:rsidRPr="00477DE2">
        <w:rPr>
          <w:rFonts w:ascii="Arial" w:eastAsia="Times New Roman" w:hAnsi="Arial" w:cs="Arial"/>
          <w:b/>
          <w:sz w:val="20"/>
          <w:szCs w:val="20"/>
        </w:rPr>
        <w:t>vprašanja</w:t>
      </w:r>
      <w:r w:rsidR="008410B0">
        <w:rPr>
          <w:rFonts w:ascii="Arial" w:eastAsia="Times New Roman" w:hAnsi="Arial" w:cs="Arial"/>
          <w:b/>
          <w:sz w:val="20"/>
          <w:szCs w:val="20"/>
        </w:rPr>
        <w:t xml:space="preserve">, ki smo jih prejeli </w:t>
      </w:r>
      <w:r w:rsidR="00974670">
        <w:rPr>
          <w:rFonts w:ascii="Arial" w:eastAsia="Times New Roman" w:hAnsi="Arial" w:cs="Arial"/>
          <w:b/>
          <w:sz w:val="20"/>
          <w:szCs w:val="20"/>
        </w:rPr>
        <w:t>v zvezi z 42. členom ZNUPZ</w:t>
      </w:r>
      <w:r>
        <w:rPr>
          <w:rFonts w:ascii="Arial" w:eastAsia="Times New Roman" w:hAnsi="Arial" w:cs="Arial"/>
          <w:bCs/>
          <w:sz w:val="20"/>
          <w:szCs w:val="20"/>
        </w:rPr>
        <w:t>:</w:t>
      </w:r>
    </w:p>
    <w:p w14:paraId="76F842D1" w14:textId="77777777" w:rsidR="00477DE2" w:rsidRPr="00D50E70" w:rsidRDefault="00477DE2" w:rsidP="00D50E70">
      <w:pPr>
        <w:tabs>
          <w:tab w:val="left" w:pos="1701"/>
        </w:tabs>
        <w:spacing w:after="0" w:line="260" w:lineRule="exact"/>
        <w:jc w:val="both"/>
        <w:rPr>
          <w:rFonts w:ascii="Arial" w:eastAsia="Times New Roman" w:hAnsi="Arial" w:cs="Arial"/>
          <w:bCs/>
          <w:sz w:val="20"/>
          <w:szCs w:val="20"/>
        </w:rPr>
      </w:pPr>
    </w:p>
    <w:p w14:paraId="57A59CFF" w14:textId="49493603" w:rsidR="00D50E70" w:rsidRPr="00D50E70" w:rsidRDefault="007820ED" w:rsidP="00D50E70">
      <w:pPr>
        <w:tabs>
          <w:tab w:val="left" w:pos="1701"/>
        </w:tabs>
        <w:spacing w:after="0" w:line="260" w:lineRule="exact"/>
        <w:jc w:val="both"/>
        <w:rPr>
          <w:rFonts w:ascii="Arial" w:eastAsia="Times New Roman" w:hAnsi="Arial" w:cs="Times New Roman"/>
          <w:bCs/>
          <w:sz w:val="20"/>
          <w:szCs w:val="24"/>
        </w:rPr>
      </w:pPr>
      <w:r w:rsidRPr="00A76F9D">
        <w:rPr>
          <w:rFonts w:ascii="Arial" w:eastAsia="Times New Roman" w:hAnsi="Arial" w:cs="Arial"/>
          <w:b/>
          <w:sz w:val="20"/>
          <w:szCs w:val="20"/>
        </w:rPr>
        <w:t>a)</w:t>
      </w:r>
      <w:r>
        <w:rPr>
          <w:rFonts w:ascii="Arial" w:eastAsia="Times New Roman" w:hAnsi="Arial" w:cs="Arial"/>
          <w:bCs/>
          <w:sz w:val="20"/>
          <w:szCs w:val="20"/>
        </w:rPr>
        <w:t xml:space="preserve"> </w:t>
      </w:r>
      <w:r w:rsidR="00477DE2">
        <w:rPr>
          <w:rFonts w:ascii="Arial" w:eastAsia="Times New Roman" w:hAnsi="Arial" w:cs="Arial"/>
          <w:bCs/>
          <w:sz w:val="20"/>
          <w:szCs w:val="20"/>
        </w:rPr>
        <w:t>D</w:t>
      </w:r>
      <w:r w:rsidR="00D50E70" w:rsidRPr="00D50E70">
        <w:rPr>
          <w:rFonts w:ascii="Arial" w:eastAsia="Times New Roman" w:hAnsi="Arial" w:cs="Arial"/>
          <w:bCs/>
          <w:sz w:val="20"/>
          <w:szCs w:val="20"/>
        </w:rPr>
        <w:t xml:space="preserve">odatki v zakonskih določbah in kolektivnih pogodbah </w:t>
      </w:r>
      <w:r w:rsidR="00477DE2">
        <w:rPr>
          <w:rFonts w:ascii="Arial" w:eastAsia="Times New Roman" w:hAnsi="Arial" w:cs="Arial"/>
          <w:bCs/>
          <w:sz w:val="20"/>
          <w:szCs w:val="20"/>
        </w:rPr>
        <w:t xml:space="preserve">so </w:t>
      </w:r>
      <w:r w:rsidR="00D50E70" w:rsidRPr="00D50E70">
        <w:rPr>
          <w:rFonts w:ascii="Arial" w:eastAsia="Times New Roman" w:hAnsi="Arial" w:cs="Arial"/>
          <w:bCs/>
          <w:sz w:val="20"/>
          <w:szCs w:val="20"/>
        </w:rPr>
        <w:t xml:space="preserve">določeni v bruto znesku. V tistih primerih, ko zakon določa, da se od dodatka ne plačajo </w:t>
      </w:r>
      <w:r w:rsidR="00D50E70" w:rsidRPr="00D50E70">
        <w:rPr>
          <w:rFonts w:ascii="Arial" w:eastAsia="Times New Roman" w:hAnsi="Arial" w:cs="Times New Roman"/>
          <w:bCs/>
          <w:sz w:val="20"/>
          <w:szCs w:val="24"/>
          <w:lang w:val="x-none"/>
        </w:rPr>
        <w:t>davk</w:t>
      </w:r>
      <w:r w:rsidR="00D50E70" w:rsidRPr="00D50E70">
        <w:rPr>
          <w:rFonts w:ascii="Arial" w:eastAsia="Times New Roman" w:hAnsi="Arial" w:cs="Times New Roman"/>
          <w:bCs/>
          <w:sz w:val="20"/>
          <w:szCs w:val="24"/>
        </w:rPr>
        <w:t>i</w:t>
      </w:r>
      <w:r w:rsidR="00D50E70" w:rsidRPr="00D50E70">
        <w:rPr>
          <w:rFonts w:ascii="Arial" w:eastAsia="Times New Roman" w:hAnsi="Arial" w:cs="Times New Roman"/>
          <w:bCs/>
          <w:sz w:val="20"/>
          <w:szCs w:val="24"/>
          <w:lang w:val="x-none"/>
        </w:rPr>
        <w:t xml:space="preserve"> in prispevk</w:t>
      </w:r>
      <w:r w:rsidR="00D50E70" w:rsidRPr="00D50E70">
        <w:rPr>
          <w:rFonts w:ascii="Arial" w:eastAsia="Times New Roman" w:hAnsi="Arial" w:cs="Times New Roman"/>
          <w:bCs/>
          <w:sz w:val="20"/>
          <w:szCs w:val="24"/>
        </w:rPr>
        <w:t xml:space="preserve">i, pa je bruto znesek enak neto znesku izplačila dodatka. Glede na to, da določba 42. člen ZNUPZ ne določa, da je dodatek oproščen plačila davkov in prispevkov, se od I. bruto zneska dodatka, ki je določen v nominalni višini 200 EUR, plačajo davki in prispevki delavca in delodajalca. Navedeno pomeni, da je treba I. bruto povečati za 16,10 %, </w:t>
      </w:r>
      <w:r w:rsidR="00D50E70" w:rsidRPr="00D50E70">
        <w:rPr>
          <w:rFonts w:ascii="Arial" w:eastAsia="Times New Roman" w:hAnsi="Arial" w:cs="Times New Roman"/>
          <w:bCs/>
          <w:sz w:val="20"/>
          <w:szCs w:val="24"/>
        </w:rPr>
        <w:lastRenderedPageBreak/>
        <w:t>kolikor znašajo prispevki delodajalca.</w:t>
      </w:r>
      <w:r w:rsidR="00477DE2" w:rsidRPr="00477DE2">
        <w:rPr>
          <w:rFonts w:ascii="Arial" w:eastAsia="Times New Roman" w:hAnsi="Arial" w:cs="Arial"/>
          <w:bCs/>
          <w:sz w:val="20"/>
          <w:szCs w:val="20"/>
        </w:rPr>
        <w:t xml:space="preserve"> </w:t>
      </w:r>
      <w:r w:rsidR="00477DE2" w:rsidRPr="00D50E70">
        <w:rPr>
          <w:rFonts w:ascii="Arial" w:eastAsia="Times New Roman" w:hAnsi="Arial" w:cs="Arial"/>
          <w:bCs/>
          <w:sz w:val="20"/>
          <w:szCs w:val="20"/>
        </w:rPr>
        <w:t>ZNUPZ v 42. členu</w:t>
      </w:r>
      <w:r w:rsidR="00477DE2">
        <w:rPr>
          <w:rFonts w:ascii="Arial" w:eastAsia="Times New Roman" w:hAnsi="Arial" w:cs="Arial"/>
          <w:bCs/>
          <w:sz w:val="20"/>
          <w:szCs w:val="20"/>
        </w:rPr>
        <w:t xml:space="preserve"> torej</w:t>
      </w:r>
      <w:r w:rsidR="00477DE2" w:rsidRPr="00D50E70">
        <w:rPr>
          <w:rFonts w:ascii="Arial" w:eastAsia="Times New Roman" w:hAnsi="Arial" w:cs="Arial"/>
          <w:bCs/>
          <w:sz w:val="20"/>
          <w:szCs w:val="20"/>
        </w:rPr>
        <w:t xml:space="preserve"> določa bruto višino dodatka (I. bruto), od tega zneska se plačajo davki in prispevki, delodajalcu pa se na podlagi vloženega zahtevka povrne bruto </w:t>
      </w:r>
      <w:proofErr w:type="spellStart"/>
      <w:r w:rsidR="00477DE2" w:rsidRPr="00D50E70">
        <w:rPr>
          <w:rFonts w:ascii="Arial" w:eastAsia="Times New Roman" w:hAnsi="Arial" w:cs="Arial"/>
          <w:bCs/>
          <w:sz w:val="20"/>
          <w:szCs w:val="20"/>
        </w:rPr>
        <w:t>bruto</w:t>
      </w:r>
      <w:proofErr w:type="spellEnd"/>
      <w:r w:rsidR="00477DE2" w:rsidRPr="00D50E70">
        <w:rPr>
          <w:rFonts w:ascii="Arial" w:eastAsia="Times New Roman" w:hAnsi="Arial" w:cs="Arial"/>
          <w:bCs/>
          <w:sz w:val="20"/>
          <w:szCs w:val="20"/>
        </w:rPr>
        <w:t xml:space="preserve"> znesek izplačanega dodatka.</w:t>
      </w:r>
    </w:p>
    <w:p w14:paraId="44463515" w14:textId="77777777" w:rsidR="00D50E70" w:rsidRPr="00D50E70" w:rsidRDefault="00D50E70" w:rsidP="00D50E70">
      <w:pPr>
        <w:tabs>
          <w:tab w:val="left" w:pos="1701"/>
        </w:tabs>
        <w:spacing w:after="0" w:line="260" w:lineRule="exact"/>
        <w:jc w:val="both"/>
        <w:rPr>
          <w:rFonts w:ascii="Arial" w:eastAsia="Times New Roman" w:hAnsi="Arial" w:cs="Arial"/>
          <w:bCs/>
          <w:sz w:val="20"/>
          <w:szCs w:val="20"/>
        </w:rPr>
      </w:pPr>
    </w:p>
    <w:p w14:paraId="68374A09" w14:textId="3096DDE6" w:rsidR="00D50E70" w:rsidRPr="00D50E70" w:rsidRDefault="007820ED" w:rsidP="00D50E70">
      <w:pPr>
        <w:tabs>
          <w:tab w:val="left" w:pos="1701"/>
        </w:tabs>
        <w:spacing w:after="0" w:line="260" w:lineRule="exact"/>
        <w:jc w:val="both"/>
        <w:rPr>
          <w:rFonts w:ascii="Arial" w:eastAsia="Times New Roman" w:hAnsi="Arial" w:cs="Arial"/>
          <w:bCs/>
          <w:sz w:val="20"/>
          <w:szCs w:val="20"/>
        </w:rPr>
      </w:pPr>
      <w:r w:rsidRPr="00A76F9D">
        <w:rPr>
          <w:rFonts w:ascii="Arial" w:eastAsia="Times New Roman" w:hAnsi="Arial" w:cs="Arial"/>
          <w:b/>
          <w:sz w:val="20"/>
          <w:szCs w:val="20"/>
        </w:rPr>
        <w:t>b)</w:t>
      </w:r>
      <w:r>
        <w:rPr>
          <w:rFonts w:ascii="Arial" w:eastAsia="Times New Roman" w:hAnsi="Arial" w:cs="Arial"/>
          <w:bCs/>
          <w:sz w:val="20"/>
          <w:szCs w:val="20"/>
        </w:rPr>
        <w:t xml:space="preserve"> I</w:t>
      </w:r>
      <w:r w:rsidR="00D50E70" w:rsidRPr="00D50E70">
        <w:rPr>
          <w:rFonts w:ascii="Arial" w:eastAsia="Times New Roman" w:hAnsi="Arial" w:cs="Arial"/>
          <w:bCs/>
          <w:sz w:val="20"/>
          <w:szCs w:val="20"/>
        </w:rPr>
        <w:t>z poimenovanja in namena dodatka izhaja, da podlaga za izplačilo dodatka ni zgolj dejstvo, da je posameznik funkcionar ali direktor, ampak mu pripada dodatek zaradi opravljanja dela ali izvrševanja funkcije v nevarnih pogojih in pod posebnimi obremenitvami. Zato po našem mnenju posamezniku, ne glede na to, ali gre za javnega uslužbenca plačne skupine B ali funkcionarja za dneve odsotnosti (npr. zaradi  letnega dopusta ali bolezni) dodatek na pripada. Konkretno se višina dodatka v tistih mesecih, ko je bil posameznik odsoten, izračuna tako, da se znesek dodatka v višini 200 EUR deli s številom delovnih dni tistega meseca in pomnoži s številom dni, ko je bil posameznik izpostavljen nevarnosti in posebnim obremenitvam. Enako velja tudi v primeru nepoklicnih županov. Če je bil nepoklicni župan posamezen dan v mesecu odsoten oz. ni bil na razpolago za izvrševanje svoje funkcije mu za ta dan dodatek, ki je vezan na nevarnost in posebne obremenitve, po našem mnenju ne more pripadati</w:t>
      </w:r>
      <w:r>
        <w:rPr>
          <w:rFonts w:ascii="Arial" w:eastAsia="Times New Roman" w:hAnsi="Arial" w:cs="Arial"/>
          <w:bCs/>
          <w:sz w:val="20"/>
          <w:szCs w:val="20"/>
        </w:rPr>
        <w:t>.</w:t>
      </w:r>
      <w:r w:rsidR="00D50E70" w:rsidRPr="00D50E70">
        <w:rPr>
          <w:rFonts w:ascii="Arial" w:eastAsia="Times New Roman" w:hAnsi="Arial" w:cs="Arial"/>
          <w:bCs/>
          <w:sz w:val="20"/>
          <w:szCs w:val="20"/>
        </w:rPr>
        <w:t xml:space="preserve"> </w:t>
      </w:r>
    </w:p>
    <w:p w14:paraId="2C201D94" w14:textId="77777777" w:rsidR="00D50E70" w:rsidRPr="00D50E70" w:rsidRDefault="00D50E70" w:rsidP="007820ED">
      <w:pPr>
        <w:tabs>
          <w:tab w:val="left" w:pos="1701"/>
        </w:tabs>
        <w:spacing w:after="0" w:line="260" w:lineRule="exact"/>
        <w:jc w:val="both"/>
        <w:rPr>
          <w:rFonts w:ascii="Arial" w:eastAsia="Times New Roman" w:hAnsi="Arial" w:cs="Arial"/>
          <w:bCs/>
          <w:sz w:val="20"/>
          <w:szCs w:val="20"/>
        </w:rPr>
      </w:pPr>
    </w:p>
    <w:p w14:paraId="47615010" w14:textId="042650A4" w:rsidR="007820ED" w:rsidRDefault="007820ED" w:rsidP="000C49F0">
      <w:pPr>
        <w:jc w:val="both"/>
        <w:rPr>
          <w:rFonts w:ascii="Arial" w:eastAsia="Times New Roman" w:hAnsi="Arial" w:cs="Arial"/>
          <w:bCs/>
          <w:sz w:val="20"/>
          <w:szCs w:val="20"/>
        </w:rPr>
      </w:pPr>
      <w:r w:rsidRPr="00A76F9D">
        <w:rPr>
          <w:rFonts w:ascii="Arial" w:eastAsia="Times New Roman" w:hAnsi="Arial" w:cs="Arial"/>
          <w:b/>
          <w:sz w:val="20"/>
          <w:szCs w:val="20"/>
        </w:rPr>
        <w:t>c)</w:t>
      </w:r>
      <w:r>
        <w:rPr>
          <w:rFonts w:ascii="Arial" w:eastAsia="Times New Roman" w:hAnsi="Arial" w:cs="Arial"/>
          <w:bCs/>
          <w:sz w:val="20"/>
          <w:szCs w:val="20"/>
        </w:rPr>
        <w:t xml:space="preserve"> </w:t>
      </w:r>
      <w:r w:rsidRPr="007820ED">
        <w:rPr>
          <w:rFonts w:ascii="Arial" w:eastAsia="Times New Roman" w:hAnsi="Arial" w:cs="Arial"/>
          <w:bCs/>
          <w:sz w:val="20"/>
          <w:szCs w:val="20"/>
        </w:rPr>
        <w:t xml:space="preserve">Ključno za upravičenost do izplačila navedenega dodatka je torej opravljanje funkcije oziroma opravljanje dela, pri tem pa so upoštevaje, da gre za dodatek za nevarnost in posebne obremenitve v času epidemije COVID-19 zaradi opravljanja funkcije ali opravljanja dela, po našem mnenju do tega dodatka upravičeni tudi javni uslužbenci plačne skupine B ali funkcionarji, ki so delo opravljali od doma, saj gre v tem primeru še vedno za opravljanje dela. </w:t>
      </w:r>
    </w:p>
    <w:p w14:paraId="4CF06524" w14:textId="5D99C0B4" w:rsidR="00A76F9D" w:rsidRPr="007820ED" w:rsidRDefault="00A76F9D" w:rsidP="00A76F9D">
      <w:pPr>
        <w:jc w:val="both"/>
        <w:rPr>
          <w:rFonts w:ascii="Arial" w:eastAsia="Times New Roman" w:hAnsi="Arial" w:cs="Arial"/>
          <w:bCs/>
          <w:sz w:val="20"/>
          <w:szCs w:val="20"/>
        </w:rPr>
      </w:pPr>
      <w:r w:rsidRPr="00A76F9D">
        <w:rPr>
          <w:rFonts w:ascii="Arial" w:eastAsia="Times New Roman" w:hAnsi="Arial" w:cs="Arial"/>
          <w:b/>
          <w:sz w:val="20"/>
          <w:szCs w:val="20"/>
        </w:rPr>
        <w:t>d)</w:t>
      </w:r>
      <w:r>
        <w:rPr>
          <w:rFonts w:ascii="Arial" w:eastAsia="Times New Roman" w:hAnsi="Arial" w:cs="Arial"/>
          <w:bCs/>
          <w:sz w:val="20"/>
          <w:szCs w:val="20"/>
        </w:rPr>
        <w:t xml:space="preserve"> D</w:t>
      </w:r>
      <w:r w:rsidRPr="00A76F9D">
        <w:rPr>
          <w:rFonts w:ascii="Arial" w:eastAsia="Times New Roman" w:hAnsi="Arial" w:cs="Arial"/>
          <w:bCs/>
          <w:sz w:val="20"/>
          <w:szCs w:val="20"/>
        </w:rPr>
        <w:t xml:space="preserve">odatek po 42. členu ZNUPZ </w:t>
      </w:r>
      <w:r>
        <w:rPr>
          <w:rFonts w:ascii="Arial" w:eastAsia="Times New Roman" w:hAnsi="Arial" w:cs="Arial"/>
          <w:bCs/>
          <w:sz w:val="20"/>
          <w:szCs w:val="20"/>
        </w:rPr>
        <w:t xml:space="preserve">pripada </w:t>
      </w:r>
      <w:r w:rsidRPr="00A76F9D">
        <w:rPr>
          <w:rFonts w:ascii="Arial" w:eastAsia="Times New Roman" w:hAnsi="Arial" w:cs="Arial"/>
          <w:bCs/>
          <w:sz w:val="20"/>
          <w:szCs w:val="20"/>
        </w:rPr>
        <w:t>tudi vršilcem dolžnosti direktorja.</w:t>
      </w:r>
      <w:r>
        <w:rPr>
          <w:rFonts w:ascii="Arial" w:eastAsia="Times New Roman" w:hAnsi="Arial" w:cs="Arial"/>
          <w:bCs/>
          <w:sz w:val="20"/>
          <w:szCs w:val="20"/>
        </w:rPr>
        <w:t xml:space="preserve"> </w:t>
      </w:r>
      <w:r w:rsidRPr="00A76F9D">
        <w:rPr>
          <w:rFonts w:ascii="Arial" w:eastAsia="Times New Roman" w:hAnsi="Arial" w:cs="Arial"/>
          <w:bCs/>
          <w:sz w:val="20"/>
          <w:szCs w:val="20"/>
        </w:rPr>
        <w:t xml:space="preserve">Na podlagi 11. člena Zakona o sistemu plač v javnem sektorju (Uradni list RS, št. 108/09 – uradno prečiščeno besedilo, 13/10, 59/10, 85/10, 107/10, 35/11 – ORZSPJS49a, 27/12 – </w:t>
      </w:r>
      <w:proofErr w:type="spellStart"/>
      <w:r w:rsidRPr="00A76F9D">
        <w:rPr>
          <w:rFonts w:ascii="Arial" w:eastAsia="Times New Roman" w:hAnsi="Arial" w:cs="Arial"/>
          <w:bCs/>
          <w:sz w:val="20"/>
          <w:szCs w:val="20"/>
        </w:rPr>
        <w:t>odl</w:t>
      </w:r>
      <w:proofErr w:type="spellEnd"/>
      <w:r w:rsidRPr="00A76F9D">
        <w:rPr>
          <w:rFonts w:ascii="Arial" w:eastAsia="Times New Roman" w:hAnsi="Arial" w:cs="Arial"/>
          <w:bCs/>
          <w:sz w:val="20"/>
          <w:szCs w:val="20"/>
        </w:rPr>
        <w:t xml:space="preserve">. US, 40/12 – ZUJF, 46/13, 25/14 – ZFU, 50/14, 95/14 – ZUPPJS15, 82/15, 23/17 – </w:t>
      </w:r>
      <w:proofErr w:type="spellStart"/>
      <w:r w:rsidRPr="00A76F9D">
        <w:rPr>
          <w:rFonts w:ascii="Arial" w:eastAsia="Times New Roman" w:hAnsi="Arial" w:cs="Arial"/>
          <w:bCs/>
          <w:sz w:val="20"/>
          <w:szCs w:val="20"/>
        </w:rPr>
        <w:t>ZDOdv</w:t>
      </w:r>
      <w:proofErr w:type="spellEnd"/>
      <w:r w:rsidRPr="00A76F9D">
        <w:rPr>
          <w:rFonts w:ascii="Arial" w:eastAsia="Times New Roman" w:hAnsi="Arial" w:cs="Arial"/>
          <w:bCs/>
          <w:sz w:val="20"/>
          <w:szCs w:val="20"/>
        </w:rPr>
        <w:t>, 67/17 in 84/18) so osnovne plače oziroma plačni razredi ravnateljev, direktorjev in tajnikov, določene z uredbo vlade oziroma s pravilniki resornih ministrov.</w:t>
      </w:r>
      <w:r>
        <w:rPr>
          <w:rFonts w:ascii="Arial" w:eastAsia="Times New Roman" w:hAnsi="Arial" w:cs="Arial"/>
          <w:bCs/>
          <w:sz w:val="20"/>
          <w:szCs w:val="20"/>
        </w:rPr>
        <w:t xml:space="preserve"> </w:t>
      </w:r>
      <w:r w:rsidRPr="00A76F9D">
        <w:rPr>
          <w:rFonts w:ascii="Arial" w:eastAsia="Times New Roman" w:hAnsi="Arial" w:cs="Arial"/>
          <w:bCs/>
          <w:sz w:val="20"/>
          <w:szCs w:val="20"/>
        </w:rPr>
        <w:t xml:space="preserve">Pri tem je relevantna Uredba o plačah direktorjev v javnem sektorju (Uradni list RS, št. 68/17, 4/18 in 30/18), kjer je določeno v četrtem odstavku 1. člena, da se ta uredba uporablja tudi za vršilce dolžnosti direktorjev, namestnike in pomočnike direktorjev ter člane uprave. V povezavi z navedenim in ker so del plače tudi dodatki, poleg tega pa vršilec dolžnosti direktorja opravlja naloge direktorja in zaseda tudi delovno mesto direktorja, </w:t>
      </w:r>
      <w:r>
        <w:rPr>
          <w:rFonts w:ascii="Arial" w:eastAsia="Times New Roman" w:hAnsi="Arial" w:cs="Arial"/>
          <w:bCs/>
          <w:sz w:val="20"/>
          <w:szCs w:val="20"/>
        </w:rPr>
        <w:t xml:space="preserve">je do navedenega dodatka po našem mnenju upravičen tudi vršilec </w:t>
      </w:r>
      <w:r w:rsidR="005B5F99">
        <w:rPr>
          <w:rFonts w:ascii="Arial" w:eastAsia="Times New Roman" w:hAnsi="Arial" w:cs="Arial"/>
          <w:bCs/>
          <w:sz w:val="20"/>
          <w:szCs w:val="20"/>
        </w:rPr>
        <w:t xml:space="preserve">dolžnosti </w:t>
      </w:r>
      <w:r>
        <w:rPr>
          <w:rFonts w:ascii="Arial" w:eastAsia="Times New Roman" w:hAnsi="Arial" w:cs="Arial"/>
          <w:bCs/>
          <w:sz w:val="20"/>
          <w:szCs w:val="20"/>
        </w:rPr>
        <w:t>direktorja.</w:t>
      </w:r>
    </w:p>
    <w:p w14:paraId="23C5741B" w14:textId="7C67F773" w:rsidR="00DE6064" w:rsidRDefault="00A76F9D" w:rsidP="007820ED">
      <w:pPr>
        <w:spacing w:after="0" w:line="260" w:lineRule="exact"/>
        <w:jc w:val="both"/>
        <w:rPr>
          <w:rFonts w:ascii="Arial" w:eastAsia="Times New Roman" w:hAnsi="Arial" w:cs="Arial"/>
          <w:bCs/>
          <w:sz w:val="20"/>
          <w:szCs w:val="20"/>
        </w:rPr>
      </w:pPr>
      <w:r w:rsidRPr="00645E55">
        <w:rPr>
          <w:rFonts w:ascii="Arial" w:eastAsia="Times New Roman" w:hAnsi="Arial" w:cs="Arial"/>
          <w:b/>
          <w:sz w:val="20"/>
          <w:szCs w:val="20"/>
        </w:rPr>
        <w:t>e</w:t>
      </w:r>
      <w:r w:rsidR="000C49F0" w:rsidRPr="00645E55">
        <w:rPr>
          <w:rFonts w:ascii="Arial" w:eastAsia="Times New Roman" w:hAnsi="Arial" w:cs="Arial"/>
          <w:b/>
          <w:sz w:val="20"/>
          <w:szCs w:val="20"/>
        </w:rPr>
        <w:t>)</w:t>
      </w:r>
      <w:r w:rsidR="000C49F0">
        <w:rPr>
          <w:rFonts w:ascii="Arial" w:eastAsia="Times New Roman" w:hAnsi="Arial" w:cs="Arial"/>
          <w:bCs/>
          <w:sz w:val="20"/>
          <w:szCs w:val="20"/>
        </w:rPr>
        <w:t xml:space="preserve"> </w:t>
      </w:r>
      <w:r w:rsidR="007820ED">
        <w:rPr>
          <w:rFonts w:ascii="Arial" w:eastAsia="Times New Roman" w:hAnsi="Arial" w:cs="Arial"/>
          <w:bCs/>
          <w:sz w:val="20"/>
          <w:szCs w:val="20"/>
        </w:rPr>
        <w:t xml:space="preserve">Individualnih </w:t>
      </w:r>
      <w:r w:rsidR="00D50E70" w:rsidRPr="00D50E70">
        <w:rPr>
          <w:rFonts w:ascii="Arial" w:eastAsia="Times New Roman" w:hAnsi="Arial" w:cs="Arial"/>
          <w:bCs/>
          <w:sz w:val="20"/>
          <w:szCs w:val="20"/>
        </w:rPr>
        <w:t>sklepov o izplačilu dodatka ni treba izdajati. Določba 42. člena ZNUPZ za razliko od določbe 71. člena ZIUZEOP izdajanja posebnih sklepov ne predvideva. Skladno s prvim odstavkom 42. člena ZNUPZ pa dodatek pripada posamezniku po samem zakonu v višini 200 EUR oz. v sorazmernem znesku v tistih mesecih, ko epidemija ni bila razglašena celotno obdobje meseca (torej sorazmerno v mesecu oktobru 2020 in juniju 2021) in v tistih mesecih, ko  funkcionar oz. javni uslužbenec ni opravljal funkcije ali dela celoten mesec</w:t>
      </w:r>
      <w:r w:rsidR="007820ED">
        <w:rPr>
          <w:rFonts w:ascii="Arial" w:eastAsia="Times New Roman" w:hAnsi="Arial" w:cs="Arial"/>
          <w:bCs/>
          <w:sz w:val="20"/>
          <w:szCs w:val="20"/>
        </w:rPr>
        <w:t>.</w:t>
      </w:r>
    </w:p>
    <w:p w14:paraId="52B8E8C4" w14:textId="273456D1" w:rsidR="007820ED" w:rsidRDefault="007820ED" w:rsidP="007820ED">
      <w:pPr>
        <w:spacing w:after="0" w:line="260" w:lineRule="exact"/>
        <w:jc w:val="both"/>
        <w:rPr>
          <w:rFonts w:ascii="Arial" w:eastAsia="Times New Roman" w:hAnsi="Arial" w:cs="Arial"/>
          <w:bCs/>
          <w:sz w:val="20"/>
          <w:szCs w:val="20"/>
        </w:rPr>
      </w:pPr>
      <w:r>
        <w:rPr>
          <w:rFonts w:ascii="Arial" w:eastAsia="Times New Roman" w:hAnsi="Arial" w:cs="Arial"/>
          <w:bCs/>
          <w:sz w:val="20"/>
          <w:szCs w:val="20"/>
        </w:rPr>
        <w:t xml:space="preserve"> </w:t>
      </w:r>
    </w:p>
    <w:p w14:paraId="1DF362A6" w14:textId="274E0B24" w:rsidR="003F0AB3" w:rsidRDefault="00A76F9D" w:rsidP="007820ED">
      <w:pPr>
        <w:spacing w:after="0" w:line="260" w:lineRule="exact"/>
        <w:jc w:val="both"/>
        <w:rPr>
          <w:rFonts w:ascii="Arial" w:eastAsia="Times New Roman" w:hAnsi="Arial" w:cs="Arial"/>
          <w:bCs/>
          <w:sz w:val="20"/>
          <w:szCs w:val="20"/>
        </w:rPr>
      </w:pPr>
      <w:r w:rsidRPr="00A76F9D">
        <w:rPr>
          <w:rFonts w:ascii="Arial" w:eastAsia="Times New Roman" w:hAnsi="Arial" w:cs="Arial"/>
          <w:b/>
          <w:sz w:val="20"/>
          <w:szCs w:val="20"/>
        </w:rPr>
        <w:t>f</w:t>
      </w:r>
      <w:r w:rsidR="003F0AB3" w:rsidRPr="00A76F9D">
        <w:rPr>
          <w:rFonts w:ascii="Arial" w:eastAsia="Times New Roman" w:hAnsi="Arial" w:cs="Arial"/>
          <w:b/>
          <w:sz w:val="20"/>
          <w:szCs w:val="20"/>
        </w:rPr>
        <w:t>)</w:t>
      </w:r>
      <w:r w:rsidR="003F0AB3">
        <w:rPr>
          <w:rFonts w:ascii="Arial" w:eastAsia="Times New Roman" w:hAnsi="Arial" w:cs="Arial"/>
          <w:bCs/>
          <w:sz w:val="20"/>
          <w:szCs w:val="20"/>
        </w:rPr>
        <w:t xml:space="preserve"> </w:t>
      </w:r>
      <w:r w:rsidR="003F0AB3" w:rsidRPr="003F0AB3">
        <w:rPr>
          <w:rFonts w:ascii="Arial" w:eastAsia="Times New Roman" w:hAnsi="Arial" w:cs="Arial"/>
          <w:bCs/>
          <w:sz w:val="20"/>
          <w:szCs w:val="20"/>
        </w:rPr>
        <w:t xml:space="preserve">Uveljavitev Uredbe o spremembi in dopolnitvah Uredbe o enotni metodologiji in obrazcih za obračun in izplačilo plač v javnem sektorju, ki bo vsebovala nove šifre upoštevaje nove dodatke, ki jih je določil </w:t>
      </w:r>
      <w:r w:rsidR="003F0AB3">
        <w:rPr>
          <w:rFonts w:ascii="Arial" w:eastAsia="Times New Roman" w:hAnsi="Arial" w:cs="Arial"/>
          <w:bCs/>
          <w:sz w:val="20"/>
          <w:szCs w:val="20"/>
        </w:rPr>
        <w:t>ZNUPZ</w:t>
      </w:r>
      <w:r w:rsidR="003F0AB3" w:rsidRPr="003F0AB3">
        <w:rPr>
          <w:rFonts w:ascii="Arial" w:eastAsia="Times New Roman" w:hAnsi="Arial" w:cs="Arial"/>
          <w:bCs/>
          <w:sz w:val="20"/>
          <w:szCs w:val="20"/>
        </w:rPr>
        <w:t>, med njimi tudi za dodatek po 42. členu ZNUPZ, je predvidena konec naslednjega tedna, saj je predpis še v postopku obravnave na Vladi RS.</w:t>
      </w:r>
    </w:p>
    <w:p w14:paraId="2C1F2023" w14:textId="4120A2C0" w:rsidR="00A76F9D" w:rsidRDefault="00A76F9D" w:rsidP="007820ED">
      <w:pPr>
        <w:spacing w:after="0" w:line="260" w:lineRule="exact"/>
        <w:jc w:val="both"/>
        <w:rPr>
          <w:rFonts w:ascii="Arial" w:eastAsia="Times New Roman" w:hAnsi="Arial" w:cs="Arial"/>
          <w:bCs/>
          <w:sz w:val="20"/>
          <w:szCs w:val="20"/>
        </w:rPr>
      </w:pPr>
    </w:p>
    <w:p w14:paraId="1C1076E5" w14:textId="3EADEC2F" w:rsidR="00A76F9D" w:rsidRDefault="00A76F9D" w:rsidP="007820ED">
      <w:pPr>
        <w:spacing w:after="0" w:line="260" w:lineRule="exact"/>
        <w:jc w:val="both"/>
        <w:rPr>
          <w:rFonts w:ascii="Arial" w:eastAsia="Times New Roman" w:hAnsi="Arial" w:cs="Arial"/>
          <w:bCs/>
          <w:sz w:val="20"/>
          <w:szCs w:val="20"/>
        </w:rPr>
      </w:pPr>
    </w:p>
    <w:p w14:paraId="314A9B5F" w14:textId="16374C41" w:rsidR="00A76F9D" w:rsidRDefault="00A76F9D" w:rsidP="007820ED">
      <w:pPr>
        <w:spacing w:after="0" w:line="260" w:lineRule="exact"/>
        <w:jc w:val="both"/>
        <w:rPr>
          <w:rFonts w:ascii="Arial" w:eastAsia="Times New Roman" w:hAnsi="Arial" w:cs="Arial"/>
          <w:bCs/>
          <w:sz w:val="20"/>
          <w:szCs w:val="20"/>
        </w:rPr>
      </w:pPr>
    </w:p>
    <w:p w14:paraId="6E82A91B" w14:textId="77777777" w:rsidR="005B5F99" w:rsidRPr="00DE6064" w:rsidRDefault="005B5F99">
      <w:pPr>
        <w:spacing w:after="0" w:line="260" w:lineRule="exact"/>
        <w:jc w:val="both"/>
        <w:rPr>
          <w:rFonts w:ascii="Arial" w:eastAsia="Times New Roman" w:hAnsi="Arial" w:cs="Times New Roman"/>
          <w:sz w:val="20"/>
          <w:szCs w:val="24"/>
        </w:rPr>
      </w:pPr>
    </w:p>
    <w:sectPr w:rsidR="005B5F99" w:rsidRPr="00DE60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1CAE" w14:textId="77777777" w:rsidR="00C5298B" w:rsidRDefault="00C5298B" w:rsidP="00A76F9D">
      <w:pPr>
        <w:spacing w:after="0" w:line="240" w:lineRule="auto"/>
      </w:pPr>
      <w:r>
        <w:separator/>
      </w:r>
    </w:p>
  </w:endnote>
  <w:endnote w:type="continuationSeparator" w:id="0">
    <w:p w14:paraId="239AF766" w14:textId="77777777" w:rsidR="00C5298B" w:rsidRDefault="00C5298B" w:rsidP="00A7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36559"/>
      <w:docPartObj>
        <w:docPartGallery w:val="Page Numbers (Bottom of Page)"/>
        <w:docPartUnique/>
      </w:docPartObj>
    </w:sdtPr>
    <w:sdtEndPr/>
    <w:sdtContent>
      <w:p w14:paraId="5ADDC2A9" w14:textId="7404776B" w:rsidR="00A76F9D" w:rsidRDefault="00A76F9D">
        <w:pPr>
          <w:pStyle w:val="Noga"/>
          <w:jc w:val="right"/>
        </w:pPr>
        <w:r>
          <w:fldChar w:fldCharType="begin"/>
        </w:r>
        <w:r>
          <w:instrText>PAGE   \* MERGEFORMAT</w:instrText>
        </w:r>
        <w:r>
          <w:fldChar w:fldCharType="separate"/>
        </w:r>
        <w:r>
          <w:t>2</w:t>
        </w:r>
        <w:r>
          <w:fldChar w:fldCharType="end"/>
        </w:r>
      </w:p>
    </w:sdtContent>
  </w:sdt>
  <w:p w14:paraId="256C5A17" w14:textId="77777777" w:rsidR="00A76F9D" w:rsidRDefault="00A76F9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8BB1" w14:textId="77777777" w:rsidR="00C5298B" w:rsidRDefault="00C5298B" w:rsidP="00A76F9D">
      <w:pPr>
        <w:spacing w:after="0" w:line="240" w:lineRule="auto"/>
      </w:pPr>
      <w:r>
        <w:separator/>
      </w:r>
    </w:p>
  </w:footnote>
  <w:footnote w:type="continuationSeparator" w:id="0">
    <w:p w14:paraId="12C653CE" w14:textId="77777777" w:rsidR="00C5298B" w:rsidRDefault="00C5298B" w:rsidP="00A76F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A2"/>
    <w:rsid w:val="000C49F0"/>
    <w:rsid w:val="00246679"/>
    <w:rsid w:val="003B14E7"/>
    <w:rsid w:val="003F0AB3"/>
    <w:rsid w:val="004013FF"/>
    <w:rsid w:val="00477DE2"/>
    <w:rsid w:val="005878FE"/>
    <w:rsid w:val="005B5F99"/>
    <w:rsid w:val="00645E55"/>
    <w:rsid w:val="007820ED"/>
    <w:rsid w:val="008410B0"/>
    <w:rsid w:val="0088710B"/>
    <w:rsid w:val="00906CA2"/>
    <w:rsid w:val="00974670"/>
    <w:rsid w:val="00A76F9D"/>
    <w:rsid w:val="00BB65F9"/>
    <w:rsid w:val="00C5298B"/>
    <w:rsid w:val="00C65880"/>
    <w:rsid w:val="00CB1BE8"/>
    <w:rsid w:val="00D50E70"/>
    <w:rsid w:val="00DE6064"/>
    <w:rsid w:val="00ED16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E826"/>
  <w15:chartTrackingRefBased/>
  <w15:docId w15:val="{CAD370E7-8A9F-4F9B-B5B4-F6E4D5C1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ADEVA">
    <w:name w:val="ZADEVA"/>
    <w:basedOn w:val="Navaden"/>
    <w:qFormat/>
    <w:rsid w:val="00DE6064"/>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Glava">
    <w:name w:val="header"/>
    <w:basedOn w:val="Navaden"/>
    <w:link w:val="GlavaZnak"/>
    <w:rsid w:val="00DE6064"/>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DE6064"/>
    <w:rPr>
      <w:rFonts w:ascii="Arial" w:eastAsia="Times New Roman" w:hAnsi="Arial" w:cs="Times New Roman"/>
      <w:sz w:val="20"/>
      <w:szCs w:val="24"/>
      <w:lang w:val="en-US"/>
    </w:rPr>
  </w:style>
  <w:style w:type="character" w:styleId="Hiperpovezava">
    <w:name w:val="Hyperlink"/>
    <w:basedOn w:val="Privzetapisavaodstavka"/>
    <w:uiPriority w:val="99"/>
    <w:unhideWhenUsed/>
    <w:rsid w:val="00CB1BE8"/>
    <w:rPr>
      <w:color w:val="0563C1" w:themeColor="hyperlink"/>
      <w:u w:val="single"/>
    </w:rPr>
  </w:style>
  <w:style w:type="character" w:styleId="Nerazreenaomemba">
    <w:name w:val="Unresolved Mention"/>
    <w:basedOn w:val="Privzetapisavaodstavka"/>
    <w:uiPriority w:val="99"/>
    <w:semiHidden/>
    <w:unhideWhenUsed/>
    <w:rsid w:val="00CB1BE8"/>
    <w:rPr>
      <w:color w:val="605E5C"/>
      <w:shd w:val="clear" w:color="auto" w:fill="E1DFDD"/>
    </w:rPr>
  </w:style>
  <w:style w:type="paragraph" w:styleId="Noga">
    <w:name w:val="footer"/>
    <w:basedOn w:val="Navaden"/>
    <w:link w:val="NogaZnak"/>
    <w:uiPriority w:val="99"/>
    <w:unhideWhenUsed/>
    <w:rsid w:val="00A76F9D"/>
    <w:pPr>
      <w:tabs>
        <w:tab w:val="center" w:pos="4536"/>
        <w:tab w:val="right" w:pos="9072"/>
      </w:tabs>
      <w:spacing w:after="0" w:line="240" w:lineRule="auto"/>
    </w:pPr>
  </w:style>
  <w:style w:type="character" w:customStyle="1" w:styleId="NogaZnak">
    <w:name w:val="Noga Znak"/>
    <w:basedOn w:val="Privzetapisavaodstavka"/>
    <w:link w:val="Noga"/>
    <w:uiPriority w:val="99"/>
    <w:rsid w:val="00A76F9D"/>
  </w:style>
  <w:style w:type="paragraph" w:customStyle="1" w:styleId="datumtevilka">
    <w:name w:val="datum številka"/>
    <w:basedOn w:val="Navaden"/>
    <w:qFormat/>
    <w:rsid w:val="00A76F9D"/>
    <w:pPr>
      <w:tabs>
        <w:tab w:val="left" w:pos="1701"/>
      </w:tabs>
      <w:spacing w:after="0" w:line="260" w:lineRule="exact"/>
    </w:pPr>
    <w:rPr>
      <w:rFonts w:ascii="Arial" w:eastAsia="Times New Roman" w:hAnsi="Arial" w:cs="Times New Roman"/>
      <w:sz w:val="20"/>
      <w:szCs w:val="20"/>
      <w:lang w:eastAsia="sl-SI"/>
    </w:rPr>
  </w:style>
  <w:style w:type="character" w:styleId="SledenaHiperpovezava">
    <w:name w:val="FollowedHyperlink"/>
    <w:basedOn w:val="Privzetapisavaodstavka"/>
    <w:uiPriority w:val="99"/>
    <w:semiHidden/>
    <w:unhideWhenUsed/>
    <w:rsid w:val="008871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financiranje-obc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7FEAE-98A0-43AF-87C0-12C480D3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5495</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Štefe</dc:creator>
  <cp:keywords/>
  <dc:description/>
  <cp:lastModifiedBy>Mojca Kustec</cp:lastModifiedBy>
  <cp:revision>2</cp:revision>
  <dcterms:created xsi:type="dcterms:W3CDTF">2022-10-21T11:44:00Z</dcterms:created>
  <dcterms:modified xsi:type="dcterms:W3CDTF">2022-10-21T11:44:00Z</dcterms:modified>
</cp:coreProperties>
</file>