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C042" w14:textId="4088A8B0" w:rsidR="00AA2118" w:rsidRPr="00A17A55" w:rsidRDefault="00AA2118" w:rsidP="004B565B">
      <w:pPr>
        <w:spacing w:line="276" w:lineRule="auto"/>
        <w:jc w:val="both"/>
        <w:rPr>
          <w:rFonts w:cs="Arial"/>
          <w:color w:val="000000"/>
          <w:szCs w:val="20"/>
          <w:lang w:val="sl-SI"/>
        </w:rPr>
      </w:pPr>
      <w:r w:rsidRPr="00D270F9">
        <w:rPr>
          <w:rFonts w:cs="Arial"/>
          <w:noProof/>
          <w:color w:val="000000"/>
          <w:szCs w:val="20"/>
          <w:lang w:val="sl-SI"/>
        </w:rPr>
        <mc:AlternateContent>
          <mc:Choice Requires="wps">
            <w:drawing>
              <wp:anchor distT="360045" distB="540385" distL="0" distR="0" simplePos="0" relativeHeight="251659264" behindDoc="0" locked="0" layoutInCell="1" allowOverlap="0" wp14:anchorId="012C46A4" wp14:editId="1A9EBF19">
                <wp:simplePos x="0" y="0"/>
                <wp:positionH relativeFrom="page">
                  <wp:posOffset>1143635</wp:posOffset>
                </wp:positionH>
                <wp:positionV relativeFrom="page">
                  <wp:posOffset>1260475</wp:posOffset>
                </wp:positionV>
                <wp:extent cx="1079500" cy="180340"/>
                <wp:effectExtent l="635" t="3175" r="0" b="0"/>
                <wp:wrapTopAndBottom/>
                <wp:docPr id="3" name="Polje z besedilom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3E6F3" w14:textId="77777777" w:rsidR="00AA2118" w:rsidRPr="00DA3DF0" w:rsidRDefault="00AA2118" w:rsidP="00AA21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46A4" id="_x0000_t202" coordsize="21600,21600" o:spt="202" path="m,l,21600r21600,l21600,xe">
                <v:stroke joinstyle="miter"/>
                <v:path gradientshapeok="t" o:connecttype="rect"/>
              </v:shapetype>
              <v:shape id="Polje z besedilom 3" o:spid="_x0000_s1026" type="#_x0000_t202" alt="Prostor za vnos naslovnika&#10;" style="position:absolute;left:0;text-align:left;margin-left:90.05pt;margin-top:99.25pt;width:85pt;height:14.2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" o:allowoverlap="f" filled="f" stroked="f">
                <v:textbox inset="0,0,0,0">
                  <w:txbxContent>
                    <w:p w14:paraId="11C3E6F3" w14:textId="77777777" w:rsidR="00AA2118" w:rsidRPr="00DA3DF0" w:rsidRDefault="00AA2118" w:rsidP="00AA2118"/>
                  </w:txbxContent>
                </v:textbox>
                <w10:wrap type="topAndBottom" anchorx="page" anchory="page"/>
              </v:shape>
            </w:pict>
          </mc:Fallback>
        </mc:AlternateContent>
      </w: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(Uradni list RS, št. 63/07 – uradno prečiščeno besedilo, 65/08, 69/08 – ZTFI-A, 69/08 – ZZavar-E, 40/12 – ZUJF, 158/20 – ZIntPK-C, 203/20 – ZIUPOPDVE, 202/21 – odl. US in 3/22 – ZDeb</w:t>
      </w:r>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3D221AE9" w14:textId="77777777" w:rsidR="00AA2118" w:rsidRPr="00A17A55" w:rsidRDefault="00AA2118" w:rsidP="00B74861">
      <w:pPr>
        <w:spacing w:line="276" w:lineRule="auto"/>
        <w:jc w:val="both"/>
        <w:rPr>
          <w:rFonts w:cs="Arial"/>
          <w:iCs/>
          <w:color w:val="000000"/>
          <w:sz w:val="22"/>
          <w:szCs w:val="22"/>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34910615"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6F6D65">
        <w:rPr>
          <w:rFonts w:cs="Arial"/>
          <w:b/>
          <w:iCs/>
          <w:color w:val="000000"/>
          <w:sz w:val="24"/>
          <w:szCs w:val="20"/>
          <w:lang w:val="sl-SI"/>
        </w:rPr>
        <w:t>Ravne na Koroškem</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Pr="00C542FF"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C542FF">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lastRenderedPageBreak/>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3CD759A" w14:textId="77777777" w:rsidR="00AA2118" w:rsidRPr="00A17A55" w:rsidRDefault="00AA2118" w:rsidP="00B74861">
      <w:pPr>
        <w:spacing w:line="276" w:lineRule="auto"/>
        <w:ind w:left="720"/>
        <w:jc w:val="both"/>
        <w:rPr>
          <w:rFonts w:cs="Arial"/>
          <w:color w:val="000000"/>
          <w:spacing w:val="-3"/>
          <w:szCs w:val="20"/>
          <w:lang w:val="sl-SI"/>
        </w:rPr>
      </w:pPr>
    </w:p>
    <w:p w14:paraId="1C256C3D" w14:textId="77777777" w:rsidR="00AA2118" w:rsidRPr="00A17A55" w:rsidRDefault="00AA2118" w:rsidP="00B74861">
      <w:pPr>
        <w:spacing w:line="276" w:lineRule="auto"/>
        <w:ind w:left="720"/>
        <w:jc w:val="both"/>
        <w:rPr>
          <w:rFonts w:cs="Arial"/>
          <w:color w:val="000000"/>
          <w:spacing w:val="-3"/>
          <w:szCs w:val="20"/>
          <w:lang w:val="sl-SI"/>
        </w:rPr>
      </w:pP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471615" w:rsidRDefault="00484858" w:rsidP="00B74861">
      <w:pPr>
        <w:spacing w:line="276" w:lineRule="auto"/>
        <w:jc w:val="both"/>
        <w:rPr>
          <w:rFonts w:cs="Arial"/>
          <w:color w:val="000000"/>
          <w:lang w:val="sl-SI"/>
        </w:rPr>
      </w:pPr>
      <w:r>
        <w:rPr>
          <w:rFonts w:cs="Arial"/>
          <w:color w:val="000000"/>
          <w:lang w:val="sl-SI"/>
        </w:rPr>
        <w:t xml:space="preserve">2. </w:t>
      </w:r>
      <w:r w:rsidRPr="00471615">
        <w:rPr>
          <w:rFonts w:cs="Arial"/>
          <w:color w:val="000000"/>
          <w:lang w:val="sl-SI"/>
        </w:rPr>
        <w:t xml:space="preserve">Izjavo, da je državljan Republike Slovenije.  </w:t>
      </w:r>
      <w:bookmarkEnd w:id="0"/>
    </w:p>
    <w:p w14:paraId="565BEFFF" w14:textId="77777777" w:rsidR="00484858" w:rsidRPr="00471615"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01A6427C"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 xml:space="preserve">pravne enote </w:t>
      </w:r>
      <w:r w:rsidR="006F6D65">
        <w:rPr>
          <w:rFonts w:cs="Arial"/>
          <w:color w:val="000000"/>
          <w:lang w:val="sl-SI"/>
        </w:rPr>
        <w:t>Ravne na Koroškem</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lastRenderedPageBreak/>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347E4A43"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C542FF">
        <w:rPr>
          <w:rFonts w:cs="Arial"/>
          <w:szCs w:val="20"/>
          <w:lang w:val="sl-SI" w:eastAsia="ar-SA"/>
        </w:rPr>
        <w:t xml:space="preserve">v naziv. Izbrani kandidat, ki že ima status uradnika pri istem delodajalcu, bo imenovan v naziv podsekretar. Naloge </w:t>
      </w:r>
      <w:r w:rsidRPr="00887271">
        <w:rPr>
          <w:rFonts w:cs="Arial"/>
          <w:szCs w:val="20"/>
          <w:lang w:val="sl-SI" w:eastAsia="ar-SA"/>
        </w:rPr>
        <w:t xml:space="preserve">na položaju bo imenovani kandidat opravljal na sedežu Upravne enote </w:t>
      </w:r>
      <w:r w:rsidR="00365FA6">
        <w:rPr>
          <w:rFonts w:cs="Arial"/>
          <w:szCs w:val="20"/>
          <w:lang w:val="sl-SI" w:eastAsia="ar-SA"/>
        </w:rPr>
        <w:t>Ravne na Koroškem</w:t>
      </w:r>
      <w:r w:rsidR="00887271" w:rsidRPr="00887271">
        <w:rPr>
          <w:rFonts w:cs="Arial"/>
          <w:szCs w:val="20"/>
          <w:lang w:val="sl-SI" w:eastAsia="ar-SA"/>
        </w:rPr>
        <w:t xml:space="preserve"> </w:t>
      </w:r>
      <w:r w:rsidRPr="00887271">
        <w:rPr>
          <w:rFonts w:cs="Arial"/>
          <w:szCs w:val="20"/>
          <w:lang w:val="sl-SI" w:eastAsia="ar-SA"/>
        </w:rPr>
        <w:t>na naslovu</w:t>
      </w:r>
      <w:r w:rsidR="00276213">
        <w:rPr>
          <w:rFonts w:cs="Arial"/>
          <w:szCs w:val="20"/>
          <w:lang w:val="sl-SI" w:eastAsia="ar-SA"/>
        </w:rPr>
        <w:t xml:space="preserve"> </w:t>
      </w:r>
      <w:proofErr w:type="spellStart"/>
      <w:r w:rsidR="00365FA6">
        <w:rPr>
          <w:rFonts w:cs="Arial"/>
          <w:szCs w:val="20"/>
          <w:lang w:val="sl-SI" w:eastAsia="ar-SA"/>
        </w:rPr>
        <w:t>Čečovje</w:t>
      </w:r>
      <w:proofErr w:type="spellEnd"/>
      <w:r w:rsidR="00365FA6">
        <w:rPr>
          <w:rFonts w:cs="Arial"/>
          <w:szCs w:val="20"/>
          <w:lang w:val="sl-SI" w:eastAsia="ar-SA"/>
        </w:rPr>
        <w:t xml:space="preserve"> 12 a, 2390 Ravne na Koroškem</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 xml:space="preserve">v roku 15 </w:t>
      </w:r>
      <w:r w:rsidRPr="00A17A55">
        <w:rPr>
          <w:rFonts w:cs="Arial"/>
          <w:b/>
          <w:color w:val="000000"/>
          <w:szCs w:val="20"/>
          <w:lang w:val="sl-SI" w:eastAsia="ar-SA"/>
        </w:rPr>
        <w:lastRenderedPageBreak/>
        <w:t>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5C0721E8" w14:textId="77777777" w:rsidR="00D518FD" w:rsidRPr="00BF6CA6" w:rsidRDefault="00D518FD" w:rsidP="00D518FD">
      <w:pPr>
        <w:numPr>
          <w:ilvl w:val="12"/>
          <w:numId w:val="0"/>
        </w:numPr>
        <w:tabs>
          <w:tab w:val="left" w:pos="360"/>
        </w:tabs>
        <w:suppressAutoHyphens/>
        <w:spacing w:after="120" w:line="276" w:lineRule="auto"/>
        <w:jc w:val="both"/>
        <w:rPr>
          <w:lang w:val="sl-SI" w:eastAsia="ar-SA"/>
        </w:rPr>
      </w:pPr>
      <w:r w:rsidRPr="00BF6CA6">
        <w:rPr>
          <w:lang w:val="sl-SI" w:eastAsia="ar-SA"/>
        </w:rPr>
        <w:t>Za morebitne dodatne informacije v zvezi s postopkom posebnega javnega natečaja se lahko kandidati obrnejo na Ministrstvo za javno upravo, Direktorat za javni sektor, tel. št. 01 478-16-76 ali Službo za upravne enote, tel. št.  01 478-83-04.</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17D16FA" w14:textId="1D91DFC0" w:rsidR="00AA2118" w:rsidRPr="00A17A55" w:rsidRDefault="00AA2118" w:rsidP="004B565B">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56E743A5" w14:textId="77777777" w:rsidR="00AA2118" w:rsidRPr="00A17A55" w:rsidRDefault="00AA2118" w:rsidP="00B74861">
      <w:pPr>
        <w:suppressAutoHyphens/>
        <w:spacing w:line="276" w:lineRule="auto"/>
        <w:jc w:val="both"/>
        <w:rPr>
          <w:rFonts w:cs="Arial"/>
          <w:color w:val="000000"/>
          <w:szCs w:val="20"/>
          <w:lang w:val="sl-SI"/>
        </w:rPr>
      </w:pPr>
    </w:p>
    <w:p w14:paraId="011AEE15" w14:textId="77777777" w:rsidR="00AA2118" w:rsidRPr="00202A77" w:rsidRDefault="00AA2118" w:rsidP="00B74861">
      <w:pPr>
        <w:pStyle w:val="podpisi"/>
        <w:spacing w:line="276" w:lineRule="auto"/>
        <w:rPr>
          <w:lang w:val="sl-SI"/>
        </w:rPr>
      </w:pPr>
    </w:p>
    <w:p w14:paraId="471BC596" w14:textId="7EBB2B65" w:rsidR="00C71699" w:rsidRPr="00202A77" w:rsidRDefault="00C71699" w:rsidP="00B74861">
      <w:pPr>
        <w:pStyle w:val="podpisi"/>
        <w:spacing w:line="276" w:lineRule="auto"/>
        <w:rPr>
          <w:lang w:val="sl-SI"/>
        </w:rPr>
      </w:pPr>
    </w:p>
    <w:sectPr w:rsidR="00C71699" w:rsidRPr="00202A77"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A2AD" w14:textId="77777777" w:rsidR="00C55C31" w:rsidRDefault="00C55C31">
      <w:r>
        <w:separator/>
      </w:r>
    </w:p>
  </w:endnote>
  <w:endnote w:type="continuationSeparator" w:id="0">
    <w:p w14:paraId="421BDE8B" w14:textId="77777777" w:rsidR="00C55C31" w:rsidRDefault="00C5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8FEE" w14:textId="77777777" w:rsidR="00C55C31" w:rsidRDefault="00C55C31">
      <w:r>
        <w:separator/>
      </w:r>
    </w:p>
  </w:footnote>
  <w:footnote w:type="continuationSeparator" w:id="0">
    <w:p w14:paraId="5E0E935F" w14:textId="77777777" w:rsidR="00C55C31" w:rsidRDefault="00C5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332" w14:textId="00418B3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C3CBA"/>
    <w:rsid w:val="000E1055"/>
    <w:rsid w:val="000F6AB4"/>
    <w:rsid w:val="00105A45"/>
    <w:rsid w:val="00110BFC"/>
    <w:rsid w:val="00122EA1"/>
    <w:rsid w:val="00127B86"/>
    <w:rsid w:val="00131ADC"/>
    <w:rsid w:val="001357B2"/>
    <w:rsid w:val="00162821"/>
    <w:rsid w:val="00164064"/>
    <w:rsid w:val="0017478F"/>
    <w:rsid w:val="0017727F"/>
    <w:rsid w:val="00182CEC"/>
    <w:rsid w:val="001B3F20"/>
    <w:rsid w:val="00202A77"/>
    <w:rsid w:val="0020626C"/>
    <w:rsid w:val="00267E56"/>
    <w:rsid w:val="00271CE5"/>
    <w:rsid w:val="00276213"/>
    <w:rsid w:val="00282020"/>
    <w:rsid w:val="002A212E"/>
    <w:rsid w:val="002A2B69"/>
    <w:rsid w:val="00307672"/>
    <w:rsid w:val="00320E0D"/>
    <w:rsid w:val="003636BF"/>
    <w:rsid w:val="00365FA6"/>
    <w:rsid w:val="00371442"/>
    <w:rsid w:val="003813D9"/>
    <w:rsid w:val="003845B4"/>
    <w:rsid w:val="00387B1A"/>
    <w:rsid w:val="003B7031"/>
    <w:rsid w:val="003B75D2"/>
    <w:rsid w:val="003C5EE5"/>
    <w:rsid w:val="003D15D0"/>
    <w:rsid w:val="003E1C74"/>
    <w:rsid w:val="004106E1"/>
    <w:rsid w:val="00420D5D"/>
    <w:rsid w:val="004520E7"/>
    <w:rsid w:val="00464E26"/>
    <w:rsid w:val="004657EE"/>
    <w:rsid w:val="00471615"/>
    <w:rsid w:val="00482FF5"/>
    <w:rsid w:val="00484858"/>
    <w:rsid w:val="004B565B"/>
    <w:rsid w:val="004C7983"/>
    <w:rsid w:val="005077C0"/>
    <w:rsid w:val="005207C5"/>
    <w:rsid w:val="00526246"/>
    <w:rsid w:val="00564609"/>
    <w:rsid w:val="00567106"/>
    <w:rsid w:val="005E1D3C"/>
    <w:rsid w:val="00625AE6"/>
    <w:rsid w:val="00632253"/>
    <w:rsid w:val="00642714"/>
    <w:rsid w:val="006455CE"/>
    <w:rsid w:val="00655841"/>
    <w:rsid w:val="00655E20"/>
    <w:rsid w:val="00691A41"/>
    <w:rsid w:val="006F6D65"/>
    <w:rsid w:val="00733017"/>
    <w:rsid w:val="00783310"/>
    <w:rsid w:val="007A4A6D"/>
    <w:rsid w:val="007D1BCF"/>
    <w:rsid w:val="007D75CF"/>
    <w:rsid w:val="007E0440"/>
    <w:rsid w:val="007E6DC5"/>
    <w:rsid w:val="00866E80"/>
    <w:rsid w:val="00871F21"/>
    <w:rsid w:val="00877FFC"/>
    <w:rsid w:val="0088043C"/>
    <w:rsid w:val="00884889"/>
    <w:rsid w:val="00887271"/>
    <w:rsid w:val="00890396"/>
    <w:rsid w:val="008906C9"/>
    <w:rsid w:val="008C5738"/>
    <w:rsid w:val="008D04F0"/>
    <w:rsid w:val="008E65EB"/>
    <w:rsid w:val="008F3500"/>
    <w:rsid w:val="00915C0D"/>
    <w:rsid w:val="00924E3C"/>
    <w:rsid w:val="00930640"/>
    <w:rsid w:val="009612BB"/>
    <w:rsid w:val="0099437B"/>
    <w:rsid w:val="009A0BCB"/>
    <w:rsid w:val="009B2376"/>
    <w:rsid w:val="009C740A"/>
    <w:rsid w:val="00A125C5"/>
    <w:rsid w:val="00A2451C"/>
    <w:rsid w:val="00A3126E"/>
    <w:rsid w:val="00A65EE7"/>
    <w:rsid w:val="00A70133"/>
    <w:rsid w:val="00A770A6"/>
    <w:rsid w:val="00A813B1"/>
    <w:rsid w:val="00AA2118"/>
    <w:rsid w:val="00AB36C4"/>
    <w:rsid w:val="00AC32B2"/>
    <w:rsid w:val="00AD217D"/>
    <w:rsid w:val="00AF051B"/>
    <w:rsid w:val="00B17141"/>
    <w:rsid w:val="00B31575"/>
    <w:rsid w:val="00B74861"/>
    <w:rsid w:val="00B839B3"/>
    <w:rsid w:val="00B8547D"/>
    <w:rsid w:val="00BA5077"/>
    <w:rsid w:val="00BA7BBC"/>
    <w:rsid w:val="00C24623"/>
    <w:rsid w:val="00C250D5"/>
    <w:rsid w:val="00C35666"/>
    <w:rsid w:val="00C542FF"/>
    <w:rsid w:val="00C55C31"/>
    <w:rsid w:val="00C71699"/>
    <w:rsid w:val="00C92898"/>
    <w:rsid w:val="00CA264D"/>
    <w:rsid w:val="00CA4340"/>
    <w:rsid w:val="00CB71FE"/>
    <w:rsid w:val="00CC1A64"/>
    <w:rsid w:val="00CE5238"/>
    <w:rsid w:val="00CE7514"/>
    <w:rsid w:val="00CF670F"/>
    <w:rsid w:val="00D248DE"/>
    <w:rsid w:val="00D270F9"/>
    <w:rsid w:val="00D518FD"/>
    <w:rsid w:val="00D8542D"/>
    <w:rsid w:val="00DB2AD6"/>
    <w:rsid w:val="00DC6A71"/>
    <w:rsid w:val="00E0357D"/>
    <w:rsid w:val="00E124C9"/>
    <w:rsid w:val="00E3087B"/>
    <w:rsid w:val="00E74CF8"/>
    <w:rsid w:val="00E76A2E"/>
    <w:rsid w:val="00EA0413"/>
    <w:rsid w:val="00ED1C3E"/>
    <w:rsid w:val="00ED6779"/>
    <w:rsid w:val="00EF0511"/>
    <w:rsid w:val="00F240BB"/>
    <w:rsid w:val="00F314F3"/>
    <w:rsid w:val="00F57FED"/>
    <w:rsid w:val="00FB690A"/>
    <w:rsid w:val="00FC425F"/>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TotalTime>
  <Pages>4</Pages>
  <Words>1377</Words>
  <Characters>8600</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Marjanca Žnidarec</cp:lastModifiedBy>
  <cp:revision>3</cp:revision>
  <cp:lastPrinted>2012-09-24T10:52:00Z</cp:lastPrinted>
  <dcterms:created xsi:type="dcterms:W3CDTF">2025-07-02T06:49:00Z</dcterms:created>
  <dcterms:modified xsi:type="dcterms:W3CDTF">2025-08-18T05:36:00Z</dcterms:modified>
</cp:coreProperties>
</file>