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898A3" w14:textId="77777777" w:rsidR="00985A42" w:rsidRPr="0016181C" w:rsidRDefault="00985A42" w:rsidP="00985A4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6181C">
        <w:rPr>
          <w:rFonts w:ascii="Arial" w:hAnsi="Arial" w:cs="Arial"/>
          <w:b/>
          <w:bCs/>
          <w:sz w:val="20"/>
          <w:szCs w:val="20"/>
        </w:rPr>
        <w:t>STALIŠČE DELOVNE SKUPINE ZA SPREMLJANJE IZVAJANJA NOVEGA PLAČNEGA SISTEMA</w:t>
      </w:r>
    </w:p>
    <w:p w14:paraId="365494A2" w14:textId="77777777" w:rsidR="00985A42" w:rsidRPr="0016181C" w:rsidRDefault="00985A42" w:rsidP="00985A42">
      <w:pPr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65D6E896" w14:textId="6FF2AA6C" w:rsidR="00985A42" w:rsidRPr="0016181C" w:rsidRDefault="00985A42" w:rsidP="00985A42">
      <w:pPr>
        <w:spacing w:after="0"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16181C">
        <w:rPr>
          <w:rFonts w:ascii="Arial" w:hAnsi="Arial" w:cs="Arial"/>
          <w:b/>
          <w:bCs/>
          <w:sz w:val="20"/>
          <w:szCs w:val="20"/>
        </w:rPr>
        <w:t xml:space="preserve">Stališče št. </w:t>
      </w:r>
      <w:r w:rsidR="00C902F3">
        <w:rPr>
          <w:rFonts w:ascii="Arial" w:hAnsi="Arial" w:cs="Arial"/>
          <w:b/>
          <w:bCs/>
          <w:sz w:val="20"/>
          <w:szCs w:val="20"/>
        </w:rPr>
        <w:t>8</w:t>
      </w:r>
      <w:r w:rsidRPr="0016181C">
        <w:rPr>
          <w:rFonts w:ascii="Arial" w:hAnsi="Arial" w:cs="Arial"/>
          <w:b/>
          <w:bCs/>
          <w:sz w:val="20"/>
          <w:szCs w:val="20"/>
        </w:rPr>
        <w:t xml:space="preserve"> – sprejeto na sestanku delovne skupine </w:t>
      </w:r>
      <w:r w:rsidR="009302F8">
        <w:rPr>
          <w:rFonts w:ascii="Arial" w:hAnsi="Arial" w:cs="Arial"/>
          <w:b/>
          <w:bCs/>
          <w:sz w:val="20"/>
          <w:szCs w:val="20"/>
        </w:rPr>
        <w:t>7. 10. 2025</w:t>
      </w:r>
    </w:p>
    <w:p w14:paraId="616D3DF3" w14:textId="6C2C3149" w:rsidR="00985A42" w:rsidRDefault="00985A42" w:rsidP="00985A42">
      <w:pPr>
        <w:jc w:val="both"/>
        <w:rPr>
          <w:rFonts w:ascii="Arial" w:hAnsi="Arial" w:cs="Arial"/>
          <w:sz w:val="20"/>
          <w:szCs w:val="20"/>
        </w:rPr>
      </w:pPr>
    </w:p>
    <w:p w14:paraId="43E19A9E" w14:textId="77777777" w:rsidR="006B3CBA" w:rsidRDefault="006B3CBA" w:rsidP="006B3CBA">
      <w:pPr>
        <w:pStyle w:val="ZADEVA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Prenos plačnih razredov napredovanj na podlagi tretjega odstavka 97. člena ZSTSPJS v primeru</w:t>
      </w:r>
    </w:p>
    <w:p w14:paraId="78442402" w14:textId="22BA9C09" w:rsidR="006B3CBA" w:rsidRDefault="006B3CBA" w:rsidP="006B3CBA">
      <w:pPr>
        <w:pStyle w:val="ZADEVA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premestitev javnih uslužbencev in napredovanja v višji naziv</w:t>
      </w:r>
    </w:p>
    <w:p w14:paraId="121723CE" w14:textId="77777777" w:rsidR="006B3CBA" w:rsidRDefault="006B3CBA" w:rsidP="006B3CBA">
      <w:pPr>
        <w:spacing w:after="0" w:line="240" w:lineRule="auto"/>
        <w:jc w:val="both"/>
        <w:rPr>
          <w:rFonts w:eastAsia="Calibri" w:cs="Arial"/>
          <w:szCs w:val="20"/>
          <w:lang w:eastAsia="sl-SI"/>
        </w:rPr>
      </w:pPr>
    </w:p>
    <w:p w14:paraId="0FCE7F59" w14:textId="77777777" w:rsidR="006B3CBA" w:rsidRDefault="006B3CBA" w:rsidP="006B3CBA">
      <w:pPr>
        <w:spacing w:after="0" w:line="240" w:lineRule="auto"/>
        <w:jc w:val="both"/>
        <w:rPr>
          <w:rFonts w:eastAsia="Calibri" w:cs="Arial"/>
          <w:szCs w:val="20"/>
          <w:lang w:eastAsia="sl-SI"/>
        </w:rPr>
      </w:pPr>
    </w:p>
    <w:p w14:paraId="6951665C" w14:textId="7FAFA15E" w:rsidR="006B3CBA" w:rsidRDefault="006B3CBA" w:rsidP="006B3CBA">
      <w:pPr>
        <w:spacing w:after="0" w:line="240" w:lineRule="auto"/>
        <w:jc w:val="both"/>
        <w:rPr>
          <w:rFonts w:eastAsia="Calibri" w:cs="Arial"/>
          <w:szCs w:val="20"/>
          <w:lang w:eastAsia="sl-SI"/>
        </w:rPr>
      </w:pPr>
      <w:r w:rsidRPr="00E303D7">
        <w:rPr>
          <w:rFonts w:eastAsia="Calibri" w:cs="Arial"/>
          <w:szCs w:val="20"/>
          <w:lang w:eastAsia="sl-SI"/>
        </w:rPr>
        <w:t xml:space="preserve">Tretji odstavek 97. člena </w:t>
      </w:r>
      <w:r w:rsidRPr="00501F8F">
        <w:rPr>
          <w:rFonts w:eastAsia="Calibri" w:cs="Arial"/>
          <w:szCs w:val="20"/>
          <w:lang w:eastAsia="sl-SI"/>
        </w:rPr>
        <w:t xml:space="preserve">Zakona o skupnih temeljih sistema plač v javnem sektorju (Uradni list RS, št. 95/24; v nadaljevanju: ZSTSPJS) </w:t>
      </w:r>
      <w:r w:rsidRPr="00E303D7">
        <w:rPr>
          <w:rFonts w:eastAsia="Calibri" w:cs="Arial"/>
          <w:szCs w:val="20"/>
          <w:lang w:eastAsia="sl-SI"/>
        </w:rPr>
        <w:t>določa, da se plačni razredi, pridobljeni s prevedbo ali korekcijo, ki presegajo izhodiščni plačni razred, delovnega mesta ali naziva, štejejo za napredovanje. Za napredovanje se štejejo tudi plačni razredi, pridobljeni s prevedbo ali korekcijo, ki presegajo končni plačni razred delovnega mesta ali naziva. Časovno obdobje za napredovanje se z višjo uvrstitvijo na podlagi prevedbe ali korekcije ne prekine. Za prenos plačnih razredov iz tega odstavka ne velja sedmi odstavek 17. člena v primeru, ko se javni uslužbenec premesti ali sklene pogodbo o zaposlitvi za drugo delovno mesto v istem ali nižjem tarifnem razredu, če je to delovno mesto v isti plačni podskupini ali gre za sorodno oziroma istovrstno delovnemu mestu v drugi plačni podskupini. V primeru napredovanja v višji naziv na istem delovnem mestu za plačne razrede iz tega odstavka ne velja omejitev iz drugega odstavka 20. člena tega zakona.</w:t>
      </w:r>
    </w:p>
    <w:p w14:paraId="72D0D0E1" w14:textId="77777777" w:rsidR="006B3CBA" w:rsidRPr="00E303D7" w:rsidRDefault="006B3CBA" w:rsidP="006B3CBA">
      <w:pPr>
        <w:spacing w:after="0" w:line="240" w:lineRule="auto"/>
        <w:jc w:val="both"/>
        <w:rPr>
          <w:rFonts w:eastAsia="Calibri" w:cs="Arial"/>
          <w:szCs w:val="20"/>
          <w:lang w:eastAsia="sl-SI"/>
        </w:rPr>
      </w:pPr>
    </w:p>
    <w:p w14:paraId="4FEA326F" w14:textId="77777777" w:rsidR="006B3CBA" w:rsidRDefault="006B3CBA" w:rsidP="006B3CBA">
      <w:pPr>
        <w:spacing w:after="0" w:line="240" w:lineRule="auto"/>
        <w:jc w:val="both"/>
        <w:rPr>
          <w:rFonts w:eastAsia="Calibri" w:cs="Arial"/>
          <w:szCs w:val="20"/>
          <w:lang w:eastAsia="sl-SI"/>
        </w:rPr>
      </w:pPr>
      <w:r w:rsidRPr="00E303D7">
        <w:rPr>
          <w:rFonts w:eastAsia="Calibri" w:cs="Arial"/>
          <w:szCs w:val="20"/>
          <w:lang w:eastAsia="sl-SI"/>
        </w:rPr>
        <w:t xml:space="preserve">V primeru, ko se javni uslužbenec premesti ali sklene pogodbo o zaposlitvi za delovno mesto v istem ali nižjem tarifnem razredu, za plačne razrede, pridobljene s prevedbo ali korekcijo, ne velja omejitev končnega plačnega razreda delovnega mesta ali naziva iz sedmega odstavka 17. člena ZSTSPJS, pod pogojem, da sta delovni mesti v isti plačni podskupini ali da gre za sorodni oziroma istovrstni delovni mesti. </w:t>
      </w:r>
    </w:p>
    <w:p w14:paraId="669DBF56" w14:textId="77777777" w:rsidR="006B3CBA" w:rsidRPr="00E303D7" w:rsidRDefault="006B3CBA" w:rsidP="006B3CBA">
      <w:pPr>
        <w:spacing w:after="0" w:line="240" w:lineRule="auto"/>
        <w:jc w:val="both"/>
        <w:rPr>
          <w:rFonts w:eastAsia="Calibri" w:cs="Arial"/>
          <w:szCs w:val="20"/>
          <w:lang w:eastAsia="sl-SI"/>
        </w:rPr>
      </w:pPr>
    </w:p>
    <w:p w14:paraId="4CC23F7A" w14:textId="77777777" w:rsidR="006B3CBA" w:rsidRDefault="006B3CBA" w:rsidP="006B3CBA">
      <w:pPr>
        <w:spacing w:after="0" w:line="240" w:lineRule="auto"/>
        <w:jc w:val="both"/>
        <w:rPr>
          <w:rFonts w:eastAsia="Calibri" w:cs="Arial"/>
          <w:szCs w:val="20"/>
          <w:lang w:eastAsia="sl-SI"/>
        </w:rPr>
      </w:pPr>
      <w:r w:rsidRPr="00E303D7">
        <w:rPr>
          <w:rFonts w:eastAsia="Calibri" w:cs="Arial"/>
          <w:szCs w:val="20"/>
          <w:lang w:eastAsia="sl-SI"/>
        </w:rPr>
        <w:t>V primeru napredovanja v višji naziv na istem delovnem mestu za plačne razrede, pridobljene s prevedbo ali korekcijo, ne velja omejitev končnega plačnega razreda delovnega mesta ali naziva iz drugega odstavka 20. člena ZSTSPJS.</w:t>
      </w:r>
    </w:p>
    <w:p w14:paraId="530A011D" w14:textId="77777777" w:rsidR="006B3CBA" w:rsidRPr="00E303D7" w:rsidRDefault="006B3CBA" w:rsidP="006B3CBA">
      <w:pPr>
        <w:spacing w:after="0" w:line="240" w:lineRule="auto"/>
        <w:jc w:val="both"/>
        <w:rPr>
          <w:rFonts w:eastAsia="Calibri" w:cs="Arial"/>
          <w:szCs w:val="20"/>
          <w:lang w:eastAsia="sl-SI"/>
        </w:rPr>
      </w:pPr>
    </w:p>
    <w:p w14:paraId="05A7F1C1" w14:textId="6E7D5EDF" w:rsidR="00BB6D13" w:rsidRPr="00BB6D13" w:rsidRDefault="00E739AA" w:rsidP="00BB6D13">
      <w:pPr>
        <w:spacing w:line="240" w:lineRule="auto"/>
        <w:jc w:val="both"/>
        <w:rPr>
          <w:rFonts w:eastAsia="Calibri" w:cs="Arial"/>
          <w:szCs w:val="20"/>
          <w:lang w:eastAsia="sl-SI"/>
        </w:rPr>
      </w:pPr>
      <w:r w:rsidRPr="00E739AA">
        <w:rPr>
          <w:rFonts w:eastAsia="Calibri" w:cs="Arial"/>
          <w:szCs w:val="20"/>
          <w:lang w:eastAsia="sl-SI"/>
        </w:rPr>
        <w:t xml:space="preserve">Določba tretjega odstavka 97. člena ZSTSPJS </w:t>
      </w:r>
      <w:r>
        <w:rPr>
          <w:rFonts w:eastAsia="Calibri" w:cs="Arial"/>
          <w:szCs w:val="20"/>
          <w:lang w:eastAsia="sl-SI"/>
        </w:rPr>
        <w:t xml:space="preserve">torej </w:t>
      </w:r>
      <w:r w:rsidRPr="00E739AA">
        <w:rPr>
          <w:rFonts w:eastAsia="Calibri" w:cs="Arial"/>
          <w:szCs w:val="20"/>
          <w:lang w:eastAsia="sl-SI"/>
        </w:rPr>
        <w:t xml:space="preserve">določa izjemo od pravila iz 17. oziroma 20. člena ZSTSPJS, da javnega uslužbenca ni mogoče uvrstiti v višji plačni razred, kot znaša končni plačni razred delovnega mesta oziroma naziva. </w:t>
      </w:r>
      <w:r w:rsidR="00D14ADB">
        <w:rPr>
          <w:rFonts w:eastAsia="Calibri" w:cs="Arial"/>
          <w:szCs w:val="20"/>
          <w:lang w:eastAsia="sl-SI"/>
        </w:rPr>
        <w:t>O</w:t>
      </w:r>
      <w:r w:rsidR="00D14ADB" w:rsidRPr="00E739AA">
        <w:rPr>
          <w:rFonts w:eastAsia="Calibri" w:cs="Arial"/>
          <w:szCs w:val="20"/>
          <w:lang w:eastAsia="sl-SI"/>
        </w:rPr>
        <w:t xml:space="preserve">mejitev končnega plačnega razreda delovnega mesta </w:t>
      </w:r>
      <w:r w:rsidR="00D14ADB">
        <w:rPr>
          <w:rFonts w:eastAsia="Calibri" w:cs="Arial"/>
          <w:szCs w:val="20"/>
          <w:lang w:eastAsia="sl-SI"/>
        </w:rPr>
        <w:t xml:space="preserve">oziroma </w:t>
      </w:r>
      <w:r w:rsidR="00D14ADB" w:rsidRPr="00E739AA">
        <w:rPr>
          <w:rFonts w:eastAsia="Calibri" w:cs="Arial"/>
          <w:szCs w:val="20"/>
          <w:lang w:eastAsia="sl-SI"/>
        </w:rPr>
        <w:t>naziva</w:t>
      </w:r>
      <w:r w:rsidR="00D14ADB">
        <w:rPr>
          <w:rFonts w:eastAsia="Calibri" w:cs="Arial"/>
          <w:szCs w:val="20"/>
          <w:lang w:eastAsia="sl-SI"/>
        </w:rPr>
        <w:t xml:space="preserve"> ne velja zgolj z</w:t>
      </w:r>
      <w:r w:rsidR="006B3CBA" w:rsidRPr="00E739AA">
        <w:rPr>
          <w:rFonts w:eastAsia="Calibri" w:cs="Arial"/>
          <w:szCs w:val="20"/>
          <w:lang w:eastAsia="sl-SI"/>
        </w:rPr>
        <w:t xml:space="preserve">a plačne razrede, </w:t>
      </w:r>
      <w:r w:rsidR="005B4802">
        <w:rPr>
          <w:rFonts w:eastAsia="Calibri" w:cs="Arial"/>
          <w:szCs w:val="20"/>
          <w:lang w:eastAsia="sl-SI"/>
        </w:rPr>
        <w:t xml:space="preserve">ki jih je javni uslužbenec pridobil </w:t>
      </w:r>
      <w:r w:rsidR="006B3CBA" w:rsidRPr="00E739AA">
        <w:rPr>
          <w:rFonts w:eastAsia="Calibri" w:cs="Arial"/>
          <w:szCs w:val="20"/>
          <w:lang w:eastAsia="sl-SI"/>
        </w:rPr>
        <w:t>s prevedbo ali korekcijo</w:t>
      </w:r>
      <w:r w:rsidR="005B4802">
        <w:rPr>
          <w:rFonts w:eastAsia="Calibri" w:cs="Arial"/>
          <w:szCs w:val="20"/>
          <w:lang w:eastAsia="sl-SI"/>
        </w:rPr>
        <w:t xml:space="preserve"> v skladu s 96. in 97. členom ZSTSPJS</w:t>
      </w:r>
      <w:r w:rsidR="002F212C" w:rsidRPr="00E739AA">
        <w:rPr>
          <w:rFonts w:eastAsia="Calibri" w:cs="Arial"/>
          <w:szCs w:val="20"/>
          <w:lang w:eastAsia="sl-SI"/>
        </w:rPr>
        <w:t xml:space="preserve">. </w:t>
      </w:r>
      <w:r w:rsidR="00BB6D13">
        <w:rPr>
          <w:rFonts w:eastAsia="Calibri" w:cs="Arial"/>
          <w:szCs w:val="20"/>
          <w:lang w:eastAsia="sl-SI"/>
        </w:rPr>
        <w:t xml:space="preserve">Plačni razredi, </w:t>
      </w:r>
      <w:r w:rsidR="00BB6D13" w:rsidRPr="00BB6D13">
        <w:rPr>
          <w:rFonts w:eastAsia="Calibri" w:cs="Arial"/>
          <w:szCs w:val="20"/>
          <w:lang w:eastAsia="sl-SI"/>
        </w:rPr>
        <w:t>pridobljeni s prevedbo</w:t>
      </w:r>
      <w:r w:rsidR="00BB6D13">
        <w:rPr>
          <w:rFonts w:eastAsia="Calibri" w:cs="Arial"/>
          <w:szCs w:val="20"/>
          <w:lang w:eastAsia="sl-SI"/>
        </w:rPr>
        <w:t xml:space="preserve"> ali </w:t>
      </w:r>
      <w:r w:rsidR="00BB6D13" w:rsidRPr="00BB6D13">
        <w:rPr>
          <w:rFonts w:eastAsia="Calibri" w:cs="Arial"/>
          <w:szCs w:val="20"/>
          <w:lang w:eastAsia="sl-SI"/>
        </w:rPr>
        <w:t>korekcijo</w:t>
      </w:r>
      <w:r w:rsidR="00BB6D13">
        <w:rPr>
          <w:rFonts w:eastAsia="Calibri" w:cs="Arial"/>
          <w:szCs w:val="20"/>
          <w:lang w:eastAsia="sl-SI"/>
        </w:rPr>
        <w:t>,</w:t>
      </w:r>
      <w:r w:rsidR="00BB6D13" w:rsidRPr="00BB6D13">
        <w:rPr>
          <w:rFonts w:eastAsia="Calibri" w:cs="Arial"/>
          <w:szCs w:val="20"/>
          <w:lang w:eastAsia="sl-SI"/>
        </w:rPr>
        <w:t xml:space="preserve"> so vsi </w:t>
      </w:r>
      <w:r w:rsidR="00BB6D13">
        <w:rPr>
          <w:rFonts w:eastAsia="Calibri" w:cs="Arial"/>
          <w:szCs w:val="20"/>
          <w:lang w:eastAsia="sl-SI"/>
        </w:rPr>
        <w:t>plačni razredi</w:t>
      </w:r>
      <w:r w:rsidR="00BB6D13" w:rsidRPr="00BB6D13">
        <w:rPr>
          <w:rFonts w:eastAsia="Calibri" w:cs="Arial"/>
          <w:szCs w:val="20"/>
          <w:lang w:eastAsia="sl-SI"/>
        </w:rPr>
        <w:t xml:space="preserve">, ki jih ima </w:t>
      </w:r>
      <w:r w:rsidR="00BB6D13">
        <w:rPr>
          <w:rFonts w:eastAsia="Calibri" w:cs="Arial"/>
          <w:szCs w:val="20"/>
          <w:lang w:eastAsia="sl-SI"/>
        </w:rPr>
        <w:t>javni uslužbenec</w:t>
      </w:r>
      <w:r w:rsidR="00BB6D13" w:rsidRPr="00BB6D13">
        <w:rPr>
          <w:rFonts w:eastAsia="Calibri" w:cs="Arial"/>
          <w:szCs w:val="20"/>
          <w:lang w:eastAsia="sl-SI"/>
        </w:rPr>
        <w:t xml:space="preserve"> na dan 1. 1. 2025 po prevedbi na </w:t>
      </w:r>
      <w:r w:rsidR="00BB6D13">
        <w:rPr>
          <w:rFonts w:eastAsia="Calibri" w:cs="Arial"/>
          <w:szCs w:val="20"/>
          <w:lang w:eastAsia="sl-SI"/>
        </w:rPr>
        <w:t>delovnem mestu</w:t>
      </w:r>
      <w:r w:rsidR="00BB6D13" w:rsidRPr="00BB6D13">
        <w:rPr>
          <w:rFonts w:eastAsia="Calibri" w:cs="Arial"/>
          <w:szCs w:val="20"/>
          <w:lang w:eastAsia="sl-SI"/>
        </w:rPr>
        <w:t xml:space="preserve"> ali v</w:t>
      </w:r>
      <w:r w:rsidR="00BB6D13">
        <w:rPr>
          <w:rFonts w:eastAsia="Calibri" w:cs="Arial"/>
          <w:szCs w:val="20"/>
          <w:lang w:eastAsia="sl-SI"/>
        </w:rPr>
        <w:t xml:space="preserve"> nazivu</w:t>
      </w:r>
      <w:r w:rsidR="00BB6D13" w:rsidRPr="00BB6D13">
        <w:rPr>
          <w:rFonts w:eastAsia="Calibri" w:cs="Arial"/>
          <w:szCs w:val="20"/>
          <w:lang w:eastAsia="sl-SI"/>
        </w:rPr>
        <w:t xml:space="preserve">, ne pa tudi drugi </w:t>
      </w:r>
      <w:r w:rsidR="00BB6D13">
        <w:rPr>
          <w:rFonts w:eastAsia="Calibri" w:cs="Arial"/>
          <w:szCs w:val="20"/>
          <w:lang w:eastAsia="sl-SI"/>
        </w:rPr>
        <w:t>plačni razredi</w:t>
      </w:r>
      <w:r w:rsidR="00BB6D13" w:rsidRPr="00BB6D13">
        <w:rPr>
          <w:rFonts w:eastAsia="Calibri" w:cs="Arial"/>
          <w:szCs w:val="20"/>
          <w:lang w:eastAsia="sl-SI"/>
        </w:rPr>
        <w:t>, pridobljeni po prevedbi (npr. z napredovanjem, višjo uvrstitvijo po 22. členu ZSTSPJS ali s pravili prenosa po 17. členu ZSTSPJS).</w:t>
      </w:r>
    </w:p>
    <w:p w14:paraId="523E88F8" w14:textId="16F228D8" w:rsidR="006B3CBA" w:rsidRDefault="002F212C" w:rsidP="006B3CBA">
      <w:pPr>
        <w:spacing w:after="0" w:line="240" w:lineRule="auto"/>
        <w:jc w:val="both"/>
        <w:rPr>
          <w:rFonts w:eastAsia="Calibri" w:cs="Arial"/>
          <w:szCs w:val="20"/>
          <w:lang w:eastAsia="sl-SI"/>
        </w:rPr>
      </w:pPr>
      <w:r w:rsidRPr="00E739AA">
        <w:rPr>
          <w:rFonts w:eastAsia="Calibri" w:cs="Arial"/>
          <w:szCs w:val="20"/>
          <w:lang w:eastAsia="sl-SI"/>
        </w:rPr>
        <w:t>Navedenega pa ni mogoče razumeti</w:t>
      </w:r>
      <w:r>
        <w:rPr>
          <w:rFonts w:eastAsia="Calibri" w:cs="Arial"/>
          <w:szCs w:val="20"/>
          <w:lang w:eastAsia="sl-SI"/>
        </w:rPr>
        <w:t xml:space="preserve"> na način, da omejitve plačnega razreda na delovnem mestu oziroma </w:t>
      </w:r>
      <w:r w:rsidR="00D14ADB">
        <w:rPr>
          <w:rFonts w:eastAsia="Calibri" w:cs="Arial"/>
          <w:szCs w:val="20"/>
          <w:lang w:eastAsia="sl-SI"/>
        </w:rPr>
        <w:t xml:space="preserve">v </w:t>
      </w:r>
      <w:r>
        <w:rPr>
          <w:rFonts w:eastAsia="Calibri" w:cs="Arial"/>
          <w:szCs w:val="20"/>
          <w:lang w:eastAsia="sl-SI"/>
        </w:rPr>
        <w:t>nazivu sploh ni.</w:t>
      </w:r>
    </w:p>
    <w:p w14:paraId="6969FF8E" w14:textId="77777777" w:rsidR="002F212C" w:rsidRDefault="002F212C" w:rsidP="006B3CBA">
      <w:pPr>
        <w:spacing w:after="0" w:line="240" w:lineRule="auto"/>
        <w:jc w:val="both"/>
        <w:rPr>
          <w:rFonts w:eastAsia="Calibri" w:cs="Arial"/>
          <w:szCs w:val="20"/>
          <w:lang w:eastAsia="sl-SI"/>
        </w:rPr>
      </w:pPr>
    </w:p>
    <w:p w14:paraId="7F657423" w14:textId="05FE5D5D" w:rsidR="00C0796E" w:rsidRPr="00C0796E" w:rsidRDefault="004C4E0C" w:rsidP="004C4E0C">
      <w:pPr>
        <w:spacing w:after="0" w:line="240" w:lineRule="auto"/>
      </w:pPr>
      <w:r>
        <w:rPr>
          <w:rFonts w:eastAsia="Calibri" w:cs="Arial"/>
          <w:szCs w:val="20"/>
          <w:lang w:eastAsia="sl-SI"/>
        </w:rPr>
        <w:t xml:space="preserve">Javni uslužbenci se </w:t>
      </w:r>
      <w:r w:rsidRPr="00E739AA">
        <w:rPr>
          <w:rFonts w:eastAsia="Calibri" w:cs="Arial"/>
          <w:szCs w:val="20"/>
          <w:lang w:eastAsia="sl-SI"/>
        </w:rPr>
        <w:t xml:space="preserve">lahko v skladu s tretjim odstavkom 97. člena ZSTSPJS na drugem delovnem mestu po pravilih iz 17. člena ZSTSPJS ali ob napredovanju v višji naziv na istem delovnem mestu </w:t>
      </w:r>
      <w:r w:rsidR="00C902F3" w:rsidRPr="00E739AA">
        <w:rPr>
          <w:rFonts w:eastAsia="Calibri" w:cs="Arial"/>
          <w:szCs w:val="20"/>
          <w:lang w:eastAsia="sl-SI"/>
        </w:rPr>
        <w:t>po pravilih</w:t>
      </w:r>
      <w:r w:rsidRPr="00E739AA">
        <w:rPr>
          <w:rFonts w:eastAsia="Calibri" w:cs="Arial"/>
          <w:szCs w:val="20"/>
          <w:lang w:eastAsia="sl-SI"/>
        </w:rPr>
        <w:t xml:space="preserve"> 20. člen</w:t>
      </w:r>
      <w:r w:rsidR="00C902F3" w:rsidRPr="00E739AA">
        <w:rPr>
          <w:rFonts w:eastAsia="Calibri" w:cs="Arial"/>
          <w:szCs w:val="20"/>
          <w:lang w:eastAsia="sl-SI"/>
        </w:rPr>
        <w:t xml:space="preserve">a </w:t>
      </w:r>
      <w:r w:rsidRPr="00E739AA">
        <w:rPr>
          <w:rFonts w:eastAsia="Calibri" w:cs="Arial"/>
          <w:szCs w:val="20"/>
          <w:lang w:eastAsia="sl-SI"/>
        </w:rPr>
        <w:t xml:space="preserve">ZSTSPJS </w:t>
      </w:r>
      <w:r w:rsidR="00C0796E" w:rsidRPr="00C0796E">
        <w:t xml:space="preserve">s </w:t>
      </w:r>
      <w:r w:rsidRPr="00E739AA">
        <w:t>plačnimi razredi</w:t>
      </w:r>
      <w:r w:rsidR="00C0796E" w:rsidRPr="00C0796E">
        <w:t xml:space="preserve">, pridobljenimi s prevedbo ali korekcijo, </w:t>
      </w:r>
      <w:r w:rsidRPr="00E739AA">
        <w:t>uv</w:t>
      </w:r>
      <w:r w:rsidR="00C0796E" w:rsidRPr="00C0796E">
        <w:t xml:space="preserve">rstijo </w:t>
      </w:r>
      <w:r w:rsidRPr="00E739AA">
        <w:t xml:space="preserve">čez </w:t>
      </w:r>
      <w:r w:rsidR="00C0796E" w:rsidRPr="00C0796E">
        <w:t xml:space="preserve">končni plačni razred </w:t>
      </w:r>
      <w:r w:rsidRPr="00E739AA">
        <w:t>delovnega mesta ali naziva,</w:t>
      </w:r>
      <w:r w:rsidR="00C0796E" w:rsidRPr="00C0796E">
        <w:t xml:space="preserve"> vendar:</w:t>
      </w:r>
    </w:p>
    <w:p w14:paraId="72256B15" w14:textId="5BFD17AD" w:rsidR="00C0796E" w:rsidRPr="00C0796E" w:rsidRDefault="00C0796E" w:rsidP="00370E15">
      <w:pPr>
        <w:numPr>
          <w:ilvl w:val="0"/>
          <w:numId w:val="9"/>
        </w:numPr>
        <w:spacing w:after="0" w:line="240" w:lineRule="auto"/>
      </w:pPr>
      <w:r w:rsidRPr="00C0796E">
        <w:t xml:space="preserve">največ 14 plačnih razredov nad izhodiščnim </w:t>
      </w:r>
      <w:r w:rsidR="004C4E0C" w:rsidRPr="00E739AA">
        <w:t>plačnim</w:t>
      </w:r>
      <w:r w:rsidR="004C4E0C">
        <w:t xml:space="preserve"> razredom</w:t>
      </w:r>
      <w:r w:rsidRPr="00C0796E">
        <w:t xml:space="preserve"> delovnega mesta, </w:t>
      </w:r>
      <w:r w:rsidR="004C4E0C">
        <w:t xml:space="preserve">ki se ne </w:t>
      </w:r>
      <w:r w:rsidRPr="00C0796E">
        <w:t>ne opravlja v nazivih,</w:t>
      </w:r>
      <w:r w:rsidR="00AE693D">
        <w:t xml:space="preserve"> in</w:t>
      </w:r>
      <w:r w:rsidR="00E739AA">
        <w:t xml:space="preserve"> </w:t>
      </w:r>
    </w:p>
    <w:p w14:paraId="2089F4F3" w14:textId="5EEE5875" w:rsidR="00C0796E" w:rsidRDefault="00C0796E" w:rsidP="00370E15">
      <w:pPr>
        <w:numPr>
          <w:ilvl w:val="0"/>
          <w:numId w:val="9"/>
        </w:numPr>
        <w:spacing w:after="0" w:line="240" w:lineRule="auto"/>
      </w:pPr>
      <w:r w:rsidRPr="00C0796E">
        <w:t xml:space="preserve">največ 7 plačnih razredov nad izhodiščnim </w:t>
      </w:r>
      <w:r w:rsidR="000F582F">
        <w:t>plačnim razredom</w:t>
      </w:r>
      <w:r w:rsidRPr="00C0796E">
        <w:t xml:space="preserve"> naziva</w:t>
      </w:r>
      <w:r w:rsidR="00AE693D">
        <w:t xml:space="preserve">, </w:t>
      </w:r>
    </w:p>
    <w:p w14:paraId="0C47F110" w14:textId="2D90BC6E" w:rsidR="00AE693D" w:rsidRPr="00C0796E" w:rsidRDefault="00AE693D" w:rsidP="00370E15">
      <w:pPr>
        <w:numPr>
          <w:ilvl w:val="0"/>
          <w:numId w:val="9"/>
        </w:numPr>
        <w:spacing w:after="0" w:line="240" w:lineRule="auto"/>
      </w:pPr>
      <w:r>
        <w:t>razen č</w:t>
      </w:r>
      <w:r w:rsidRPr="000D6056">
        <w:t>e je</w:t>
      </w:r>
      <w:r>
        <w:t xml:space="preserve"> bilo</w:t>
      </w:r>
      <w:r w:rsidRPr="000D6056">
        <w:t xml:space="preserve"> v </w:t>
      </w:r>
      <w:r>
        <w:t xml:space="preserve">posameznem </w:t>
      </w:r>
      <w:r w:rsidRPr="000D6056">
        <w:t>nazivu možno s prevedbo</w:t>
      </w:r>
      <w:r>
        <w:t xml:space="preserve"> ali korekcijo</w:t>
      </w:r>
      <w:r w:rsidRPr="000D6056">
        <w:t xml:space="preserve"> dobiti več kot 7 plačnih razredov</w:t>
      </w:r>
      <w:r>
        <w:t xml:space="preserve"> napredovanj</w:t>
      </w:r>
      <w:r w:rsidRPr="000D6056">
        <w:t xml:space="preserve">, </w:t>
      </w:r>
      <w:r>
        <w:t>se javni uslužbenci</w:t>
      </w:r>
      <w:r w:rsidRPr="000D6056">
        <w:t xml:space="preserve"> lahko </w:t>
      </w:r>
      <w:r>
        <w:t>uvrstijo</w:t>
      </w:r>
      <w:r w:rsidRPr="000D6056">
        <w:t xml:space="preserve"> največ za toliko </w:t>
      </w:r>
      <w:r>
        <w:t xml:space="preserve">plačnih </w:t>
      </w:r>
      <w:r>
        <w:lastRenderedPageBreak/>
        <w:t>razredov</w:t>
      </w:r>
      <w:r w:rsidRPr="000D6056">
        <w:t xml:space="preserve"> nad izhodiščni </w:t>
      </w:r>
      <w:r>
        <w:t>plačnim razredom</w:t>
      </w:r>
      <w:r w:rsidRPr="000D6056">
        <w:t xml:space="preserve"> naziva, kolikor jih je bilo možno v tem nazivu pridobiti s prevedbo </w:t>
      </w:r>
      <w:r>
        <w:t>ali korekcijo</w:t>
      </w:r>
      <w:r w:rsidRPr="000D6056">
        <w:t>.</w:t>
      </w:r>
    </w:p>
    <w:p w14:paraId="2AF7F2BE" w14:textId="77777777" w:rsidR="009302F8" w:rsidRDefault="009302F8" w:rsidP="006B3CBA">
      <w:pPr>
        <w:spacing w:after="0" w:line="240" w:lineRule="auto"/>
        <w:jc w:val="both"/>
        <w:rPr>
          <w:rFonts w:eastAsia="Calibri" w:cs="Arial"/>
          <w:szCs w:val="20"/>
          <w:lang w:eastAsia="sl-SI"/>
        </w:rPr>
      </w:pPr>
    </w:p>
    <w:p w14:paraId="356930A4" w14:textId="4B80E5AD" w:rsidR="004C4E0C" w:rsidRDefault="00C902F3" w:rsidP="006B3CBA">
      <w:pPr>
        <w:spacing w:after="0" w:line="240" w:lineRule="auto"/>
        <w:jc w:val="both"/>
        <w:rPr>
          <w:rFonts w:eastAsia="Calibri" w:cs="Arial"/>
          <w:szCs w:val="20"/>
          <w:lang w:eastAsia="sl-SI"/>
        </w:rPr>
      </w:pPr>
      <w:r>
        <w:rPr>
          <w:rFonts w:eastAsia="Calibri" w:cs="Arial"/>
          <w:szCs w:val="20"/>
          <w:lang w:eastAsia="sl-SI"/>
        </w:rPr>
        <w:t xml:space="preserve">Navedeni omejitvi upoštevata, da je bilo </w:t>
      </w:r>
      <w:r w:rsidR="00C0796E" w:rsidRPr="00C0796E">
        <w:t xml:space="preserve">s prevedbo </w:t>
      </w:r>
      <w:r>
        <w:t xml:space="preserve">ali korekcijo </w:t>
      </w:r>
      <w:r w:rsidR="00C0796E" w:rsidRPr="00C0796E">
        <w:t xml:space="preserve">na </w:t>
      </w:r>
      <w:r>
        <w:t xml:space="preserve">delovnih mestih </w:t>
      </w:r>
      <w:r w:rsidR="00C0796E" w:rsidRPr="00C0796E">
        <w:t xml:space="preserve">brez naziva možno pridobiti največ 14 </w:t>
      </w:r>
      <w:r>
        <w:t>plačnih razredov napredovanj</w:t>
      </w:r>
      <w:r w:rsidR="000D6056">
        <w:t xml:space="preserve">, </w:t>
      </w:r>
      <w:r w:rsidR="00C0796E" w:rsidRPr="00C0796E">
        <w:t xml:space="preserve">v nazivu </w:t>
      </w:r>
      <w:r w:rsidR="000D6056">
        <w:t>pa</w:t>
      </w:r>
      <w:r w:rsidR="00C0796E" w:rsidRPr="00C0796E">
        <w:t xml:space="preserve"> praviloma največ 7 </w:t>
      </w:r>
      <w:r w:rsidR="000D6056">
        <w:t xml:space="preserve">plačnih razredov napredovanj. </w:t>
      </w:r>
    </w:p>
    <w:sectPr w:rsidR="004C4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A7048"/>
    <w:multiLevelType w:val="hybridMultilevel"/>
    <w:tmpl w:val="B336A970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B6C4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D058DE"/>
    <w:multiLevelType w:val="hybridMultilevel"/>
    <w:tmpl w:val="AC2EF0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67C1C"/>
    <w:multiLevelType w:val="multilevel"/>
    <w:tmpl w:val="10A6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A6396"/>
    <w:multiLevelType w:val="hybridMultilevel"/>
    <w:tmpl w:val="6DF0EB84"/>
    <w:lvl w:ilvl="0" w:tplc="E28CD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82DD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A9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FE7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4AB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DE7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84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0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E61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115B72"/>
    <w:multiLevelType w:val="hybridMultilevel"/>
    <w:tmpl w:val="4962AC28"/>
    <w:lvl w:ilvl="0" w:tplc="0EB6C4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415694"/>
    <w:multiLevelType w:val="hybridMultilevel"/>
    <w:tmpl w:val="0B7E6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53564"/>
    <w:multiLevelType w:val="multilevel"/>
    <w:tmpl w:val="097635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005844"/>
    <w:multiLevelType w:val="hybridMultilevel"/>
    <w:tmpl w:val="F5D8F44E"/>
    <w:lvl w:ilvl="0" w:tplc="F3E89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702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81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180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62F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920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2C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E21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406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F047EA5"/>
    <w:multiLevelType w:val="hybridMultilevel"/>
    <w:tmpl w:val="9384B9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608940">
    <w:abstractNumId w:val="5"/>
  </w:num>
  <w:num w:numId="2" w16cid:durableId="1153717652">
    <w:abstractNumId w:val="8"/>
  </w:num>
  <w:num w:numId="3" w16cid:durableId="319697552">
    <w:abstractNumId w:val="1"/>
  </w:num>
  <w:num w:numId="4" w16cid:durableId="1319577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411289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1705306">
    <w:abstractNumId w:val="3"/>
  </w:num>
  <w:num w:numId="7" w16cid:durableId="1854831585">
    <w:abstractNumId w:val="7"/>
  </w:num>
  <w:num w:numId="8" w16cid:durableId="1228222599">
    <w:abstractNumId w:val="0"/>
  </w:num>
  <w:num w:numId="9" w16cid:durableId="2069455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42"/>
    <w:rsid w:val="00006A12"/>
    <w:rsid w:val="000D6056"/>
    <w:rsid w:val="000F582F"/>
    <w:rsid w:val="0011498D"/>
    <w:rsid w:val="00141D73"/>
    <w:rsid w:val="0016245A"/>
    <w:rsid w:val="001A55B3"/>
    <w:rsid w:val="001C7BEC"/>
    <w:rsid w:val="001F7F29"/>
    <w:rsid w:val="002272DC"/>
    <w:rsid w:val="00230F76"/>
    <w:rsid w:val="002845F0"/>
    <w:rsid w:val="002F212C"/>
    <w:rsid w:val="00370E15"/>
    <w:rsid w:val="003A6280"/>
    <w:rsid w:val="00415F53"/>
    <w:rsid w:val="004C4E0C"/>
    <w:rsid w:val="004F4819"/>
    <w:rsid w:val="005B1C65"/>
    <w:rsid w:val="005B4802"/>
    <w:rsid w:val="005B4FC0"/>
    <w:rsid w:val="005C51BB"/>
    <w:rsid w:val="00665A23"/>
    <w:rsid w:val="006A023E"/>
    <w:rsid w:val="006B3CBA"/>
    <w:rsid w:val="006F4A22"/>
    <w:rsid w:val="00723FED"/>
    <w:rsid w:val="00725628"/>
    <w:rsid w:val="00775A59"/>
    <w:rsid w:val="00777E89"/>
    <w:rsid w:val="00805860"/>
    <w:rsid w:val="00835C48"/>
    <w:rsid w:val="008A57ED"/>
    <w:rsid w:val="009302F8"/>
    <w:rsid w:val="00962C1F"/>
    <w:rsid w:val="00985A42"/>
    <w:rsid w:val="009E7111"/>
    <w:rsid w:val="009F1721"/>
    <w:rsid w:val="009F77AE"/>
    <w:rsid w:val="00A45763"/>
    <w:rsid w:val="00A6272C"/>
    <w:rsid w:val="00AE693D"/>
    <w:rsid w:val="00B13A5E"/>
    <w:rsid w:val="00B37E6C"/>
    <w:rsid w:val="00B5158E"/>
    <w:rsid w:val="00B86C98"/>
    <w:rsid w:val="00BA5A23"/>
    <w:rsid w:val="00BB6D13"/>
    <w:rsid w:val="00C0796E"/>
    <w:rsid w:val="00C66A1E"/>
    <w:rsid w:val="00C70572"/>
    <w:rsid w:val="00C902F3"/>
    <w:rsid w:val="00D12FB6"/>
    <w:rsid w:val="00D14ADB"/>
    <w:rsid w:val="00D1608C"/>
    <w:rsid w:val="00D36A42"/>
    <w:rsid w:val="00DA1530"/>
    <w:rsid w:val="00DE3E99"/>
    <w:rsid w:val="00DE6277"/>
    <w:rsid w:val="00DF523F"/>
    <w:rsid w:val="00E739AA"/>
    <w:rsid w:val="00E80F80"/>
    <w:rsid w:val="00E8597D"/>
    <w:rsid w:val="00F204E3"/>
    <w:rsid w:val="00F456AF"/>
    <w:rsid w:val="00FB50F6"/>
    <w:rsid w:val="00FB56C0"/>
    <w:rsid w:val="00FB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A772"/>
  <w15:chartTrackingRefBased/>
  <w15:docId w15:val="{4FF720D2-B922-4381-A1AB-E7EFCC94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5A42"/>
  </w:style>
  <w:style w:type="paragraph" w:styleId="Naslov1">
    <w:name w:val="heading 1"/>
    <w:basedOn w:val="Navaden"/>
    <w:next w:val="Navaden"/>
    <w:link w:val="Naslov1Znak"/>
    <w:uiPriority w:val="9"/>
    <w:qFormat/>
    <w:rsid w:val="00985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5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85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85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85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85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85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85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85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85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85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85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85A4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85A4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85A4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85A4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85A4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85A4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85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85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85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85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85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85A4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85A4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85A4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85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85A4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85A42"/>
    <w:rPr>
      <w:b/>
      <w:bCs/>
      <w:smallCaps/>
      <w:color w:val="0F4761" w:themeColor="accent1" w:themeShade="BF"/>
      <w:spacing w:val="5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0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023E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6A023E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sl-SI"/>
      <w14:ligatures w14:val="none"/>
    </w:rPr>
  </w:style>
  <w:style w:type="paragraph" w:styleId="Revizija">
    <w:name w:val="Revision"/>
    <w:hidden/>
    <w:uiPriority w:val="99"/>
    <w:semiHidden/>
    <w:rsid w:val="00141D73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41D7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41D7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41D7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41D7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41D73"/>
    <w:rPr>
      <w:b/>
      <w:bCs/>
      <w:sz w:val="20"/>
      <w:szCs w:val="20"/>
    </w:rPr>
  </w:style>
  <w:style w:type="paragraph" w:customStyle="1" w:styleId="ZADEVA">
    <w:name w:val="ZADEVA"/>
    <w:basedOn w:val="Navaden"/>
    <w:qFormat/>
    <w:rsid w:val="006B3CB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kern w:val="0"/>
      <w:sz w:val="20"/>
      <w:szCs w:val="24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2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5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1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17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70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66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747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74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75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49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892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2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23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71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31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51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45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73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945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Martina Jug</cp:lastModifiedBy>
  <cp:revision>2</cp:revision>
  <cp:lastPrinted>2025-06-09T05:18:00Z</cp:lastPrinted>
  <dcterms:created xsi:type="dcterms:W3CDTF">2025-10-07T11:58:00Z</dcterms:created>
  <dcterms:modified xsi:type="dcterms:W3CDTF">2025-10-07T11:58:00Z</dcterms:modified>
</cp:coreProperties>
</file>