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0E31CE" w14:textId="77777777" w:rsidR="00176748" w:rsidRDefault="00176748" w:rsidP="00FB6D6C">
      <w:pPr>
        <w:spacing w:line="240" w:lineRule="exact"/>
        <w:rPr>
          <w:rFonts w:cs="Arial"/>
          <w:b/>
          <w:bCs/>
          <w:color w:val="000000"/>
          <w:szCs w:val="20"/>
          <w:lang w:val="sl-SI"/>
        </w:rPr>
      </w:pPr>
    </w:p>
    <w:p w14:paraId="135E4DE6" w14:textId="77777777" w:rsidR="00176748" w:rsidRDefault="00176748" w:rsidP="00FB6D6C">
      <w:pPr>
        <w:spacing w:line="240" w:lineRule="exact"/>
        <w:rPr>
          <w:rFonts w:cs="Arial"/>
          <w:b/>
          <w:bCs/>
          <w:color w:val="000000"/>
          <w:szCs w:val="20"/>
          <w:lang w:val="sl-SI"/>
        </w:rPr>
      </w:pPr>
    </w:p>
    <w:p w14:paraId="5CBEA217" w14:textId="2599ABBE" w:rsidR="00FB6D6C" w:rsidRPr="004B46DC" w:rsidRDefault="00FB6D6C" w:rsidP="00FB6D6C">
      <w:pPr>
        <w:spacing w:line="240" w:lineRule="exact"/>
        <w:rPr>
          <w:rFonts w:cs="Arial"/>
          <w:b/>
          <w:color w:val="000000"/>
          <w:szCs w:val="20"/>
          <w:lang w:val="sl-SI"/>
        </w:rPr>
      </w:pPr>
      <w:r w:rsidRPr="004B46DC">
        <w:rPr>
          <w:rFonts w:cs="Arial"/>
          <w:b/>
          <w:bCs/>
          <w:color w:val="000000"/>
          <w:szCs w:val="20"/>
          <w:lang w:val="sl-SI"/>
        </w:rPr>
        <w:t>URAD PREDSEDNIKA REPUBLIKE</w:t>
      </w:r>
    </w:p>
    <w:p w14:paraId="185D211A" w14:textId="77777777" w:rsidR="00FB6D6C" w:rsidRPr="004B46DC" w:rsidRDefault="00FB6D6C" w:rsidP="00FB6D6C">
      <w:pPr>
        <w:spacing w:line="240" w:lineRule="exact"/>
        <w:rPr>
          <w:rFonts w:cs="Arial"/>
          <w:b/>
          <w:color w:val="000000"/>
          <w:szCs w:val="20"/>
          <w:lang w:val="sl-SI"/>
        </w:rPr>
      </w:pPr>
      <w:r w:rsidRPr="004B46DC">
        <w:rPr>
          <w:rFonts w:cs="Arial"/>
          <w:b/>
          <w:color w:val="000000"/>
          <w:szCs w:val="20"/>
          <w:lang w:val="sl-SI"/>
        </w:rPr>
        <w:t>DRŽAVNI ZBOR REPUBLIKE SLOVENIJE</w:t>
      </w:r>
    </w:p>
    <w:p w14:paraId="47CBA6A1" w14:textId="77777777" w:rsidR="00FB6D6C" w:rsidRPr="00193AF8" w:rsidRDefault="00FB6D6C" w:rsidP="00FB6D6C">
      <w:pPr>
        <w:spacing w:line="240" w:lineRule="exact"/>
        <w:rPr>
          <w:rFonts w:cs="Arial"/>
          <w:b/>
          <w:strike/>
          <w:color w:val="000000"/>
          <w:szCs w:val="20"/>
          <w:lang w:val="sl-SI"/>
        </w:rPr>
      </w:pPr>
      <w:r w:rsidRPr="004B46DC">
        <w:rPr>
          <w:rFonts w:cs="Arial"/>
          <w:b/>
          <w:color w:val="000000"/>
          <w:szCs w:val="20"/>
          <w:lang w:val="sl-SI"/>
        </w:rPr>
        <w:t>DRŽAVNI SVET REPUBLIKE SLOVENIJE</w:t>
      </w:r>
    </w:p>
    <w:p w14:paraId="6AC45390" w14:textId="77777777" w:rsidR="00FB6D6C" w:rsidRPr="004B46DC" w:rsidRDefault="00FB6D6C" w:rsidP="00FB6D6C">
      <w:pPr>
        <w:spacing w:line="240" w:lineRule="exact"/>
        <w:rPr>
          <w:rFonts w:cs="Arial"/>
          <w:b/>
          <w:color w:val="000000"/>
          <w:szCs w:val="20"/>
          <w:lang w:val="sl-SI"/>
        </w:rPr>
      </w:pPr>
      <w:r w:rsidRPr="004B46DC">
        <w:rPr>
          <w:rFonts w:cs="Arial"/>
          <w:b/>
          <w:color w:val="000000"/>
          <w:szCs w:val="20"/>
          <w:lang w:val="sl-SI"/>
        </w:rPr>
        <w:t>USTAVNO SODIŠČE REPUBLIKE SLOVENIJE</w:t>
      </w:r>
    </w:p>
    <w:p w14:paraId="08C6BCCB" w14:textId="77777777" w:rsidR="00FB6D6C" w:rsidRPr="004B46DC" w:rsidRDefault="00FB6D6C" w:rsidP="00FB6D6C">
      <w:pPr>
        <w:spacing w:line="240" w:lineRule="exact"/>
        <w:rPr>
          <w:rFonts w:cs="Arial"/>
          <w:b/>
          <w:color w:val="000000"/>
          <w:szCs w:val="20"/>
          <w:lang w:val="sl-SI"/>
        </w:rPr>
      </w:pPr>
      <w:r w:rsidRPr="004B46DC">
        <w:rPr>
          <w:rFonts w:cs="Arial"/>
          <w:b/>
          <w:color w:val="000000"/>
          <w:szCs w:val="20"/>
          <w:lang w:val="sl-SI"/>
        </w:rPr>
        <w:t>RAČUNSKO SODIŠČE REPUBLIKE SLOVENIJE</w:t>
      </w:r>
    </w:p>
    <w:p w14:paraId="4B45666D" w14:textId="77777777" w:rsidR="00FB6D6C" w:rsidRPr="004B46DC" w:rsidRDefault="00FB6D6C" w:rsidP="00FB6D6C">
      <w:pPr>
        <w:spacing w:line="240" w:lineRule="exact"/>
        <w:rPr>
          <w:rFonts w:cs="Arial"/>
          <w:b/>
          <w:color w:val="000000"/>
          <w:szCs w:val="20"/>
          <w:lang w:val="sl-SI"/>
        </w:rPr>
      </w:pPr>
      <w:r w:rsidRPr="004B46DC">
        <w:rPr>
          <w:rFonts w:cs="Arial"/>
          <w:b/>
          <w:color w:val="000000"/>
          <w:szCs w:val="20"/>
          <w:lang w:val="sl-SI"/>
        </w:rPr>
        <w:t>VARUH ČLOVEKOVIH PRAVIC REPUBLIKE SLOVENIJE</w:t>
      </w:r>
    </w:p>
    <w:p w14:paraId="407743A8" w14:textId="77777777" w:rsidR="00FB6D6C" w:rsidRPr="004B46DC" w:rsidRDefault="00FB6D6C" w:rsidP="00FB6D6C">
      <w:pPr>
        <w:spacing w:line="240" w:lineRule="exact"/>
        <w:rPr>
          <w:rFonts w:cs="Arial"/>
          <w:b/>
          <w:color w:val="000000"/>
          <w:szCs w:val="20"/>
          <w:lang w:val="sl-SI"/>
        </w:rPr>
      </w:pPr>
      <w:r w:rsidRPr="004B46DC">
        <w:rPr>
          <w:rFonts w:cs="Arial"/>
          <w:b/>
          <w:color w:val="000000"/>
          <w:szCs w:val="20"/>
          <w:lang w:val="sl-SI"/>
        </w:rPr>
        <w:t>DRŽAVNA REVIZIJSKA KOMISIJA REPUBLIKE SLOVENIJE</w:t>
      </w:r>
    </w:p>
    <w:p w14:paraId="3A6B58A0" w14:textId="77777777" w:rsidR="00FB6D6C" w:rsidRPr="004B46DC" w:rsidRDefault="00FB6D6C" w:rsidP="00FB6D6C">
      <w:pPr>
        <w:spacing w:line="240" w:lineRule="exact"/>
        <w:rPr>
          <w:rFonts w:cs="Arial"/>
          <w:b/>
          <w:color w:val="000000"/>
          <w:szCs w:val="20"/>
          <w:lang w:val="sl-SI"/>
        </w:rPr>
      </w:pPr>
      <w:r w:rsidRPr="004B46DC">
        <w:rPr>
          <w:rFonts w:cs="Arial"/>
          <w:b/>
          <w:color w:val="000000"/>
          <w:szCs w:val="20"/>
          <w:lang w:val="sl-SI"/>
        </w:rPr>
        <w:t>INFORMACIJSKI POOBLAŠČENEC REPUBLIKE SLOVENIJE</w:t>
      </w:r>
    </w:p>
    <w:p w14:paraId="64CB5E01" w14:textId="77777777" w:rsidR="00176748" w:rsidRDefault="00FB6D6C" w:rsidP="00FB6D6C">
      <w:pPr>
        <w:spacing w:line="240" w:lineRule="exact"/>
        <w:rPr>
          <w:rFonts w:cs="Arial"/>
          <w:b/>
          <w:szCs w:val="20"/>
          <w:lang w:val="sl-SI"/>
        </w:rPr>
      </w:pPr>
      <w:r w:rsidRPr="004B46DC">
        <w:rPr>
          <w:rFonts w:cs="Arial"/>
          <w:b/>
          <w:szCs w:val="20"/>
          <w:lang w:val="sl-SI"/>
        </w:rPr>
        <w:t>KOMISIJA ZA PREPREČEVANJE KORUPCIJE REPUBLIKE</w:t>
      </w:r>
      <w:r w:rsidR="00176748">
        <w:rPr>
          <w:rFonts w:cs="Arial"/>
          <w:b/>
          <w:szCs w:val="20"/>
          <w:lang w:val="sl-SI"/>
        </w:rPr>
        <w:t xml:space="preserve"> </w:t>
      </w:r>
    </w:p>
    <w:p w14:paraId="4333CEBD" w14:textId="060ABB98" w:rsidR="00FB6D6C" w:rsidRPr="004B46DC" w:rsidRDefault="00FB6D6C" w:rsidP="00FB6D6C">
      <w:pPr>
        <w:spacing w:line="240" w:lineRule="exact"/>
        <w:rPr>
          <w:rFonts w:cs="Arial"/>
          <w:b/>
          <w:szCs w:val="20"/>
          <w:lang w:val="sl-SI"/>
        </w:rPr>
      </w:pPr>
      <w:r w:rsidRPr="004B46DC">
        <w:rPr>
          <w:rFonts w:cs="Arial"/>
          <w:b/>
          <w:szCs w:val="20"/>
          <w:lang w:val="sl-SI"/>
        </w:rPr>
        <w:t>SLOVENIJE</w:t>
      </w:r>
    </w:p>
    <w:p w14:paraId="358EEF9E" w14:textId="77777777" w:rsidR="00FB6D6C" w:rsidRPr="004B46DC" w:rsidRDefault="00FB6D6C" w:rsidP="00FB6D6C">
      <w:pPr>
        <w:spacing w:line="240" w:lineRule="exact"/>
        <w:rPr>
          <w:rFonts w:cs="Arial"/>
          <w:b/>
          <w:szCs w:val="20"/>
          <w:lang w:val="sl-SI"/>
        </w:rPr>
      </w:pPr>
      <w:r w:rsidRPr="004B46DC">
        <w:rPr>
          <w:rFonts w:cs="Arial"/>
          <w:b/>
          <w:szCs w:val="20"/>
          <w:lang w:val="sl-SI"/>
        </w:rPr>
        <w:t>DRŽAVNA VOLILNA KOMISIJA</w:t>
      </w:r>
    </w:p>
    <w:p w14:paraId="478B5AC3" w14:textId="77777777" w:rsidR="00FB6D6C" w:rsidRPr="004B46DC" w:rsidRDefault="00FB6D6C" w:rsidP="00FB6D6C">
      <w:pPr>
        <w:spacing w:line="240" w:lineRule="exact"/>
        <w:rPr>
          <w:rFonts w:cs="Arial"/>
          <w:b/>
          <w:szCs w:val="20"/>
          <w:lang w:val="sl-SI"/>
        </w:rPr>
      </w:pPr>
      <w:r w:rsidRPr="004B46DC">
        <w:rPr>
          <w:rFonts w:cs="Arial"/>
          <w:b/>
          <w:szCs w:val="20"/>
          <w:lang w:val="sl-SI"/>
        </w:rPr>
        <w:t>FISKALNI SVET</w:t>
      </w:r>
    </w:p>
    <w:p w14:paraId="4825C6ED" w14:textId="77777777" w:rsidR="00FB6D6C" w:rsidRPr="004B46DC" w:rsidRDefault="00FB6D6C" w:rsidP="00FB6D6C">
      <w:pPr>
        <w:spacing w:line="240" w:lineRule="exact"/>
        <w:rPr>
          <w:rFonts w:cs="Arial"/>
          <w:b/>
          <w:szCs w:val="20"/>
          <w:lang w:val="sl-SI"/>
        </w:rPr>
      </w:pPr>
      <w:r w:rsidRPr="004B46DC">
        <w:rPr>
          <w:rFonts w:cs="Arial"/>
          <w:b/>
          <w:szCs w:val="20"/>
          <w:lang w:val="sl-SI"/>
        </w:rPr>
        <w:t>SODNI SVET</w:t>
      </w:r>
    </w:p>
    <w:p w14:paraId="6C4D5500" w14:textId="77777777" w:rsidR="00FB6D6C" w:rsidRPr="004B46DC" w:rsidRDefault="00FB6D6C" w:rsidP="00FB6D6C">
      <w:pPr>
        <w:spacing w:line="240" w:lineRule="exact"/>
        <w:rPr>
          <w:rFonts w:cs="Arial"/>
          <w:b/>
          <w:szCs w:val="20"/>
          <w:lang w:val="sl-SI"/>
        </w:rPr>
      </w:pPr>
      <w:r w:rsidRPr="004B46DC">
        <w:rPr>
          <w:rFonts w:cs="Arial"/>
          <w:b/>
          <w:szCs w:val="20"/>
          <w:lang w:val="sl-SI"/>
        </w:rPr>
        <w:t>ZAGOVORNIK NAČELA ENAKOSTI</w:t>
      </w:r>
    </w:p>
    <w:p w14:paraId="6DC2D835" w14:textId="77777777" w:rsidR="00FB6D6C" w:rsidRPr="004B46DC" w:rsidRDefault="00FB6D6C" w:rsidP="00FB6D6C">
      <w:pPr>
        <w:spacing w:line="240" w:lineRule="exact"/>
        <w:rPr>
          <w:rFonts w:cs="Arial"/>
          <w:b/>
          <w:szCs w:val="20"/>
          <w:lang w:val="sl-SI"/>
        </w:rPr>
      </w:pPr>
    </w:p>
    <w:p w14:paraId="66ED6928" w14:textId="77777777" w:rsidR="00FB6D6C" w:rsidRPr="004B46DC" w:rsidRDefault="00FB6D6C" w:rsidP="00FB6D6C">
      <w:pPr>
        <w:spacing w:line="240" w:lineRule="exact"/>
        <w:rPr>
          <w:rFonts w:cs="Arial"/>
          <w:b/>
          <w:szCs w:val="20"/>
          <w:lang w:val="sl-SI"/>
        </w:rPr>
      </w:pPr>
      <w:r w:rsidRPr="004B46DC">
        <w:rPr>
          <w:rFonts w:cs="Arial"/>
          <w:b/>
          <w:szCs w:val="20"/>
          <w:lang w:val="sl-SI"/>
        </w:rPr>
        <w:t>VRHOVNO SODIŠČE REPUBLIKE SLOVENIJE</w:t>
      </w:r>
    </w:p>
    <w:p w14:paraId="3CE7FFC5" w14:textId="77777777" w:rsidR="00FB6D6C" w:rsidRPr="004B46DC" w:rsidRDefault="00FB6D6C" w:rsidP="00FB6D6C">
      <w:pPr>
        <w:spacing w:line="240" w:lineRule="exact"/>
        <w:rPr>
          <w:rFonts w:cs="Arial"/>
          <w:b/>
          <w:szCs w:val="20"/>
          <w:lang w:val="sl-SI"/>
        </w:rPr>
      </w:pPr>
      <w:r w:rsidRPr="004B46DC">
        <w:rPr>
          <w:rFonts w:cs="Arial"/>
          <w:b/>
          <w:szCs w:val="20"/>
          <w:lang w:val="sl-SI"/>
        </w:rPr>
        <w:t>VRHOVNO DRŽAVNO TOŽILSTVO</w:t>
      </w:r>
    </w:p>
    <w:p w14:paraId="2B4BF30C" w14:textId="77777777" w:rsidR="00FB6D6C" w:rsidRPr="004B46DC" w:rsidRDefault="00FB6D6C" w:rsidP="00FB6D6C">
      <w:pPr>
        <w:spacing w:line="240" w:lineRule="exact"/>
        <w:rPr>
          <w:rFonts w:cs="Arial"/>
          <w:b/>
          <w:szCs w:val="20"/>
          <w:lang w:val="sl-SI"/>
        </w:rPr>
      </w:pPr>
      <w:r w:rsidRPr="004B46DC">
        <w:rPr>
          <w:rFonts w:cs="Arial"/>
          <w:b/>
          <w:szCs w:val="20"/>
          <w:lang w:val="sl-SI"/>
        </w:rPr>
        <w:t>DRŽAVNO ODVETNIŠTVO</w:t>
      </w:r>
    </w:p>
    <w:p w14:paraId="1BB7DBF8" w14:textId="77777777" w:rsidR="00FB6D6C" w:rsidRPr="004B46DC" w:rsidRDefault="00FB6D6C" w:rsidP="00FB6D6C">
      <w:pPr>
        <w:spacing w:line="240" w:lineRule="exact"/>
        <w:rPr>
          <w:rFonts w:cs="Arial"/>
          <w:b/>
          <w:szCs w:val="20"/>
          <w:lang w:val="sl-SI"/>
        </w:rPr>
      </w:pPr>
    </w:p>
    <w:p w14:paraId="777E6CF1" w14:textId="77777777" w:rsidR="00FB6D6C" w:rsidRPr="004B46DC" w:rsidRDefault="00FB6D6C" w:rsidP="00FB6D6C">
      <w:pPr>
        <w:spacing w:line="240" w:lineRule="exact"/>
        <w:rPr>
          <w:rFonts w:cs="Arial"/>
          <w:b/>
          <w:szCs w:val="20"/>
          <w:lang w:val="sl-SI"/>
        </w:rPr>
      </w:pPr>
      <w:r w:rsidRPr="004B46DC">
        <w:rPr>
          <w:rFonts w:cs="Arial"/>
          <w:b/>
          <w:szCs w:val="20"/>
          <w:lang w:val="sl-SI"/>
        </w:rPr>
        <w:t>OBČINE</w:t>
      </w:r>
    </w:p>
    <w:p w14:paraId="48264E10" w14:textId="77777777" w:rsidR="00FB6D6C" w:rsidRPr="004B46DC" w:rsidRDefault="00FB6D6C" w:rsidP="00FB6D6C">
      <w:pPr>
        <w:spacing w:line="240" w:lineRule="exact"/>
        <w:rPr>
          <w:rFonts w:cs="Arial"/>
          <w:b/>
          <w:szCs w:val="20"/>
          <w:lang w:val="sl-SI"/>
        </w:rPr>
      </w:pPr>
      <w:r w:rsidRPr="004B46DC">
        <w:rPr>
          <w:rFonts w:cs="Arial"/>
          <w:b/>
          <w:szCs w:val="20"/>
          <w:lang w:val="sl-SI"/>
        </w:rPr>
        <w:t>ZDRUŽENJE OBČIN SLOVENIJE</w:t>
      </w:r>
    </w:p>
    <w:p w14:paraId="008DA70A" w14:textId="77777777" w:rsidR="00FB6D6C" w:rsidRPr="004B46DC" w:rsidRDefault="00FB6D6C" w:rsidP="00FB6D6C">
      <w:pPr>
        <w:spacing w:line="240" w:lineRule="exact"/>
        <w:rPr>
          <w:rFonts w:cs="Arial"/>
          <w:b/>
          <w:szCs w:val="20"/>
          <w:lang w:val="sl-SI"/>
        </w:rPr>
      </w:pPr>
      <w:r w:rsidRPr="004B46DC">
        <w:rPr>
          <w:rFonts w:cs="Arial"/>
          <w:b/>
          <w:szCs w:val="20"/>
          <w:lang w:val="sl-SI"/>
        </w:rPr>
        <w:t>SKUPNOST OBČIN SLOVENIJE</w:t>
      </w:r>
    </w:p>
    <w:p w14:paraId="554DDB56" w14:textId="77777777" w:rsidR="00FB6D6C" w:rsidRPr="004B46DC" w:rsidRDefault="00FB6D6C" w:rsidP="00FB6D6C">
      <w:pPr>
        <w:spacing w:line="240" w:lineRule="exact"/>
        <w:rPr>
          <w:rFonts w:cs="Arial"/>
          <w:b/>
          <w:szCs w:val="20"/>
          <w:lang w:val="sl-SI"/>
        </w:rPr>
      </w:pPr>
      <w:r w:rsidRPr="004B46DC">
        <w:rPr>
          <w:rFonts w:cs="Arial"/>
          <w:b/>
          <w:szCs w:val="20"/>
          <w:lang w:val="sl-SI"/>
        </w:rPr>
        <w:t>ZDRUŽENJE MESTNIH OBČIN SLOVENIJE</w:t>
      </w:r>
    </w:p>
    <w:p w14:paraId="26E44EA2" w14:textId="77777777" w:rsidR="00FB6D6C" w:rsidRPr="004B46DC" w:rsidRDefault="00FB6D6C" w:rsidP="00FB6D6C">
      <w:pPr>
        <w:spacing w:line="240" w:lineRule="exact"/>
        <w:rPr>
          <w:rFonts w:cs="Arial"/>
          <w:b/>
          <w:szCs w:val="20"/>
          <w:lang w:val="sl-SI"/>
        </w:rPr>
      </w:pPr>
    </w:p>
    <w:p w14:paraId="1FA95A5F" w14:textId="77777777" w:rsidR="00FB6D6C" w:rsidRPr="004B46DC" w:rsidRDefault="00FB6D6C" w:rsidP="00FB6D6C">
      <w:pPr>
        <w:spacing w:line="240" w:lineRule="exact"/>
        <w:rPr>
          <w:rFonts w:cs="Arial"/>
          <w:b/>
          <w:szCs w:val="20"/>
          <w:lang w:val="sl-SI"/>
        </w:rPr>
      </w:pPr>
      <w:r w:rsidRPr="004B46DC">
        <w:rPr>
          <w:rFonts w:cs="Arial"/>
          <w:b/>
          <w:szCs w:val="20"/>
          <w:lang w:val="sl-SI"/>
        </w:rPr>
        <w:t>MINISTRSTVA</w:t>
      </w:r>
    </w:p>
    <w:p w14:paraId="3EFCA6DC" w14:textId="77777777" w:rsidR="00FB6D6C" w:rsidRPr="004B46DC" w:rsidRDefault="00FB6D6C" w:rsidP="00FB6D6C">
      <w:pPr>
        <w:spacing w:line="240" w:lineRule="exact"/>
        <w:rPr>
          <w:rFonts w:cs="Arial"/>
          <w:b/>
          <w:szCs w:val="20"/>
          <w:lang w:val="sl-SI"/>
        </w:rPr>
      </w:pPr>
      <w:r w:rsidRPr="004B46DC">
        <w:rPr>
          <w:rFonts w:cs="Arial"/>
          <w:b/>
          <w:szCs w:val="20"/>
          <w:lang w:val="sl-SI"/>
        </w:rPr>
        <w:t>ORGANI V SESTAVI MINISTRSTEV</w:t>
      </w:r>
    </w:p>
    <w:p w14:paraId="7D9A102C" w14:textId="77777777" w:rsidR="00FB6D6C" w:rsidRPr="004B46DC" w:rsidRDefault="00FB6D6C" w:rsidP="00FB6D6C">
      <w:pPr>
        <w:spacing w:line="240" w:lineRule="exact"/>
        <w:rPr>
          <w:rFonts w:cs="Arial"/>
          <w:b/>
          <w:szCs w:val="20"/>
          <w:lang w:val="sl-SI"/>
        </w:rPr>
      </w:pPr>
      <w:r w:rsidRPr="004B46DC">
        <w:rPr>
          <w:rFonts w:cs="Arial"/>
          <w:b/>
          <w:szCs w:val="20"/>
          <w:lang w:val="sl-SI"/>
        </w:rPr>
        <w:t>VLADNE SLUŽBE</w:t>
      </w:r>
    </w:p>
    <w:p w14:paraId="1A6B686A" w14:textId="77777777" w:rsidR="00FB6D6C" w:rsidRPr="004B46DC" w:rsidRDefault="00FB6D6C" w:rsidP="00FB6D6C">
      <w:pPr>
        <w:spacing w:line="240" w:lineRule="exact"/>
        <w:rPr>
          <w:rFonts w:cs="Arial"/>
          <w:b/>
          <w:szCs w:val="20"/>
          <w:lang w:val="sl-SI"/>
        </w:rPr>
      </w:pPr>
      <w:r w:rsidRPr="004B46DC">
        <w:rPr>
          <w:rFonts w:cs="Arial"/>
          <w:b/>
          <w:szCs w:val="20"/>
          <w:lang w:val="sl-SI"/>
        </w:rPr>
        <w:t>UPRAVNE ENOTE</w:t>
      </w:r>
    </w:p>
    <w:p w14:paraId="56BDC7F9" w14:textId="77777777" w:rsidR="00FB6D6C" w:rsidRDefault="00FB6D6C" w:rsidP="00DC6A71">
      <w:pPr>
        <w:pStyle w:val="datumtevilka"/>
      </w:pPr>
    </w:p>
    <w:p w14:paraId="216AD466" w14:textId="77777777" w:rsidR="00FB6D6C" w:rsidRDefault="00FB6D6C" w:rsidP="00DC6A71">
      <w:pPr>
        <w:pStyle w:val="datumtevilka"/>
      </w:pPr>
    </w:p>
    <w:p w14:paraId="43FC188F" w14:textId="77777777" w:rsidR="00176748" w:rsidRDefault="00176748" w:rsidP="00DC6A71">
      <w:pPr>
        <w:pStyle w:val="datumtevilka"/>
      </w:pPr>
    </w:p>
    <w:p w14:paraId="49786CB0" w14:textId="77777777" w:rsidR="00176748" w:rsidRDefault="00176748" w:rsidP="00DC6A71">
      <w:pPr>
        <w:pStyle w:val="datumtevilka"/>
      </w:pPr>
    </w:p>
    <w:p w14:paraId="7728F974" w14:textId="77777777" w:rsidR="00176748" w:rsidRDefault="00176748" w:rsidP="00DC6A71">
      <w:pPr>
        <w:pStyle w:val="datumtevilka"/>
      </w:pPr>
    </w:p>
    <w:p w14:paraId="155D9031" w14:textId="49AD88ED" w:rsidR="007D75CF" w:rsidRPr="00202A77" w:rsidRDefault="007D75CF" w:rsidP="00DC6A71">
      <w:pPr>
        <w:pStyle w:val="datumtevilka"/>
      </w:pPr>
      <w:r w:rsidRPr="00202A77">
        <w:t xml:space="preserve">Številka: </w:t>
      </w:r>
      <w:r w:rsidRPr="00202A77">
        <w:tab/>
      </w:r>
      <w:r w:rsidR="004B46DC" w:rsidRPr="004B46DC">
        <w:t>1002-1480/2024-3130</w:t>
      </w:r>
      <w:r w:rsidR="004B46DC">
        <w:t>-110</w:t>
      </w:r>
    </w:p>
    <w:p w14:paraId="417171D5" w14:textId="594C60B6" w:rsidR="007D75CF" w:rsidRPr="00202A77" w:rsidRDefault="00C250D5" w:rsidP="00DC6A71">
      <w:pPr>
        <w:pStyle w:val="datumtevilka"/>
      </w:pPr>
      <w:r w:rsidRPr="00202A77">
        <w:t xml:space="preserve">Datum: </w:t>
      </w:r>
      <w:r w:rsidRPr="00202A77">
        <w:tab/>
      </w:r>
      <w:r w:rsidR="004B46DC">
        <w:t>19. 6. 2026</w:t>
      </w:r>
      <w:r w:rsidR="004B46DC" w:rsidRPr="00202A77">
        <w:t xml:space="preserve"> </w:t>
      </w:r>
    </w:p>
    <w:p w14:paraId="67F1FB35" w14:textId="77777777" w:rsidR="00FB6D6C" w:rsidRPr="00202A77" w:rsidRDefault="00FB6D6C" w:rsidP="007D75CF">
      <w:pPr>
        <w:rPr>
          <w:lang w:val="sl-SI"/>
        </w:rPr>
      </w:pPr>
    </w:p>
    <w:p w14:paraId="0DFC23B7" w14:textId="5211AC42" w:rsidR="007D75CF" w:rsidRPr="00202A77" w:rsidRDefault="007D75CF" w:rsidP="00DC6A71">
      <w:pPr>
        <w:pStyle w:val="ZADEVA"/>
        <w:rPr>
          <w:lang w:val="sl-SI"/>
        </w:rPr>
      </w:pPr>
      <w:r w:rsidRPr="00202A77">
        <w:rPr>
          <w:lang w:val="sl-SI"/>
        </w:rPr>
        <w:t xml:space="preserve">Zadeva: </w:t>
      </w:r>
      <w:r w:rsidRPr="00202A77">
        <w:rPr>
          <w:lang w:val="sl-SI"/>
        </w:rPr>
        <w:tab/>
      </w:r>
      <w:r w:rsidR="00193AF8">
        <w:rPr>
          <w:lang w:val="sl-SI"/>
        </w:rPr>
        <w:t xml:space="preserve">Določitev plače javnim uslužbencem na delovnih mestih, </w:t>
      </w:r>
      <w:r w:rsidR="00193AF8" w:rsidRPr="00193AF8">
        <w:rPr>
          <w:lang w:val="sl-SI"/>
        </w:rPr>
        <w:t>vezan</w:t>
      </w:r>
      <w:r w:rsidR="00193AF8">
        <w:rPr>
          <w:lang w:val="sl-SI"/>
        </w:rPr>
        <w:t>ih</w:t>
      </w:r>
      <w:r w:rsidR="00193AF8" w:rsidRPr="00193AF8">
        <w:rPr>
          <w:lang w:val="sl-SI"/>
        </w:rPr>
        <w:t xml:space="preserve"> na osebno zaupanje funkcionarja </w:t>
      </w:r>
    </w:p>
    <w:p w14:paraId="1CF2C906" w14:textId="07AE8FA7" w:rsidR="007D75CF" w:rsidRPr="00202A77" w:rsidRDefault="007D75CF" w:rsidP="007D75CF">
      <w:pPr>
        <w:rPr>
          <w:lang w:val="sl-SI"/>
        </w:rPr>
      </w:pPr>
    </w:p>
    <w:p w14:paraId="0A65E2B0" w14:textId="77777777" w:rsidR="00176748" w:rsidRDefault="00176748" w:rsidP="00DA6E0D">
      <w:pPr>
        <w:jc w:val="both"/>
        <w:rPr>
          <w:lang w:val="sl-SI"/>
        </w:rPr>
      </w:pPr>
    </w:p>
    <w:p w14:paraId="205D048D" w14:textId="79F6C163" w:rsidR="003771AF" w:rsidRDefault="003771AF" w:rsidP="00DA6E0D">
      <w:pPr>
        <w:jc w:val="both"/>
        <w:rPr>
          <w:lang w:val="sl-SI"/>
        </w:rPr>
      </w:pPr>
      <w:r>
        <w:rPr>
          <w:lang w:val="sl-SI"/>
        </w:rPr>
        <w:t xml:space="preserve">V zvezi z določanjem plače javnim uslužbencem na delovnih mestih, vezanih na osebno zaupanje funkcionarja, </w:t>
      </w:r>
      <w:r w:rsidR="00193AF8" w:rsidRPr="00193AF8">
        <w:rPr>
          <w:lang w:val="sl-SI"/>
        </w:rPr>
        <w:t>Ministrstvo za</w:t>
      </w:r>
      <w:r w:rsidR="00193AF8">
        <w:rPr>
          <w:lang w:val="sl-SI"/>
        </w:rPr>
        <w:t xml:space="preserve"> notranje zadeve in</w:t>
      </w:r>
      <w:r w:rsidR="00193AF8" w:rsidRPr="00193AF8">
        <w:rPr>
          <w:lang w:val="sl-SI"/>
        </w:rPr>
        <w:t xml:space="preserve"> javno upravo</w:t>
      </w:r>
      <w:r>
        <w:rPr>
          <w:lang w:val="sl-SI"/>
        </w:rPr>
        <w:t xml:space="preserve"> pojasnjuje, da se tem javnim uslužbencem plača določi v skladu z določbami </w:t>
      </w:r>
      <w:r w:rsidRPr="003771AF">
        <w:rPr>
          <w:lang w:val="sl-SI"/>
        </w:rPr>
        <w:t>Zakon</w:t>
      </w:r>
      <w:r>
        <w:rPr>
          <w:lang w:val="sl-SI"/>
        </w:rPr>
        <w:t>a</w:t>
      </w:r>
      <w:r w:rsidRPr="003771AF">
        <w:rPr>
          <w:lang w:val="sl-SI"/>
        </w:rPr>
        <w:t xml:space="preserve"> o skupnih temeljih sistema plač v javnem sektorju (Uradni list RS, št. 95/24 in 12/26 – ZPPJUFT</w:t>
      </w:r>
      <w:r>
        <w:rPr>
          <w:lang w:val="sl-SI"/>
        </w:rPr>
        <w:t xml:space="preserve">; v nadaljnjem besedilu: ZSTSPJS). </w:t>
      </w:r>
    </w:p>
    <w:p w14:paraId="19AFFD25" w14:textId="77777777" w:rsidR="003771AF" w:rsidRDefault="003771AF" w:rsidP="00DA6E0D">
      <w:pPr>
        <w:jc w:val="both"/>
        <w:rPr>
          <w:lang w:val="sl-SI"/>
        </w:rPr>
      </w:pPr>
    </w:p>
    <w:p w14:paraId="57840E96" w14:textId="6991B6A4" w:rsidR="003771AF" w:rsidRDefault="003771AF" w:rsidP="00DA6E0D">
      <w:pPr>
        <w:jc w:val="both"/>
        <w:rPr>
          <w:lang w:val="sl-SI"/>
        </w:rPr>
      </w:pPr>
      <w:r>
        <w:rPr>
          <w:lang w:val="sl-SI"/>
        </w:rPr>
        <w:t xml:space="preserve">Tako kot za vse druge javne uslužbence, tudi za javne uslužbence na delovnih mestih, vezanih na osebno zaupanje funkcionarja, veljajo pravila za določanje plačnega razreda, kot jih </w:t>
      </w:r>
      <w:r w:rsidR="00DA6E0D">
        <w:rPr>
          <w:lang w:val="sl-SI"/>
        </w:rPr>
        <w:t>predpisuje</w:t>
      </w:r>
      <w:r>
        <w:rPr>
          <w:lang w:val="sl-SI"/>
        </w:rPr>
        <w:t xml:space="preserve"> ZSTSPJS (npr. 17. ali 18. člen ZSTSPJS). </w:t>
      </w:r>
    </w:p>
    <w:p w14:paraId="3EF32C02" w14:textId="06B4BA3C" w:rsidR="003771AF" w:rsidRDefault="003771AF" w:rsidP="00DA6E0D">
      <w:pPr>
        <w:jc w:val="both"/>
        <w:rPr>
          <w:lang w:val="sl-SI"/>
        </w:rPr>
      </w:pPr>
      <w:r>
        <w:rPr>
          <w:lang w:val="sl-SI"/>
        </w:rPr>
        <w:lastRenderedPageBreak/>
        <w:t>ZSTSPJS v 24. členu določa, da se lahko v</w:t>
      </w:r>
      <w:r w:rsidRPr="003771AF">
        <w:rPr>
          <w:lang w:val="sl-SI"/>
        </w:rPr>
        <w:t xml:space="preserve"> primerih, določenih s posebnim zakonom, osnovna plača javnega uslužbenca, ki sklene delovno razmerje za določen čas, poveča za določeno število plačnih razredov, pri čemer se kot osnova upošteva plačni razred ustreznega delovnega mesta oziroma naziva. Javnega uslužbenca na podlagi prejšnjega stavka ni mogoče uvrstiti v višji plačni razred, kot znaša končni plačni razred delovnega mesta oziroma naziva.</w:t>
      </w:r>
      <w:r>
        <w:rPr>
          <w:lang w:val="sl-SI"/>
        </w:rPr>
        <w:t xml:space="preserve"> </w:t>
      </w:r>
      <w:r w:rsidRPr="003771AF">
        <w:rPr>
          <w:lang w:val="sl-SI"/>
        </w:rPr>
        <w:t>Ob vsaki spremembi plačnega razreda zaradi napredovanja v plačni razred, naziv ali višji naziv, se število plačnih razredov, ki jih je javni uslužbenec pridobil v skladu s tem členom, ponovno določi.</w:t>
      </w:r>
      <w:r>
        <w:rPr>
          <w:lang w:val="sl-SI"/>
        </w:rPr>
        <w:t xml:space="preserve"> </w:t>
      </w:r>
      <w:r w:rsidRPr="003771AF">
        <w:rPr>
          <w:lang w:val="sl-SI"/>
        </w:rPr>
        <w:t>Določitev plačnega razreda v skladu s tem členom se ne šteje za napredovanje.</w:t>
      </w:r>
    </w:p>
    <w:p w14:paraId="20123624" w14:textId="77777777" w:rsidR="003771AF" w:rsidRDefault="003771AF" w:rsidP="00DA6E0D">
      <w:pPr>
        <w:jc w:val="both"/>
        <w:rPr>
          <w:lang w:val="sl-SI"/>
        </w:rPr>
      </w:pPr>
    </w:p>
    <w:p w14:paraId="76312B91" w14:textId="17824BD2" w:rsidR="003771AF" w:rsidRDefault="003771AF" w:rsidP="00DA6E0D">
      <w:pPr>
        <w:jc w:val="both"/>
        <w:rPr>
          <w:lang w:val="sl-SI"/>
        </w:rPr>
      </w:pPr>
      <w:r w:rsidRPr="003771AF">
        <w:rPr>
          <w:lang w:val="sl-SI"/>
        </w:rPr>
        <w:t>Zakon o javnih uslužbencih (Uradni list RS, št. 32/25</w:t>
      </w:r>
      <w:r>
        <w:rPr>
          <w:lang w:val="sl-SI"/>
        </w:rPr>
        <w:t xml:space="preserve">; v nadaljnjem besedilu: </w:t>
      </w:r>
      <w:r w:rsidRPr="003771AF">
        <w:rPr>
          <w:lang w:val="sl-SI"/>
        </w:rPr>
        <w:t>ZJU-1)</w:t>
      </w:r>
      <w:r>
        <w:rPr>
          <w:lang w:val="sl-SI"/>
        </w:rPr>
        <w:t xml:space="preserve"> je kot poseben zakon v tretjem odstavku 81. člena določil, da se n</w:t>
      </w:r>
      <w:r w:rsidRPr="003771AF">
        <w:rPr>
          <w:lang w:val="sl-SI"/>
        </w:rPr>
        <w:t>e glede na določbe zakona, ki ureja sistem plač v javnem sektorju, v zvezi z možnostjo določitve višjega plačnega razreda</w:t>
      </w:r>
      <w:r>
        <w:rPr>
          <w:lang w:val="sl-SI"/>
        </w:rPr>
        <w:t xml:space="preserve"> (tj. 22. člen ZSTSPJS)</w:t>
      </w:r>
      <w:r w:rsidRPr="003771AF">
        <w:rPr>
          <w:lang w:val="sl-SI"/>
        </w:rPr>
        <w:t>, lahko za delovna mesta iz 1. točke prvega odstavka 76. člena tega zakona v pogodbi o zaposlitvi določi do deset plačnih razredov višja osnovna plača, kot je s predpisi določena za uradnika v določenem nazivu oziroma na delovnem mestu, če so za to zagotovljena finančna sredstva. Soglasje k določitvi višje osnovne plače v organih državne uprave poda vlada, za druge državne organe sam državni organ, za uprave lokalnih skupnosti pa župan.</w:t>
      </w:r>
    </w:p>
    <w:p w14:paraId="28A1E092" w14:textId="77777777" w:rsidR="003771AF" w:rsidRDefault="003771AF" w:rsidP="00DA6E0D">
      <w:pPr>
        <w:jc w:val="both"/>
        <w:rPr>
          <w:lang w:val="sl-SI"/>
        </w:rPr>
      </w:pPr>
    </w:p>
    <w:p w14:paraId="6ECD1221" w14:textId="70E4B661" w:rsidR="00193AF8" w:rsidRPr="00193AF8" w:rsidRDefault="003771AF" w:rsidP="00DA6E0D">
      <w:pPr>
        <w:jc w:val="both"/>
        <w:rPr>
          <w:lang w:val="sl-SI"/>
        </w:rPr>
      </w:pPr>
      <w:r>
        <w:rPr>
          <w:lang w:val="sl-SI"/>
        </w:rPr>
        <w:t xml:space="preserve">ZJU-1 je torej za </w:t>
      </w:r>
      <w:r w:rsidRPr="003771AF">
        <w:rPr>
          <w:lang w:val="sl-SI"/>
        </w:rPr>
        <w:t>delovna mesta iz 1. točke prvega odstavka 76. člena</w:t>
      </w:r>
      <w:r w:rsidR="00341E1B">
        <w:rPr>
          <w:lang w:val="sl-SI"/>
        </w:rPr>
        <w:t xml:space="preserve"> ZJU-1, tj. za delovna mesta, vezana na osebno zaupanje funkcionarja (delovna mesta v kabinetu), predpisal drugačne pogoje za uvrstitev javnih uslužbencev v višji plačni razred, kot so sicer določeni v 22. členu ZSTSPJS. J</w:t>
      </w:r>
      <w:r w:rsidR="00193AF8" w:rsidRPr="00193AF8">
        <w:rPr>
          <w:lang w:val="sl-SI"/>
        </w:rPr>
        <w:t>avnemu uslužbencu</w:t>
      </w:r>
      <w:r w:rsidR="00341E1B">
        <w:rPr>
          <w:lang w:val="sl-SI"/>
        </w:rPr>
        <w:t xml:space="preserve"> se lahko, če so zagotovljena finančna sredstva in je podano soglasje pristojnega organa, </w:t>
      </w:r>
      <w:r w:rsidR="00193AF8" w:rsidRPr="00193AF8">
        <w:rPr>
          <w:lang w:val="sl-SI"/>
        </w:rPr>
        <w:t>določi do deset plačnih razredov višjo osnovno plačo</w:t>
      </w:r>
      <w:r w:rsidR="00341E1B">
        <w:rPr>
          <w:lang w:val="sl-SI"/>
        </w:rPr>
        <w:t>.</w:t>
      </w:r>
    </w:p>
    <w:p w14:paraId="4C3D6244" w14:textId="77777777" w:rsidR="00193AF8" w:rsidRPr="00193AF8" w:rsidRDefault="00193AF8" w:rsidP="00DA6E0D">
      <w:pPr>
        <w:jc w:val="both"/>
        <w:rPr>
          <w:lang w:val="sl-SI"/>
        </w:rPr>
      </w:pPr>
    </w:p>
    <w:p w14:paraId="7DEBF44A" w14:textId="1FBF1BF0" w:rsidR="00193AF8" w:rsidRPr="00193AF8" w:rsidRDefault="00193AF8" w:rsidP="00DA6E0D">
      <w:pPr>
        <w:jc w:val="both"/>
        <w:rPr>
          <w:lang w:val="sl-SI"/>
        </w:rPr>
      </w:pPr>
      <w:r w:rsidRPr="00193AF8">
        <w:rPr>
          <w:lang w:val="sl-SI"/>
        </w:rPr>
        <w:t xml:space="preserve">ZJU-1 pojma »osnovna plača« ne določa, temveč ga določa ZSTSPJS v 18. točki 2. člena, v skladu s katero je osnovna plača tisti del plače, ki ga prejema funkcionar ali javni uslužbenec na posamezni funkciji, delovnem mestu ali nazivu za opravljeno delo v polnem delovnem času in za pričakovane rezultate dela v posameznem mesecu. V osnovni plači je všteto tudi napredovanje funkcionarja ali javnega uslužbenca in višja uvrstitev v plačni razred na podlagi tega zakona. </w:t>
      </w:r>
    </w:p>
    <w:p w14:paraId="6007A43B" w14:textId="77777777" w:rsidR="00193AF8" w:rsidRPr="00193AF8" w:rsidRDefault="00193AF8" w:rsidP="00DA6E0D">
      <w:pPr>
        <w:jc w:val="both"/>
        <w:rPr>
          <w:lang w:val="sl-SI"/>
        </w:rPr>
      </w:pPr>
    </w:p>
    <w:p w14:paraId="20345443" w14:textId="0289FC5B" w:rsidR="00193AF8" w:rsidRPr="00193AF8" w:rsidRDefault="00193AF8" w:rsidP="00DA6E0D">
      <w:pPr>
        <w:jc w:val="both"/>
        <w:rPr>
          <w:lang w:val="sl-SI"/>
        </w:rPr>
      </w:pPr>
      <w:r w:rsidRPr="00193AF8">
        <w:rPr>
          <w:lang w:val="sl-SI"/>
        </w:rPr>
        <w:t xml:space="preserve">Osnovna plača javnega uslužbenca je določena z uvrstitvijo javnega uslužbenca v plačni razred. Določba tretjega odstavka 81. člena ZJU-1 se ne izvaja tako, da bi se javnemu uslužbencu lahko določil plačni razred, ki je do deset plačnih razredov višji od plačnega razreda, v katerega je javni uslužbenec </w:t>
      </w:r>
      <w:r w:rsidR="00341E1B">
        <w:rPr>
          <w:lang w:val="sl-SI"/>
        </w:rPr>
        <w:t xml:space="preserve">sicer </w:t>
      </w:r>
      <w:r w:rsidRPr="00193AF8">
        <w:rPr>
          <w:lang w:val="sl-SI"/>
        </w:rPr>
        <w:t>uvrščen. V pogodbi o zaposlitvi se javnemu uslužbencu lahko določi do deset plačnih razredov višja osnovna plača glede na plačni razred, v katerega je uvrščen uradniški naziv oziroma delovno mesto, pod pogojem, da so zagotovljena finančna sredstva in je podano soglasje pristojnega organa. Javnega uslužbenca pri tem</w:t>
      </w:r>
      <w:r w:rsidR="00DA6E0D">
        <w:rPr>
          <w:lang w:val="sl-SI"/>
        </w:rPr>
        <w:t>, upoštevaje določbo prvega odstavka 24. člena ZSTSPJS,</w:t>
      </w:r>
      <w:r w:rsidRPr="00193AF8">
        <w:rPr>
          <w:lang w:val="sl-SI"/>
        </w:rPr>
        <w:t xml:space="preserve"> ni možno uvrstiti čez končni plačni razred naziva oziroma delovnega mesta. </w:t>
      </w:r>
      <w:r w:rsidR="00DA6E0D" w:rsidRPr="00DA6E0D">
        <w:rPr>
          <w:lang w:val="sl-SI"/>
        </w:rPr>
        <w:t>To pomeni, da je meja oziroma višina plačnega razreda javnega uslužbenca določena s končnim plačnim razredom naziva oziroma delovnega mesta.</w:t>
      </w:r>
    </w:p>
    <w:p w14:paraId="1291463D" w14:textId="77777777" w:rsidR="00193AF8" w:rsidRPr="00193AF8" w:rsidRDefault="00193AF8" w:rsidP="00DA6E0D">
      <w:pPr>
        <w:jc w:val="both"/>
        <w:rPr>
          <w:lang w:val="sl-SI"/>
        </w:rPr>
      </w:pPr>
    </w:p>
    <w:p w14:paraId="61B609E7" w14:textId="582D9618" w:rsidR="00193AF8" w:rsidRDefault="00193AF8" w:rsidP="00DA6E0D">
      <w:pPr>
        <w:jc w:val="both"/>
        <w:rPr>
          <w:lang w:val="sl-SI"/>
        </w:rPr>
      </w:pPr>
      <w:r w:rsidRPr="00193AF8">
        <w:rPr>
          <w:lang w:val="sl-SI"/>
        </w:rPr>
        <w:t xml:space="preserve">Takšna določitev </w:t>
      </w:r>
      <w:r w:rsidR="00DA6E0D">
        <w:rPr>
          <w:lang w:val="sl-SI"/>
        </w:rPr>
        <w:t xml:space="preserve">višjega </w:t>
      </w:r>
      <w:r w:rsidRPr="00193AF8">
        <w:rPr>
          <w:lang w:val="sl-SI"/>
        </w:rPr>
        <w:t xml:space="preserve">plačnega razreda </w:t>
      </w:r>
      <w:r w:rsidR="00DD02F4">
        <w:rPr>
          <w:lang w:val="sl-SI"/>
        </w:rPr>
        <w:t xml:space="preserve">na podlagi tretjega odstavka 81. člena ZJU-1 </w:t>
      </w:r>
      <w:r w:rsidRPr="00193AF8">
        <w:rPr>
          <w:lang w:val="sl-SI"/>
        </w:rPr>
        <w:t>v skladu s</w:t>
      </w:r>
      <w:r w:rsidR="00DA6E0D">
        <w:rPr>
          <w:lang w:val="sl-SI"/>
        </w:rPr>
        <w:t xml:space="preserve"> tretjim odstavkom</w:t>
      </w:r>
      <w:r w:rsidRPr="00193AF8">
        <w:rPr>
          <w:lang w:val="sl-SI"/>
        </w:rPr>
        <w:t xml:space="preserve"> 24. člen</w:t>
      </w:r>
      <w:r w:rsidR="00DA6E0D">
        <w:rPr>
          <w:lang w:val="sl-SI"/>
        </w:rPr>
        <w:t>a</w:t>
      </w:r>
      <w:r w:rsidRPr="00193AF8">
        <w:rPr>
          <w:lang w:val="sl-SI"/>
        </w:rPr>
        <w:t xml:space="preserve"> ZSTSPJS ne šteje za napredovanje. Javni uslužbenec v tem primeru napreduje </w:t>
      </w:r>
      <w:r w:rsidR="00DA6E0D">
        <w:rPr>
          <w:lang w:val="sl-SI"/>
        </w:rPr>
        <w:t xml:space="preserve">v plačni razred </w:t>
      </w:r>
      <w:r w:rsidRPr="00193AF8">
        <w:rPr>
          <w:lang w:val="sl-SI"/>
        </w:rPr>
        <w:t xml:space="preserve">v skladu </w:t>
      </w:r>
      <w:r w:rsidR="00DA6E0D">
        <w:rPr>
          <w:lang w:val="sl-SI"/>
        </w:rPr>
        <w:t>z določili ZSTSPJS</w:t>
      </w:r>
      <w:r w:rsidRPr="00193AF8">
        <w:rPr>
          <w:lang w:val="sl-SI"/>
        </w:rPr>
        <w:t>, pri čemer se za določitev časovnega obdobja za napredovanje ne upoštevajo plačni razredi, pridobljeni na podlagi tretjega odstavka 81. člena ZJU-1. Pravimo, da javni uslužbenci v tem primeru napredujejo »v ozadju«.</w:t>
      </w:r>
    </w:p>
    <w:p w14:paraId="3050DB73" w14:textId="77777777" w:rsidR="00DD02F4" w:rsidRDefault="00DD02F4" w:rsidP="00DA6E0D">
      <w:pPr>
        <w:jc w:val="both"/>
        <w:rPr>
          <w:lang w:val="sl-SI"/>
        </w:rPr>
      </w:pPr>
    </w:p>
    <w:p w14:paraId="6DEE8606" w14:textId="41C2430A" w:rsidR="00DD02F4" w:rsidRPr="00860116" w:rsidRDefault="00DD02F4" w:rsidP="00DD02F4">
      <w:pPr>
        <w:jc w:val="both"/>
        <w:rPr>
          <w:lang w:val="sl-SI"/>
        </w:rPr>
      </w:pPr>
      <w:r>
        <w:rPr>
          <w:lang w:val="sl-SI"/>
        </w:rPr>
        <w:t xml:space="preserve">V skladu s 76. členom ZJU-1 sklenejo javni uslužbenci </w:t>
      </w:r>
      <w:r w:rsidRPr="00DD02F4">
        <w:rPr>
          <w:lang w:val="sl-SI"/>
        </w:rPr>
        <w:t>za delovna mesta, vezana na osebno zaupanje funkcionarja</w:t>
      </w:r>
      <w:r>
        <w:rPr>
          <w:lang w:val="sl-SI"/>
        </w:rPr>
        <w:t xml:space="preserve">, pogodbo o zaposlitvi </w:t>
      </w:r>
      <w:r w:rsidRPr="00DD02F4">
        <w:rPr>
          <w:lang w:val="sl-SI"/>
        </w:rPr>
        <w:t>za določen čas</w:t>
      </w:r>
      <w:r>
        <w:rPr>
          <w:lang w:val="sl-SI"/>
        </w:rPr>
        <w:t xml:space="preserve">. Ti javni uslužbenci se lahko uvrstijo v višji plačni razred na podlagi tretjega odstavka 81. člena </w:t>
      </w:r>
      <w:r w:rsidRPr="00860116">
        <w:rPr>
          <w:lang w:val="sl-SI"/>
        </w:rPr>
        <w:t xml:space="preserve">ZJU-1 ob sklenitvi pogodbe o zaposlitvi za določen čas ali kadarkoli med njenim trajanjem. Navedeno velja za </w:t>
      </w:r>
      <w:r w:rsidR="00A76DF3" w:rsidRPr="00860116">
        <w:rPr>
          <w:lang w:val="sl-SI"/>
        </w:rPr>
        <w:t xml:space="preserve">vse </w:t>
      </w:r>
      <w:r w:rsidRPr="00860116">
        <w:rPr>
          <w:lang w:val="sl-SI"/>
        </w:rPr>
        <w:t xml:space="preserve">javne uslužbence, ki </w:t>
      </w:r>
      <w:r w:rsidR="00A76DF3" w:rsidRPr="00860116">
        <w:rPr>
          <w:lang w:val="sl-SI"/>
        </w:rPr>
        <w:t xml:space="preserve">se v kabinetu zaposlijo za določen čas, </w:t>
      </w:r>
      <w:r w:rsidR="00665E30">
        <w:rPr>
          <w:lang w:val="sl-SI"/>
        </w:rPr>
        <w:t xml:space="preserve">velja pa </w:t>
      </w:r>
      <w:r w:rsidR="00A76DF3" w:rsidRPr="00860116">
        <w:rPr>
          <w:lang w:val="sl-SI"/>
        </w:rPr>
        <w:t xml:space="preserve">tudi za tiste javne uslužbence, ki </w:t>
      </w:r>
      <w:r w:rsidR="00860116">
        <w:rPr>
          <w:lang w:val="sl-SI"/>
        </w:rPr>
        <w:t>so</w:t>
      </w:r>
      <w:r w:rsidR="00665E30">
        <w:rPr>
          <w:lang w:val="sl-SI"/>
        </w:rPr>
        <w:t xml:space="preserve"> v skladu s četrtim odstavkom 132. člena ZJU-1</w:t>
      </w:r>
      <w:r w:rsidR="00860116">
        <w:rPr>
          <w:lang w:val="sl-SI"/>
        </w:rPr>
        <w:t xml:space="preserve"> začasno premeščeni na delovno mesto, vezano na osebno </w:t>
      </w:r>
      <w:r w:rsidR="00860116">
        <w:rPr>
          <w:lang w:val="sl-SI"/>
        </w:rPr>
        <w:lastRenderedPageBreak/>
        <w:t>zaupanje funkcionarja</w:t>
      </w:r>
      <w:r w:rsidR="00665E30">
        <w:rPr>
          <w:lang w:val="sl-SI"/>
        </w:rPr>
        <w:t xml:space="preserve"> in </w:t>
      </w:r>
      <w:r w:rsidR="00A76DF3" w:rsidRPr="00860116">
        <w:rPr>
          <w:lang w:val="sl-SI"/>
        </w:rPr>
        <w:t xml:space="preserve">imajo v </w:t>
      </w:r>
      <w:r w:rsidR="00665E30">
        <w:rPr>
          <w:lang w:val="sl-SI"/>
        </w:rPr>
        <w:t xml:space="preserve">okviru istega delodajalca </w:t>
      </w:r>
      <w:r w:rsidR="00A76DF3" w:rsidRPr="00860116">
        <w:rPr>
          <w:lang w:val="sl-SI"/>
        </w:rPr>
        <w:t>sklenjeno pogodbo o zaposlitvi za nedoločen čas</w:t>
      </w:r>
      <w:r w:rsidR="00665E30">
        <w:rPr>
          <w:lang w:val="sl-SI"/>
        </w:rPr>
        <w:t xml:space="preserve">. </w:t>
      </w:r>
      <w:r w:rsidR="00A76DF3" w:rsidRPr="00860116">
        <w:rPr>
          <w:lang w:val="sl-SI"/>
        </w:rPr>
        <w:t>Ker se dodatni plačni razredi, ki jih javni uslužbenec dobi v skladu s tretjim odstavkom 81. člena ZJU-1, ne štejejo za napredovanje in so dodeljeni za čas opravljanja dela na delovnem mestu</w:t>
      </w:r>
      <w:r w:rsidR="00860116">
        <w:rPr>
          <w:lang w:val="sl-SI"/>
        </w:rPr>
        <w:t>, vezanem na osebno zaupanje funkcionarja</w:t>
      </w:r>
      <w:r w:rsidR="00A76DF3" w:rsidRPr="00860116">
        <w:rPr>
          <w:lang w:val="sl-SI"/>
        </w:rPr>
        <w:t xml:space="preserve">, se po prenehanju </w:t>
      </w:r>
      <w:r w:rsidR="00860116">
        <w:rPr>
          <w:lang w:val="sl-SI"/>
        </w:rPr>
        <w:t xml:space="preserve">začasne premestitve oziroma </w:t>
      </w:r>
      <w:r w:rsidR="00A76DF3" w:rsidRPr="00860116">
        <w:rPr>
          <w:lang w:val="sl-SI"/>
        </w:rPr>
        <w:t xml:space="preserve">pogodbe o zaposlitvi za določen čas </w:t>
      </w:r>
      <w:r w:rsidR="00860116">
        <w:rPr>
          <w:lang w:val="sl-SI"/>
        </w:rPr>
        <w:t xml:space="preserve">ti plačni razredi </w:t>
      </w:r>
      <w:r w:rsidR="00A76DF3" w:rsidRPr="00860116">
        <w:rPr>
          <w:lang w:val="sl-SI"/>
        </w:rPr>
        <w:t>ne upoštevajo pri določitvi plače na drugem delovnem mestu.</w:t>
      </w:r>
    </w:p>
    <w:p w14:paraId="3BF412E2" w14:textId="77777777" w:rsidR="00193AF8" w:rsidRPr="00860116" w:rsidRDefault="00193AF8" w:rsidP="00DA6E0D">
      <w:pPr>
        <w:jc w:val="both"/>
        <w:rPr>
          <w:lang w:val="sl-SI"/>
        </w:rPr>
      </w:pPr>
    </w:p>
    <w:p w14:paraId="0CF72AD8" w14:textId="77777777" w:rsidR="00DA6E0D" w:rsidRPr="00860116" w:rsidRDefault="00DA6E0D" w:rsidP="007D75CF">
      <w:pPr>
        <w:rPr>
          <w:lang w:val="sl-SI"/>
        </w:rPr>
      </w:pPr>
    </w:p>
    <w:p w14:paraId="7755E515" w14:textId="2DB82884" w:rsidR="007D75CF" w:rsidRPr="00860116" w:rsidRDefault="007D75CF" w:rsidP="007D75CF">
      <w:pPr>
        <w:rPr>
          <w:lang w:val="sl-SI"/>
        </w:rPr>
      </w:pPr>
      <w:r w:rsidRPr="00860116">
        <w:rPr>
          <w:lang w:val="sl-SI"/>
        </w:rPr>
        <w:t>S spoštovanjem,</w:t>
      </w:r>
    </w:p>
    <w:p w14:paraId="35424539" w14:textId="77777777" w:rsidR="007D75CF" w:rsidRPr="00202A77" w:rsidRDefault="007D75CF" w:rsidP="007D75CF">
      <w:pPr>
        <w:rPr>
          <w:lang w:val="sl-SI"/>
        </w:rPr>
      </w:pPr>
    </w:p>
    <w:p w14:paraId="4A667971" w14:textId="77777777" w:rsidR="007D75CF" w:rsidRPr="00202A77" w:rsidRDefault="007D75CF" w:rsidP="007D75CF">
      <w:pPr>
        <w:rPr>
          <w:lang w:val="sl-SI"/>
        </w:rPr>
      </w:pPr>
    </w:p>
    <w:p w14:paraId="3AD0B61C" w14:textId="194FB22D" w:rsidR="007D75CF" w:rsidRPr="00202A77" w:rsidRDefault="003E1C74" w:rsidP="003E1C74">
      <w:pPr>
        <w:pStyle w:val="podpisi"/>
        <w:rPr>
          <w:lang w:val="sl-SI"/>
        </w:rPr>
      </w:pPr>
      <w:r w:rsidRPr="00202A77">
        <w:rPr>
          <w:lang w:val="sl-SI"/>
        </w:rPr>
        <w:tab/>
      </w:r>
      <w:r w:rsidR="00D57DFD">
        <w:rPr>
          <w:lang w:val="sl-SI"/>
        </w:rPr>
        <w:tab/>
      </w:r>
      <w:r w:rsidR="00DA6E0D" w:rsidRPr="00DA6E0D">
        <w:rPr>
          <w:lang w:val="sl-SI"/>
        </w:rPr>
        <w:t>dr. Božo Predalič</w:t>
      </w:r>
    </w:p>
    <w:p w14:paraId="73E731E0" w14:textId="2E6B6B2A" w:rsidR="00C71699" w:rsidRPr="00202A77" w:rsidRDefault="003E1C74" w:rsidP="003E1C74">
      <w:pPr>
        <w:pStyle w:val="podpisi"/>
        <w:rPr>
          <w:lang w:val="sl-SI"/>
        </w:rPr>
      </w:pPr>
      <w:r w:rsidRPr="00202A77">
        <w:rPr>
          <w:lang w:val="sl-SI"/>
        </w:rPr>
        <w:tab/>
      </w:r>
      <w:r w:rsidR="00D57DFD">
        <w:rPr>
          <w:lang w:val="sl-SI"/>
        </w:rPr>
        <w:tab/>
      </w:r>
      <w:r w:rsidR="00DA6E0D">
        <w:rPr>
          <w:lang w:val="sl-SI"/>
        </w:rPr>
        <w:t>državni sekretar</w:t>
      </w:r>
    </w:p>
    <w:sectPr w:rsidR="00C71699" w:rsidRPr="00202A77" w:rsidSect="00164064">
      <w:headerReference w:type="even" r:id="rId8"/>
      <w:headerReference w:type="default" r:id="rId9"/>
      <w:footerReference w:type="even" r:id="rId10"/>
      <w:footerReference w:type="default" r:id="rId11"/>
      <w:headerReference w:type="first" r:id="rId12"/>
      <w:footerReference w:type="first" r:id="rId13"/>
      <w:pgSz w:w="11900" w:h="16840" w:code="9"/>
      <w:pgMar w:top="1701" w:right="1701" w:bottom="1134"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E71EF3" w14:textId="77777777" w:rsidR="00CA5965" w:rsidRDefault="00CA5965">
      <w:r>
        <w:separator/>
      </w:r>
    </w:p>
  </w:endnote>
  <w:endnote w:type="continuationSeparator" w:id="0">
    <w:p w14:paraId="37C8D3CF" w14:textId="77777777" w:rsidR="00CA5965" w:rsidRDefault="00CA59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A7863" w14:textId="77777777" w:rsidR="00F71982" w:rsidRDefault="00F71982">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57444" w14:textId="77777777" w:rsidR="00F71982" w:rsidRDefault="00F71982">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6C8BC" w14:textId="77777777" w:rsidR="00F71982" w:rsidRDefault="00F71982">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99A4D5" w14:textId="77777777" w:rsidR="00CA5965" w:rsidRDefault="00CA5965">
      <w:r>
        <w:separator/>
      </w:r>
    </w:p>
  </w:footnote>
  <w:footnote w:type="continuationSeparator" w:id="0">
    <w:p w14:paraId="33B431DF" w14:textId="77777777" w:rsidR="00CA5965" w:rsidRDefault="00CA59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52CF2" w14:textId="77777777" w:rsidR="00F71982" w:rsidRDefault="00F71982">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4AD5F" w14:textId="77777777" w:rsidR="00F71982" w:rsidRDefault="00F71982">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5DDB9" w14:textId="77777777" w:rsidR="00F71982" w:rsidRDefault="00F71982" w:rsidP="00CE5238">
    <w:pPr>
      <w:pStyle w:val="Glava"/>
      <w:tabs>
        <w:tab w:val="clear" w:pos="4320"/>
        <w:tab w:val="clear" w:pos="8640"/>
        <w:tab w:val="left" w:pos="5112"/>
      </w:tabs>
      <w:spacing w:before="120" w:line="240" w:lineRule="exact"/>
      <w:rPr>
        <w:rFonts w:cs="Arial"/>
        <w:sz w:val="16"/>
        <w:lang w:val="sl-SI"/>
      </w:rPr>
    </w:pPr>
  </w:p>
  <w:p w14:paraId="6F97C052" w14:textId="00E0DA74" w:rsidR="00A770A6" w:rsidRPr="008F3500" w:rsidRDefault="00A76DF3" w:rsidP="00CE5238">
    <w:pPr>
      <w:pStyle w:val="Glava"/>
      <w:tabs>
        <w:tab w:val="clear" w:pos="4320"/>
        <w:tab w:val="clear" w:pos="8640"/>
        <w:tab w:val="left" w:pos="5112"/>
      </w:tabs>
      <w:spacing w:before="120" w:line="240" w:lineRule="exact"/>
      <w:rPr>
        <w:rFonts w:cs="Arial"/>
        <w:sz w:val="16"/>
        <w:lang w:val="sl-SI"/>
      </w:rPr>
    </w:pPr>
    <w:r>
      <w:rPr>
        <w:noProof/>
      </w:rPr>
      <w:drawing>
        <wp:anchor distT="0" distB="0" distL="114300" distR="114300" simplePos="0" relativeHeight="251658240" behindDoc="1" locked="0" layoutInCell="1" allowOverlap="1" wp14:anchorId="7C1E26EC" wp14:editId="66BD039A">
          <wp:simplePos x="0" y="0"/>
          <wp:positionH relativeFrom="page">
            <wp:posOffset>612140</wp:posOffset>
          </wp:positionH>
          <wp:positionV relativeFrom="page">
            <wp:posOffset>648335</wp:posOffset>
          </wp:positionV>
          <wp:extent cx="2799080" cy="461010"/>
          <wp:effectExtent l="0" t="0" r="0" b="0"/>
          <wp:wrapNone/>
          <wp:docPr id="25" name="Slika 1" descr="logotip ministrstva za notranje zadeve in javno upra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Slika 1" descr="logotip ministrstva za notranje zadeve in javno uprav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99080" cy="4610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noProof/>
        <w:sz w:val="16"/>
        <w:lang w:val="sl-SI" w:eastAsia="sl-SI"/>
      </w:rPr>
      <mc:AlternateContent>
        <mc:Choice Requires="wps">
          <w:drawing>
            <wp:anchor distT="0" distB="0" distL="114300" distR="114300" simplePos="0" relativeHeight="251657216" behindDoc="0" locked="0" layoutInCell="0" allowOverlap="1" wp14:anchorId="2BC81E60" wp14:editId="7F8B74D5">
              <wp:simplePos x="0" y="0"/>
              <wp:positionH relativeFrom="column">
                <wp:posOffset>-463550</wp:posOffset>
              </wp:positionH>
              <wp:positionV relativeFrom="page">
                <wp:posOffset>3600450</wp:posOffset>
              </wp:positionV>
              <wp:extent cx="215900" cy="0"/>
              <wp:effectExtent l="6985" t="9525" r="5715" b="9525"/>
              <wp:wrapNone/>
              <wp:docPr id="1464518203"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0997EC9" id="_x0000_t32" coordsize="21600,21600" o:spt="32" o:oned="t" path="m,l21600,21600e" filled="f">
              <v:path arrowok="t" fillok="f" o:connecttype="none"/>
              <o:lock v:ext="edit" shapetype="t"/>
            </v:shapetype>
            <v:shape id="AutoShape 23" o:spid="_x0000_s1026" type="#_x0000_t32" style="position:absolute;margin-left:-36.5pt;margin-top:283.5pt;width:17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" o:allowincell="f" strokecolor="#529dba" strokeweight=".5pt">
              <w10:wrap anchory="page"/>
            </v:shape>
          </w:pict>
        </mc:Fallback>
      </mc:AlternateContent>
    </w:r>
    <w:r w:rsidR="00164064">
      <w:rPr>
        <w:rFonts w:cs="Arial"/>
        <w:sz w:val="16"/>
        <w:lang w:val="sl-SI"/>
      </w:rPr>
      <w:t>Štefanova ulica 2</w:t>
    </w:r>
    <w:r w:rsidR="00A770A6" w:rsidRPr="008F3500">
      <w:rPr>
        <w:rFonts w:cs="Arial"/>
        <w:sz w:val="16"/>
        <w:lang w:val="sl-SI"/>
      </w:rPr>
      <w:t xml:space="preserve">, </w:t>
    </w:r>
    <w:r w:rsidR="00164064">
      <w:rPr>
        <w:rFonts w:cs="Arial"/>
        <w:sz w:val="16"/>
        <w:lang w:val="sl-SI"/>
      </w:rPr>
      <w:t>1501 Ljubljana</w:t>
    </w:r>
    <w:r w:rsidR="00A770A6" w:rsidRPr="008F3500">
      <w:rPr>
        <w:rFonts w:cs="Arial"/>
        <w:sz w:val="16"/>
        <w:lang w:val="sl-SI"/>
      </w:rPr>
      <w:tab/>
      <w:t xml:space="preserve">T: </w:t>
    </w:r>
    <w:r w:rsidR="00164064">
      <w:rPr>
        <w:rFonts w:cs="Arial"/>
        <w:sz w:val="16"/>
        <w:lang w:val="sl-SI"/>
      </w:rPr>
      <w:t>01 428 40 00</w:t>
    </w:r>
  </w:p>
  <w:p w14:paraId="2BB9F9E2" w14:textId="77777777" w:rsidR="00A770A6" w:rsidRPr="008F3500" w:rsidRDefault="00A770A6"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E: </w:t>
    </w:r>
    <w:r w:rsidR="00164064">
      <w:rPr>
        <w:rFonts w:cs="Arial"/>
        <w:sz w:val="16"/>
        <w:lang w:val="sl-SI"/>
      </w:rPr>
      <w:t>gp.mnz@gov.si</w:t>
    </w:r>
  </w:p>
  <w:p w14:paraId="18B422C1" w14:textId="77777777" w:rsidR="00A770A6" w:rsidRPr="008F3500" w:rsidRDefault="00A770A6"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r>
    <w:r w:rsidR="00662B7E">
      <w:rPr>
        <w:rFonts w:cs="Arial"/>
        <w:sz w:val="16"/>
        <w:lang w:val="sl-SI"/>
      </w:rPr>
      <w:t>www</w:t>
    </w:r>
    <w:r w:rsidR="00164064">
      <w:rPr>
        <w:rFonts w:cs="Arial"/>
        <w:sz w:val="16"/>
        <w:lang w:val="sl-SI"/>
      </w:rPr>
      <w:t>.gov.si</w:t>
    </w:r>
  </w:p>
  <w:p w14:paraId="51A5FCCF" w14:textId="77777777" w:rsidR="002A2B69" w:rsidRPr="008F3500" w:rsidRDefault="002A2B69" w:rsidP="007D75CF">
    <w:pPr>
      <w:pStyle w:val="Glava"/>
      <w:tabs>
        <w:tab w:val="clear" w:pos="4320"/>
        <w:tab w:val="clear" w:pos="8640"/>
        <w:tab w:val="left" w:pos="5112"/>
      </w:tabs>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16cid:durableId="80833954">
    <w:abstractNumId w:val="4"/>
  </w:num>
  <w:num w:numId="2" w16cid:durableId="663166480">
    <w:abstractNumId w:val="2"/>
  </w:num>
  <w:num w:numId="3" w16cid:durableId="247083204">
    <w:abstractNumId w:val="3"/>
  </w:num>
  <w:num w:numId="4" w16cid:durableId="284773134">
    <w:abstractNumId w:val="0"/>
  </w:num>
  <w:num w:numId="5" w16cid:durableId="5710831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50">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AF8"/>
    <w:rsid w:val="00023A88"/>
    <w:rsid w:val="000544AB"/>
    <w:rsid w:val="0009508A"/>
    <w:rsid w:val="000A7238"/>
    <w:rsid w:val="000E3F5A"/>
    <w:rsid w:val="00127B86"/>
    <w:rsid w:val="00130128"/>
    <w:rsid w:val="001357B2"/>
    <w:rsid w:val="00145229"/>
    <w:rsid w:val="00162821"/>
    <w:rsid w:val="00164064"/>
    <w:rsid w:val="0017478F"/>
    <w:rsid w:val="00176748"/>
    <w:rsid w:val="00193AF8"/>
    <w:rsid w:val="001B3F20"/>
    <w:rsid w:val="001C7DF9"/>
    <w:rsid w:val="00202A77"/>
    <w:rsid w:val="00267E56"/>
    <w:rsid w:val="00271CE5"/>
    <w:rsid w:val="00282020"/>
    <w:rsid w:val="002A2B69"/>
    <w:rsid w:val="00341E1B"/>
    <w:rsid w:val="003636BF"/>
    <w:rsid w:val="00371442"/>
    <w:rsid w:val="003771AF"/>
    <w:rsid w:val="003845B4"/>
    <w:rsid w:val="00387B1A"/>
    <w:rsid w:val="003C5EE5"/>
    <w:rsid w:val="003E1C74"/>
    <w:rsid w:val="00420D5D"/>
    <w:rsid w:val="004228C1"/>
    <w:rsid w:val="004657EE"/>
    <w:rsid w:val="00482FF5"/>
    <w:rsid w:val="004B46DC"/>
    <w:rsid w:val="004E0C06"/>
    <w:rsid w:val="00524A5C"/>
    <w:rsid w:val="00526246"/>
    <w:rsid w:val="00555ADD"/>
    <w:rsid w:val="00567106"/>
    <w:rsid w:val="005774EB"/>
    <w:rsid w:val="005E1D3C"/>
    <w:rsid w:val="005E1E8A"/>
    <w:rsid w:val="00625AE6"/>
    <w:rsid w:val="00632253"/>
    <w:rsid w:val="00642714"/>
    <w:rsid w:val="006455CE"/>
    <w:rsid w:val="00655841"/>
    <w:rsid w:val="00662B7E"/>
    <w:rsid w:val="00665E30"/>
    <w:rsid w:val="00733017"/>
    <w:rsid w:val="00783310"/>
    <w:rsid w:val="007A4A6D"/>
    <w:rsid w:val="007D1BCF"/>
    <w:rsid w:val="007D60C0"/>
    <w:rsid w:val="007D75CF"/>
    <w:rsid w:val="007E0440"/>
    <w:rsid w:val="007E6DC5"/>
    <w:rsid w:val="00820816"/>
    <w:rsid w:val="00853AC1"/>
    <w:rsid w:val="00860116"/>
    <w:rsid w:val="00877FFC"/>
    <w:rsid w:val="0088043C"/>
    <w:rsid w:val="00884889"/>
    <w:rsid w:val="008906C9"/>
    <w:rsid w:val="008C5738"/>
    <w:rsid w:val="008C740D"/>
    <w:rsid w:val="008D04F0"/>
    <w:rsid w:val="008F3500"/>
    <w:rsid w:val="00915C0D"/>
    <w:rsid w:val="00924E3C"/>
    <w:rsid w:val="009612BB"/>
    <w:rsid w:val="00981758"/>
    <w:rsid w:val="0099437B"/>
    <w:rsid w:val="009C740A"/>
    <w:rsid w:val="00A01D51"/>
    <w:rsid w:val="00A125C5"/>
    <w:rsid w:val="00A2451C"/>
    <w:rsid w:val="00A3126E"/>
    <w:rsid w:val="00A402A1"/>
    <w:rsid w:val="00A65EE7"/>
    <w:rsid w:val="00A70133"/>
    <w:rsid w:val="00A76DF3"/>
    <w:rsid w:val="00A770A6"/>
    <w:rsid w:val="00A813B1"/>
    <w:rsid w:val="00AB36C4"/>
    <w:rsid w:val="00AC1AC9"/>
    <w:rsid w:val="00AC32B2"/>
    <w:rsid w:val="00B17141"/>
    <w:rsid w:val="00B31575"/>
    <w:rsid w:val="00B8547D"/>
    <w:rsid w:val="00BA7BBC"/>
    <w:rsid w:val="00BA7DF4"/>
    <w:rsid w:val="00C250D5"/>
    <w:rsid w:val="00C2624E"/>
    <w:rsid w:val="00C35666"/>
    <w:rsid w:val="00C37019"/>
    <w:rsid w:val="00C71699"/>
    <w:rsid w:val="00C92898"/>
    <w:rsid w:val="00CA4340"/>
    <w:rsid w:val="00CA5965"/>
    <w:rsid w:val="00CB71FE"/>
    <w:rsid w:val="00CE5238"/>
    <w:rsid w:val="00CE7514"/>
    <w:rsid w:val="00D248DE"/>
    <w:rsid w:val="00D57DFD"/>
    <w:rsid w:val="00D8542D"/>
    <w:rsid w:val="00DA6E0D"/>
    <w:rsid w:val="00DC6A71"/>
    <w:rsid w:val="00DD02F4"/>
    <w:rsid w:val="00E0357D"/>
    <w:rsid w:val="00E124C9"/>
    <w:rsid w:val="00E3087B"/>
    <w:rsid w:val="00E74CF8"/>
    <w:rsid w:val="00E76A2E"/>
    <w:rsid w:val="00E84D77"/>
    <w:rsid w:val="00E974D0"/>
    <w:rsid w:val="00EA0413"/>
    <w:rsid w:val="00ED1C3E"/>
    <w:rsid w:val="00F240BB"/>
    <w:rsid w:val="00F57FED"/>
    <w:rsid w:val="00F71982"/>
    <w:rsid w:val="00F72F38"/>
    <w:rsid w:val="00FB6D6C"/>
    <w:rsid w:val="00FF348A"/>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529dba"/>
    </o:shapedefaults>
    <o:shapelayout v:ext="edit">
      <o:idmap v:ext="edit" data="2"/>
    </o:shapelayout>
  </w:shapeDefaults>
  <w:doNotEmbedSmartTags/>
  <w:decimalSymbol w:val=","/>
  <w:listSeparator w:val=";"/>
  <w14:docId w14:val="100822BD"/>
  <w15:chartTrackingRefBased/>
  <w15:docId w15:val="{3853DA14-7CC4-4583-80A5-40E15E44A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193AF8"/>
    <w:pPr>
      <w:spacing w:line="260" w:lineRule="exac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customStyle="1" w:styleId="Bodytext2">
    <w:name w:val="Body text|2_"/>
    <w:link w:val="Bodytext21"/>
    <w:uiPriority w:val="99"/>
    <w:rsid w:val="00193AF8"/>
    <w:rPr>
      <w:rFonts w:ascii="Arial" w:hAnsi="Arial" w:cs="Arial"/>
      <w:sz w:val="22"/>
      <w:szCs w:val="22"/>
      <w:shd w:val="clear" w:color="auto" w:fill="FFFFFF"/>
    </w:rPr>
  </w:style>
  <w:style w:type="paragraph" w:customStyle="1" w:styleId="Bodytext21">
    <w:name w:val="Body text|21"/>
    <w:basedOn w:val="Navaden"/>
    <w:link w:val="Bodytext2"/>
    <w:uiPriority w:val="99"/>
    <w:qFormat/>
    <w:rsid w:val="00193AF8"/>
    <w:pPr>
      <w:widowControl w:val="0"/>
      <w:shd w:val="clear" w:color="auto" w:fill="FFFFFF"/>
      <w:spacing w:before="620" w:after="520" w:line="264" w:lineRule="exact"/>
      <w:ind w:hanging="360"/>
    </w:pPr>
    <w:rPr>
      <w:rFonts w:cs="Arial"/>
      <w:sz w:val="22"/>
      <w:szCs w:val="22"/>
      <w:lang w:val="sl-SI" w:eastAsia="sl-SI"/>
    </w:rPr>
  </w:style>
  <w:style w:type="character" w:styleId="Nerazreenaomemba">
    <w:name w:val="Unresolved Mention"/>
    <w:basedOn w:val="Privzetapisavaodstavka"/>
    <w:uiPriority w:val="99"/>
    <w:semiHidden/>
    <w:unhideWhenUsed/>
    <w:rsid w:val="003771AF"/>
    <w:rPr>
      <w:color w:val="605E5C"/>
      <w:shd w:val="clear" w:color="auto" w:fill="E1DFDD"/>
    </w:rPr>
  </w:style>
  <w:style w:type="paragraph" w:styleId="Revizija">
    <w:name w:val="Revision"/>
    <w:hidden/>
    <w:uiPriority w:val="99"/>
    <w:semiHidden/>
    <w:rsid w:val="00665E30"/>
    <w:rPr>
      <w:rFonts w:ascii="Arial" w:hAnsi="Arial"/>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32043D-2070-411E-9B96-55761F0D2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945</Words>
  <Characters>5387</Characters>
  <Application>Microsoft Office Word</Application>
  <DocSecurity>0</DocSecurity>
  <Lines>44</Lines>
  <Paragraphs>12</Paragraphs>
  <ScaleCrop>false</ScaleCrop>
  <HeadingPairs>
    <vt:vector size="2" baseType="variant">
      <vt:variant>
        <vt:lpstr>Naslov</vt:lpstr>
      </vt:variant>
      <vt:variant>
        <vt:i4>1</vt:i4>
      </vt:variant>
    </vt:vector>
  </HeadingPairs>
  <TitlesOfParts>
    <vt:vector size="1" baseType="lpstr">
      <vt:lpstr/>
    </vt:vector>
  </TitlesOfParts>
  <Company>MNZ RS</Company>
  <LinksUpToDate>false</LinksUpToDate>
  <CharactersWithSpaces>6320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Določitev plače javnim uslužbencem na delovnih mestih, vezanih na osebno zaupanje funkcionarja (19. 6. 2026)</dc:title>
  <dc:subject/>
  <dc:creator>Martina Jug</dc:creator>
  <cp:keywords/>
  <cp:lastModifiedBy>Darja Centa</cp:lastModifiedBy>
  <cp:revision>4</cp:revision>
  <cp:lastPrinted>2026-06-19T11:16:00Z</cp:lastPrinted>
  <dcterms:created xsi:type="dcterms:W3CDTF">2026-06-29T05:42:00Z</dcterms:created>
  <dcterms:modified xsi:type="dcterms:W3CDTF">2026-06-29T05:45:00Z</dcterms:modified>
</cp:coreProperties>
</file>