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lastRenderedPageBreak/>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lastRenderedPageBreak/>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lastRenderedPageBreak/>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89F6356">
            <wp:extent cx="617220" cy="1800860"/>
            <wp:effectExtent l="0" t="0" r="0" b="8890"/>
            <wp:docPr id="52514186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74A7C48E" w:rsidR="00D9042A" w:rsidRDefault="00D9042A" w:rsidP="00D9042A">
    <w:pPr>
      <w:pStyle w:val="Glava"/>
      <w:jc w:val="right"/>
    </w:pPr>
    <w:r>
      <w:t xml:space="preserve">Zadnja sprememba obvestila: </w:t>
    </w:r>
    <w:r w:rsidR="00F64950">
      <w:t>1</w:t>
    </w:r>
    <w:r w:rsidR="00C53798">
      <w:t>3</w:t>
    </w:r>
    <w:r>
      <w:t>.</w:t>
    </w:r>
    <w:r w:rsidR="001A6978">
      <w:t>2</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9711F"/>
    <w:rsid w:val="000B77AC"/>
    <w:rsid w:val="000C1A5B"/>
    <w:rsid w:val="000C2B5D"/>
    <w:rsid w:val="000E6FBB"/>
    <w:rsid w:val="00101FF2"/>
    <w:rsid w:val="00111831"/>
    <w:rsid w:val="001259CB"/>
    <w:rsid w:val="001547B1"/>
    <w:rsid w:val="00165AB4"/>
    <w:rsid w:val="00190740"/>
    <w:rsid w:val="00194587"/>
    <w:rsid w:val="00197B96"/>
    <w:rsid w:val="001A6978"/>
    <w:rsid w:val="001B38BC"/>
    <w:rsid w:val="001D3494"/>
    <w:rsid w:val="0029347C"/>
    <w:rsid w:val="002B05EF"/>
    <w:rsid w:val="002D7955"/>
    <w:rsid w:val="002F4A37"/>
    <w:rsid w:val="002F6AF2"/>
    <w:rsid w:val="003027D2"/>
    <w:rsid w:val="00310021"/>
    <w:rsid w:val="003771E9"/>
    <w:rsid w:val="003D04D3"/>
    <w:rsid w:val="003D4BE3"/>
    <w:rsid w:val="003E29F3"/>
    <w:rsid w:val="00431BFF"/>
    <w:rsid w:val="00455BC9"/>
    <w:rsid w:val="004926E2"/>
    <w:rsid w:val="00495A9A"/>
    <w:rsid w:val="004C65CA"/>
    <w:rsid w:val="00540711"/>
    <w:rsid w:val="00563FA0"/>
    <w:rsid w:val="005C3659"/>
    <w:rsid w:val="00605634"/>
    <w:rsid w:val="007504E5"/>
    <w:rsid w:val="00770518"/>
    <w:rsid w:val="0077533E"/>
    <w:rsid w:val="00787AA1"/>
    <w:rsid w:val="007A7D64"/>
    <w:rsid w:val="007E6CDD"/>
    <w:rsid w:val="008126DD"/>
    <w:rsid w:val="008F164F"/>
    <w:rsid w:val="00935F47"/>
    <w:rsid w:val="00994445"/>
    <w:rsid w:val="00A000FC"/>
    <w:rsid w:val="00A02C65"/>
    <w:rsid w:val="00A454CC"/>
    <w:rsid w:val="00A56636"/>
    <w:rsid w:val="00A846F2"/>
    <w:rsid w:val="00AA13FB"/>
    <w:rsid w:val="00AA65D3"/>
    <w:rsid w:val="00AB3093"/>
    <w:rsid w:val="00B55E59"/>
    <w:rsid w:val="00B60A74"/>
    <w:rsid w:val="00B9695E"/>
    <w:rsid w:val="00B973E1"/>
    <w:rsid w:val="00BA759C"/>
    <w:rsid w:val="00BF0AA1"/>
    <w:rsid w:val="00C26A41"/>
    <w:rsid w:val="00C27ED7"/>
    <w:rsid w:val="00C36C68"/>
    <w:rsid w:val="00C50844"/>
    <w:rsid w:val="00C53798"/>
    <w:rsid w:val="00C5610D"/>
    <w:rsid w:val="00C80306"/>
    <w:rsid w:val="00C93AEC"/>
    <w:rsid w:val="00CE1CD8"/>
    <w:rsid w:val="00CF2826"/>
    <w:rsid w:val="00CF30FB"/>
    <w:rsid w:val="00D16112"/>
    <w:rsid w:val="00D26610"/>
    <w:rsid w:val="00D4229B"/>
    <w:rsid w:val="00D4300B"/>
    <w:rsid w:val="00D9042A"/>
    <w:rsid w:val="00E32E63"/>
    <w:rsid w:val="00E6493C"/>
    <w:rsid w:val="00E91BE2"/>
    <w:rsid w:val="00E97C49"/>
    <w:rsid w:val="00EB0A8A"/>
    <w:rsid w:val="00ED1158"/>
    <w:rsid w:val="00EE5178"/>
    <w:rsid w:val="00F06B72"/>
    <w:rsid w:val="00F542B8"/>
    <w:rsid w:val="00F64950"/>
    <w:rsid w:val="00F86766"/>
    <w:rsid w:val="00FA48DB"/>
    <w:rsid w:val="00FA7E40"/>
    <w:rsid w:val="00FD7741"/>
    <w:rsid w:val="00FF3F42"/>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1014</Words>
  <Characters>5781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Vesna Derenčin</cp:lastModifiedBy>
  <cp:revision>7</cp:revision>
  <dcterms:created xsi:type="dcterms:W3CDTF">2025-02-12T15:07:00Z</dcterms:created>
  <dcterms:modified xsi:type="dcterms:W3CDTF">2025-02-13T06:30:00Z</dcterms:modified>
</cp:coreProperties>
</file>