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03CFB" w14:textId="77777777" w:rsidR="00AD22CE" w:rsidRPr="002760DC" w:rsidRDefault="00AD22CE" w:rsidP="00AD22CE">
      <w:pPr>
        <w:pStyle w:val="datumtevilka"/>
      </w:pPr>
      <w:r w:rsidRPr="002760DC">
        <w:t xml:space="preserve">Številka: </w:t>
      </w:r>
      <w:r w:rsidRPr="002760DC">
        <w:tab/>
      </w:r>
      <w:r>
        <w:rPr>
          <w:rFonts w:cs="Arial"/>
          <w:color w:val="000000"/>
        </w:rPr>
        <w:t>06000-4/2020/3</w:t>
      </w:r>
    </w:p>
    <w:p w14:paraId="7C506496" w14:textId="77777777" w:rsidR="00AD22CE" w:rsidRPr="002760DC" w:rsidRDefault="00AD22CE" w:rsidP="00AD22CE">
      <w:pPr>
        <w:pStyle w:val="datumtevilka"/>
      </w:pPr>
      <w:r>
        <w:t>Datum:</w:t>
      </w:r>
      <w:r w:rsidRPr="002760DC">
        <w:t xml:space="preserve"> </w:t>
      </w:r>
      <w:r w:rsidRPr="002760DC">
        <w:tab/>
      </w:r>
      <w:r>
        <w:rPr>
          <w:rFonts w:cs="Arial"/>
          <w:color w:val="000000"/>
        </w:rPr>
        <w:t>19. 11. 2020</w:t>
      </w:r>
      <w:r w:rsidRPr="002760DC">
        <w:t xml:space="preserve"> </w:t>
      </w:r>
    </w:p>
    <w:p w14:paraId="332FD4FD" w14:textId="77777777" w:rsidR="00AD22CE" w:rsidRPr="002760DC" w:rsidRDefault="00AD22CE" w:rsidP="00AD22CE"/>
    <w:p w14:paraId="0E84FA59" w14:textId="77777777" w:rsidR="00AD22CE" w:rsidRDefault="00AD22CE" w:rsidP="00F26991">
      <w:pPr>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2930E88" w14:textId="44DE8DB4" w:rsidR="00F66F5A" w:rsidRPr="00AD22CE" w:rsidRDefault="004C0DAB" w:rsidP="00AD22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AD22CE">
        <w:rPr>
          <w:rFonts w:ascii="Arial" w:eastAsia="Times New Roman" w:hAnsi="Arial" w:cs="Arial"/>
          <w:b/>
          <w:bCs/>
          <w:sz w:val="20"/>
          <w:szCs w:val="20"/>
        </w:rPr>
        <w:t>DRUGO</w:t>
      </w:r>
      <w:r w:rsidRPr="00AD22CE">
        <w:rPr>
          <w:rFonts w:ascii="Arial" w:eastAsia="Times New Roman" w:hAnsi="Arial" w:cs="Arial"/>
          <w:b/>
          <w:sz w:val="20"/>
          <w:szCs w:val="20"/>
        </w:rPr>
        <w:t xml:space="preserve"> </w:t>
      </w:r>
      <w:r w:rsidR="00122626" w:rsidRPr="00AD22CE">
        <w:rPr>
          <w:rFonts w:ascii="Arial" w:hAnsi="Arial" w:cs="Arial"/>
          <w:b/>
          <w:sz w:val="20"/>
          <w:szCs w:val="20"/>
        </w:rPr>
        <w:t xml:space="preserve">POROČILO MINISTRSTVA ZA JAVNO UPRAVO O OPRAVLJENIH STROKOVNIH NADZORIH OBČINSKIH </w:t>
      </w:r>
      <w:r w:rsidR="001A2FF0" w:rsidRPr="00AD22CE">
        <w:rPr>
          <w:rFonts w:ascii="Arial" w:hAnsi="Arial" w:cs="Arial"/>
          <w:b/>
          <w:sz w:val="20"/>
          <w:szCs w:val="20"/>
        </w:rPr>
        <w:t>SPLOŠNIH AKTOV</w:t>
      </w:r>
      <w:r w:rsidR="00122626" w:rsidRPr="00AD22CE">
        <w:rPr>
          <w:rFonts w:ascii="Arial" w:hAnsi="Arial" w:cs="Arial"/>
          <w:b/>
          <w:sz w:val="20"/>
          <w:szCs w:val="20"/>
        </w:rPr>
        <w:t xml:space="preserve"> </w:t>
      </w:r>
      <w:r w:rsidR="00AD22CE">
        <w:rPr>
          <w:rFonts w:ascii="Arial" w:hAnsi="Arial" w:cs="Arial"/>
          <w:b/>
          <w:sz w:val="20"/>
          <w:szCs w:val="20"/>
        </w:rPr>
        <w:t>S STANJEM NA DAN 31. </w:t>
      </w:r>
      <w:r w:rsidR="00A223BA" w:rsidRPr="00AD22CE">
        <w:rPr>
          <w:rFonts w:ascii="Arial" w:hAnsi="Arial" w:cs="Arial"/>
          <w:b/>
          <w:sz w:val="20"/>
          <w:szCs w:val="20"/>
        </w:rPr>
        <w:t>8.</w:t>
      </w:r>
      <w:r w:rsidR="00AD22CE">
        <w:rPr>
          <w:rFonts w:ascii="Arial" w:hAnsi="Arial" w:cs="Arial"/>
          <w:b/>
          <w:sz w:val="20"/>
          <w:szCs w:val="20"/>
        </w:rPr>
        <w:t> </w:t>
      </w:r>
      <w:r w:rsidR="00A223BA" w:rsidRPr="00AD22CE">
        <w:rPr>
          <w:rFonts w:ascii="Arial" w:hAnsi="Arial" w:cs="Arial"/>
          <w:b/>
          <w:sz w:val="20"/>
          <w:szCs w:val="20"/>
        </w:rPr>
        <w:t>2020</w:t>
      </w:r>
    </w:p>
    <w:p w14:paraId="0ACD10E6" w14:textId="77777777" w:rsidR="0010469D" w:rsidRPr="00AD22CE" w:rsidRDefault="0010469D" w:rsidP="00AD22CE">
      <w:pPr>
        <w:overflowPunct w:val="0"/>
        <w:autoSpaceDE w:val="0"/>
        <w:autoSpaceDN w:val="0"/>
        <w:adjustRightInd w:val="0"/>
        <w:spacing w:after="0" w:line="240" w:lineRule="exact"/>
        <w:jc w:val="center"/>
        <w:textAlignment w:val="baseline"/>
        <w:rPr>
          <w:rFonts w:ascii="Arial" w:eastAsia="Times New Roman" w:hAnsi="Arial" w:cs="Arial"/>
          <w:b/>
          <w:sz w:val="20"/>
          <w:szCs w:val="20"/>
          <w:lang w:eastAsia="sl-SI"/>
        </w:rPr>
      </w:pPr>
    </w:p>
    <w:p w14:paraId="4340A5BC" w14:textId="2F271E95" w:rsidR="00F26991" w:rsidRPr="00C27637" w:rsidRDefault="00CC5C55" w:rsidP="00F26991">
      <w:pPr>
        <w:overflowPunct w:val="0"/>
        <w:autoSpaceDE w:val="0"/>
        <w:autoSpaceDN w:val="0"/>
        <w:adjustRightInd w:val="0"/>
        <w:spacing w:after="0" w:line="240" w:lineRule="exact"/>
        <w:jc w:val="both"/>
        <w:textAlignment w:val="baseline"/>
        <w:rPr>
          <w:rFonts w:ascii="Arial" w:eastAsia="Times New Roman" w:hAnsi="Arial" w:cs="Arial"/>
          <w:b/>
          <w:sz w:val="20"/>
          <w:szCs w:val="20"/>
          <w:lang w:eastAsia="sl-SI"/>
        </w:rPr>
      </w:pPr>
      <w:r w:rsidRPr="00C27637">
        <w:rPr>
          <w:rFonts w:ascii="Arial" w:eastAsia="Times New Roman" w:hAnsi="Arial" w:cs="Arial"/>
          <w:b/>
          <w:sz w:val="20"/>
          <w:szCs w:val="20"/>
          <w:lang w:eastAsia="sl-SI"/>
        </w:rPr>
        <w:t>I</w:t>
      </w:r>
      <w:r w:rsidR="00F26991" w:rsidRPr="00C27637">
        <w:rPr>
          <w:rFonts w:ascii="Arial" w:eastAsia="Times New Roman" w:hAnsi="Arial" w:cs="Arial"/>
          <w:b/>
          <w:sz w:val="20"/>
          <w:szCs w:val="20"/>
          <w:lang w:eastAsia="sl-SI"/>
        </w:rPr>
        <w:t>. Uvod</w:t>
      </w:r>
    </w:p>
    <w:p w14:paraId="2222F0FE" w14:textId="77777777" w:rsidR="00F26991" w:rsidRPr="00C27637" w:rsidRDefault="00F26991" w:rsidP="00914051">
      <w:pPr>
        <w:spacing w:line="240" w:lineRule="exact"/>
        <w:jc w:val="both"/>
        <w:rPr>
          <w:rFonts w:ascii="Arial" w:hAnsi="Arial" w:cs="Arial"/>
          <w:b/>
          <w:sz w:val="20"/>
          <w:szCs w:val="20"/>
        </w:rPr>
      </w:pPr>
    </w:p>
    <w:p w14:paraId="3D9FB175" w14:textId="49663BDB" w:rsidR="004D522F" w:rsidRPr="00C27637" w:rsidRDefault="00E13925" w:rsidP="001F11D8">
      <w:pPr>
        <w:spacing w:after="0" w:line="240" w:lineRule="atLeast"/>
        <w:jc w:val="both"/>
        <w:rPr>
          <w:rFonts w:ascii="Arial" w:hAnsi="Arial" w:cs="Arial"/>
          <w:sz w:val="20"/>
          <w:szCs w:val="20"/>
        </w:rPr>
      </w:pPr>
      <w:r>
        <w:rPr>
          <w:rFonts w:ascii="Arial" w:hAnsi="Arial" w:cs="Arial"/>
          <w:sz w:val="20"/>
          <w:szCs w:val="20"/>
        </w:rPr>
        <w:t xml:space="preserve">Poročilo zajema </w:t>
      </w:r>
      <w:r w:rsidR="00FB04FF">
        <w:rPr>
          <w:rFonts w:ascii="Arial" w:hAnsi="Arial" w:cs="Arial"/>
          <w:sz w:val="20"/>
          <w:szCs w:val="20"/>
        </w:rPr>
        <w:t>nadzor</w:t>
      </w:r>
      <w:r>
        <w:rPr>
          <w:rFonts w:ascii="Arial" w:hAnsi="Arial" w:cs="Arial"/>
          <w:sz w:val="20"/>
          <w:szCs w:val="20"/>
        </w:rPr>
        <w:t xml:space="preserve"> občinskih splošnih aktov, ki ga je </w:t>
      </w:r>
      <w:r w:rsidR="00B9661A" w:rsidRPr="00C27637">
        <w:rPr>
          <w:rFonts w:ascii="Arial" w:hAnsi="Arial" w:cs="Arial"/>
          <w:sz w:val="20"/>
          <w:szCs w:val="20"/>
        </w:rPr>
        <w:t>Ministrstvo za javno upravo (v nadaljevanju</w:t>
      </w:r>
      <w:r w:rsidR="002F72D6">
        <w:rPr>
          <w:rFonts w:ascii="Arial" w:hAnsi="Arial" w:cs="Arial"/>
          <w:sz w:val="20"/>
          <w:szCs w:val="20"/>
        </w:rPr>
        <w:t>:</w:t>
      </w:r>
      <w:r w:rsidR="00B9661A" w:rsidRPr="00C27637">
        <w:rPr>
          <w:rFonts w:ascii="Arial" w:hAnsi="Arial" w:cs="Arial"/>
          <w:sz w:val="20"/>
          <w:szCs w:val="20"/>
        </w:rPr>
        <w:t xml:space="preserve"> MJU) </w:t>
      </w:r>
      <w:r>
        <w:rPr>
          <w:rFonts w:ascii="Arial" w:hAnsi="Arial" w:cs="Arial"/>
          <w:sz w:val="20"/>
          <w:szCs w:val="20"/>
        </w:rPr>
        <w:t>opravilo v obdobju med 2013 in 2017. V</w:t>
      </w:r>
      <w:r w:rsidR="00585291">
        <w:rPr>
          <w:rFonts w:ascii="Arial" w:hAnsi="Arial" w:cs="Arial"/>
          <w:sz w:val="20"/>
          <w:szCs w:val="20"/>
        </w:rPr>
        <w:t xml:space="preserve"> </w:t>
      </w:r>
      <w:r w:rsidR="00FF5A4E" w:rsidRPr="00C27637">
        <w:rPr>
          <w:rFonts w:ascii="Arial" w:hAnsi="Arial" w:cs="Arial"/>
          <w:sz w:val="20"/>
          <w:szCs w:val="20"/>
        </w:rPr>
        <w:t>januarj</w:t>
      </w:r>
      <w:r w:rsidR="00585291">
        <w:rPr>
          <w:rFonts w:ascii="Arial" w:hAnsi="Arial" w:cs="Arial"/>
          <w:sz w:val="20"/>
          <w:szCs w:val="20"/>
        </w:rPr>
        <w:t>u</w:t>
      </w:r>
      <w:r w:rsidRPr="00C27637">
        <w:rPr>
          <w:rFonts w:ascii="Arial" w:hAnsi="Arial" w:cs="Arial"/>
          <w:sz w:val="20"/>
          <w:szCs w:val="20"/>
        </w:rPr>
        <w:t xml:space="preserve"> </w:t>
      </w:r>
      <w:r w:rsidR="00FF5A4E" w:rsidRPr="00C27637">
        <w:rPr>
          <w:rFonts w:ascii="Arial" w:hAnsi="Arial" w:cs="Arial"/>
          <w:sz w:val="20"/>
          <w:szCs w:val="20"/>
        </w:rPr>
        <w:t xml:space="preserve">2018 </w:t>
      </w:r>
      <w:r w:rsidR="00541A00">
        <w:rPr>
          <w:rFonts w:ascii="Arial" w:hAnsi="Arial" w:cs="Arial"/>
          <w:sz w:val="20"/>
          <w:szCs w:val="20"/>
        </w:rPr>
        <w:t xml:space="preserve">je </w:t>
      </w:r>
      <w:r>
        <w:rPr>
          <w:rFonts w:ascii="Arial" w:hAnsi="Arial" w:cs="Arial"/>
          <w:sz w:val="20"/>
          <w:szCs w:val="20"/>
        </w:rPr>
        <w:t xml:space="preserve">MJU </w:t>
      </w:r>
      <w:r w:rsidR="00FB04FF">
        <w:rPr>
          <w:rFonts w:ascii="Arial" w:hAnsi="Arial" w:cs="Arial"/>
          <w:sz w:val="20"/>
          <w:szCs w:val="20"/>
        </w:rPr>
        <w:t>zaključilo</w:t>
      </w:r>
      <w:r w:rsidR="00585291">
        <w:rPr>
          <w:rFonts w:ascii="Arial" w:hAnsi="Arial" w:cs="Arial"/>
          <w:sz w:val="20"/>
          <w:szCs w:val="20"/>
        </w:rPr>
        <w:t xml:space="preserve"> </w:t>
      </w:r>
      <w:r w:rsidR="00FB04FF">
        <w:rPr>
          <w:rFonts w:ascii="Arial" w:hAnsi="Arial" w:cs="Arial"/>
          <w:sz w:val="20"/>
          <w:szCs w:val="20"/>
        </w:rPr>
        <w:t xml:space="preserve">z operativnim </w:t>
      </w:r>
      <w:r w:rsidR="00FF5A4E" w:rsidRPr="00C27637">
        <w:rPr>
          <w:rFonts w:ascii="Arial" w:hAnsi="Arial" w:cs="Arial"/>
          <w:sz w:val="20"/>
          <w:szCs w:val="20"/>
        </w:rPr>
        <w:t>nadzor</w:t>
      </w:r>
      <w:r w:rsidR="008E5600">
        <w:rPr>
          <w:rFonts w:ascii="Arial" w:hAnsi="Arial" w:cs="Arial"/>
          <w:sz w:val="20"/>
          <w:szCs w:val="20"/>
        </w:rPr>
        <w:t>o</w:t>
      </w:r>
      <w:r w:rsidR="00FB04FF">
        <w:rPr>
          <w:rFonts w:ascii="Arial" w:hAnsi="Arial" w:cs="Arial"/>
          <w:sz w:val="20"/>
          <w:szCs w:val="20"/>
        </w:rPr>
        <w:t>m</w:t>
      </w:r>
      <w:r w:rsidR="00FF5A4E" w:rsidRPr="00C27637">
        <w:rPr>
          <w:rFonts w:ascii="Arial" w:hAnsi="Arial" w:cs="Arial"/>
          <w:sz w:val="20"/>
          <w:szCs w:val="20"/>
        </w:rPr>
        <w:t xml:space="preserve"> občinskih splošnih aktov</w:t>
      </w:r>
      <w:r w:rsidR="008E5600">
        <w:rPr>
          <w:rFonts w:ascii="Arial" w:hAnsi="Arial" w:cs="Arial"/>
          <w:sz w:val="20"/>
          <w:szCs w:val="20"/>
        </w:rPr>
        <w:t>,</w:t>
      </w:r>
      <w:r w:rsidR="00FB04FF">
        <w:rPr>
          <w:rFonts w:ascii="Arial" w:hAnsi="Arial" w:cs="Arial"/>
          <w:sz w:val="20"/>
          <w:szCs w:val="20"/>
        </w:rPr>
        <w:t xml:space="preserve"> rezultate nadzora pa spremlja še naprej, saj vse občine še niso uskladile svojih splošnih aktov z  zakoni. </w:t>
      </w:r>
      <w:r w:rsidR="00FF5A4E" w:rsidRPr="00C27637">
        <w:rPr>
          <w:rFonts w:ascii="Arial" w:hAnsi="Arial" w:cs="Arial"/>
          <w:sz w:val="20"/>
          <w:szCs w:val="20"/>
        </w:rPr>
        <w:t>Nadzor je obsegal pregled treh temeljnih predpisov občine: statuta, poslovnika občinskega sveta in poslovnika nadzornega odbora</w:t>
      </w:r>
      <w:r w:rsidR="00725059">
        <w:rPr>
          <w:rFonts w:ascii="Arial" w:hAnsi="Arial" w:cs="Arial"/>
          <w:sz w:val="20"/>
          <w:szCs w:val="20"/>
        </w:rPr>
        <w:t xml:space="preserve"> občine</w:t>
      </w:r>
      <w:r w:rsidR="00FF5A4E" w:rsidRPr="00C27637">
        <w:rPr>
          <w:rFonts w:ascii="Arial" w:hAnsi="Arial" w:cs="Arial"/>
          <w:sz w:val="20"/>
          <w:szCs w:val="20"/>
        </w:rPr>
        <w:t xml:space="preserve">. </w:t>
      </w:r>
      <w:r w:rsidR="00B9661A" w:rsidRPr="00C27637">
        <w:rPr>
          <w:rFonts w:ascii="Arial" w:hAnsi="Arial" w:cs="Arial"/>
          <w:sz w:val="20"/>
          <w:szCs w:val="20"/>
        </w:rPr>
        <w:t>MJU</w:t>
      </w:r>
      <w:r w:rsidR="00FF5A4E" w:rsidRPr="00C27637">
        <w:rPr>
          <w:rFonts w:ascii="Arial" w:hAnsi="Arial" w:cs="Arial"/>
          <w:sz w:val="20"/>
          <w:szCs w:val="20"/>
        </w:rPr>
        <w:t xml:space="preserve"> je po</w:t>
      </w:r>
      <w:r w:rsidR="00585291">
        <w:rPr>
          <w:rFonts w:ascii="Arial" w:hAnsi="Arial" w:cs="Arial"/>
          <w:sz w:val="20"/>
          <w:szCs w:val="20"/>
        </w:rPr>
        <w:t xml:space="preserve"> opravljenem</w:t>
      </w:r>
      <w:r w:rsidR="00FF5A4E" w:rsidRPr="00C27637">
        <w:rPr>
          <w:rFonts w:ascii="Arial" w:hAnsi="Arial" w:cs="Arial"/>
          <w:sz w:val="20"/>
          <w:szCs w:val="20"/>
        </w:rPr>
        <w:t xml:space="preserve"> pregledu </w:t>
      </w:r>
      <w:r w:rsidR="008E1E1F" w:rsidRPr="00C27637">
        <w:rPr>
          <w:rFonts w:ascii="Arial" w:hAnsi="Arial" w:cs="Arial"/>
          <w:sz w:val="20"/>
          <w:szCs w:val="20"/>
        </w:rPr>
        <w:t xml:space="preserve">vsaki občini </w:t>
      </w:r>
      <w:r w:rsidR="00FF5A4E" w:rsidRPr="00C27637">
        <w:rPr>
          <w:rFonts w:ascii="Arial" w:hAnsi="Arial" w:cs="Arial"/>
          <w:sz w:val="20"/>
          <w:szCs w:val="20"/>
        </w:rPr>
        <w:t>izdalo pisno opozorilo z rokom za odpravo ugotovljenih ne</w:t>
      </w:r>
      <w:r w:rsidR="008E5600">
        <w:rPr>
          <w:rFonts w:ascii="Arial" w:hAnsi="Arial" w:cs="Arial"/>
          <w:sz w:val="20"/>
          <w:szCs w:val="20"/>
        </w:rPr>
        <w:t>pravilnosti</w:t>
      </w:r>
      <w:r w:rsidR="00FF5A4E" w:rsidRPr="00C27637">
        <w:rPr>
          <w:rFonts w:ascii="Arial" w:hAnsi="Arial" w:cs="Arial"/>
          <w:sz w:val="20"/>
          <w:szCs w:val="20"/>
        </w:rPr>
        <w:t>. V letih 2013 in 2014 je bil nadzor opravljen v 47 občinah, leta 2015 v 50 občinah, leta 2016 v 45 občinah</w:t>
      </w:r>
      <w:r w:rsidR="00E93761">
        <w:rPr>
          <w:rFonts w:ascii="Arial" w:hAnsi="Arial" w:cs="Arial"/>
          <w:sz w:val="20"/>
          <w:szCs w:val="20"/>
        </w:rPr>
        <w:t xml:space="preserve"> in</w:t>
      </w:r>
      <w:r w:rsidR="00EF5C6A">
        <w:rPr>
          <w:rFonts w:ascii="Arial" w:hAnsi="Arial" w:cs="Arial"/>
          <w:sz w:val="20"/>
          <w:szCs w:val="20"/>
        </w:rPr>
        <w:t xml:space="preserve"> </w:t>
      </w:r>
      <w:r w:rsidR="00585291">
        <w:rPr>
          <w:rFonts w:ascii="Arial" w:hAnsi="Arial" w:cs="Arial"/>
          <w:sz w:val="20"/>
          <w:szCs w:val="20"/>
        </w:rPr>
        <w:t>v</w:t>
      </w:r>
      <w:r w:rsidR="00FF5A4E" w:rsidRPr="00C27637">
        <w:rPr>
          <w:rFonts w:ascii="Arial" w:hAnsi="Arial" w:cs="Arial"/>
          <w:sz w:val="20"/>
          <w:szCs w:val="20"/>
        </w:rPr>
        <w:t xml:space="preserve"> letu 2017 v </w:t>
      </w:r>
      <w:r w:rsidR="005D053A">
        <w:rPr>
          <w:rFonts w:ascii="Arial" w:hAnsi="Arial" w:cs="Arial"/>
          <w:sz w:val="20"/>
          <w:szCs w:val="20"/>
        </w:rPr>
        <w:br/>
      </w:r>
      <w:r w:rsidR="00FF5A4E" w:rsidRPr="00C27637">
        <w:rPr>
          <w:rFonts w:ascii="Arial" w:hAnsi="Arial" w:cs="Arial"/>
          <w:sz w:val="20"/>
          <w:szCs w:val="20"/>
        </w:rPr>
        <w:t xml:space="preserve">70 občinah. Učinki opravljenih nadzorov so </w:t>
      </w:r>
      <w:r w:rsidR="00C93C25" w:rsidRPr="00C27637">
        <w:rPr>
          <w:rFonts w:ascii="Arial" w:hAnsi="Arial" w:cs="Arial"/>
          <w:sz w:val="20"/>
          <w:szCs w:val="20"/>
        </w:rPr>
        <w:t xml:space="preserve">skladnost občinskih predpisov s </w:t>
      </w:r>
      <w:r w:rsidR="002F72D6">
        <w:rPr>
          <w:rFonts w:ascii="Arial" w:hAnsi="Arial" w:cs="Arial"/>
          <w:sz w:val="20"/>
          <w:szCs w:val="20"/>
        </w:rPr>
        <w:t>področno</w:t>
      </w:r>
      <w:r w:rsidR="00C93C25" w:rsidRPr="00C27637">
        <w:rPr>
          <w:rFonts w:ascii="Arial" w:hAnsi="Arial" w:cs="Arial"/>
          <w:sz w:val="20"/>
          <w:szCs w:val="20"/>
        </w:rPr>
        <w:t xml:space="preserve"> zakonodajo,</w:t>
      </w:r>
      <w:r w:rsidR="00FF5A4E" w:rsidRPr="00C27637">
        <w:rPr>
          <w:rFonts w:ascii="Arial" w:hAnsi="Arial" w:cs="Arial"/>
          <w:sz w:val="20"/>
          <w:szCs w:val="20"/>
        </w:rPr>
        <w:t xml:space="preserve"> zmanjšanje administrativnih bremen</w:t>
      </w:r>
      <w:r w:rsidR="00C93C25" w:rsidRPr="00C27637">
        <w:rPr>
          <w:rFonts w:ascii="Arial" w:hAnsi="Arial" w:cs="Arial"/>
          <w:sz w:val="20"/>
          <w:szCs w:val="20"/>
        </w:rPr>
        <w:t xml:space="preserve"> ter boljši predpisi</w:t>
      </w:r>
      <w:r w:rsidR="00FF5A4E" w:rsidRPr="00C27637">
        <w:rPr>
          <w:rFonts w:ascii="Arial" w:hAnsi="Arial" w:cs="Arial"/>
          <w:sz w:val="20"/>
          <w:szCs w:val="20"/>
        </w:rPr>
        <w:t>.</w:t>
      </w:r>
      <w:r w:rsidR="00EF5C6A">
        <w:rPr>
          <w:rFonts w:ascii="Arial" w:hAnsi="Arial" w:cs="Arial"/>
          <w:sz w:val="20"/>
          <w:szCs w:val="20"/>
        </w:rPr>
        <w:t xml:space="preserve"> </w:t>
      </w:r>
      <w:r w:rsidR="00FF5A4E" w:rsidRPr="00C27637">
        <w:rPr>
          <w:rFonts w:ascii="Arial" w:hAnsi="Arial" w:cs="Arial"/>
          <w:sz w:val="20"/>
          <w:szCs w:val="20"/>
        </w:rPr>
        <w:t xml:space="preserve">Vlada Republike Slovenije </w:t>
      </w:r>
      <w:r w:rsidR="000E126C">
        <w:rPr>
          <w:rFonts w:ascii="Arial" w:hAnsi="Arial" w:cs="Arial"/>
          <w:sz w:val="20"/>
          <w:szCs w:val="20"/>
        </w:rPr>
        <w:t>(v nadaljevanju</w:t>
      </w:r>
      <w:r w:rsidR="002F72D6">
        <w:rPr>
          <w:rFonts w:ascii="Arial" w:hAnsi="Arial" w:cs="Arial"/>
          <w:sz w:val="20"/>
          <w:szCs w:val="20"/>
        </w:rPr>
        <w:t>:</w:t>
      </w:r>
      <w:r w:rsidR="000E126C">
        <w:rPr>
          <w:rFonts w:ascii="Arial" w:hAnsi="Arial" w:cs="Arial"/>
          <w:sz w:val="20"/>
          <w:szCs w:val="20"/>
        </w:rPr>
        <w:t xml:space="preserve"> Vlada RS) </w:t>
      </w:r>
      <w:r w:rsidR="00FF5A4E" w:rsidRPr="00C27637">
        <w:rPr>
          <w:rFonts w:ascii="Arial" w:hAnsi="Arial" w:cs="Arial"/>
          <w:sz w:val="20"/>
          <w:szCs w:val="20"/>
        </w:rPr>
        <w:t>se</w:t>
      </w:r>
      <w:r w:rsidR="002F72D6">
        <w:rPr>
          <w:rFonts w:ascii="Arial" w:hAnsi="Arial" w:cs="Arial"/>
          <w:sz w:val="20"/>
          <w:szCs w:val="20"/>
        </w:rPr>
        <w:t xml:space="preserve"> je</w:t>
      </w:r>
      <w:r w:rsidR="00FF5A4E" w:rsidRPr="00C27637">
        <w:rPr>
          <w:rFonts w:ascii="Arial" w:hAnsi="Arial" w:cs="Arial"/>
          <w:sz w:val="20"/>
          <w:szCs w:val="20"/>
        </w:rPr>
        <w:t xml:space="preserve"> </w:t>
      </w:r>
      <w:r w:rsidR="002F72D6" w:rsidRPr="00C27637" w:rsidDel="002F72D6">
        <w:rPr>
          <w:rFonts w:ascii="Arial" w:hAnsi="Arial" w:cs="Arial"/>
          <w:sz w:val="20"/>
          <w:szCs w:val="20"/>
        </w:rPr>
        <w:t>prvič seznanila s Poročilom Ministrstva za javno upravo o opravljenih strokovnih nadzorih občinskih predpisov od leta 2013 do leta 2017 s stanjem na dan 31. 1. 2018</w:t>
      </w:r>
      <w:r w:rsidR="002F72D6">
        <w:rPr>
          <w:rFonts w:ascii="Arial" w:hAnsi="Arial" w:cs="Arial"/>
          <w:sz w:val="20"/>
          <w:szCs w:val="20"/>
        </w:rPr>
        <w:t xml:space="preserve"> na 174.</w:t>
      </w:r>
      <w:r w:rsidR="00A869B2">
        <w:rPr>
          <w:rFonts w:ascii="Arial" w:hAnsi="Arial" w:cs="Arial"/>
          <w:sz w:val="20"/>
          <w:szCs w:val="20"/>
        </w:rPr>
        <w:t xml:space="preserve"> </w:t>
      </w:r>
      <w:r w:rsidR="002F72D6">
        <w:rPr>
          <w:rFonts w:ascii="Arial" w:hAnsi="Arial" w:cs="Arial"/>
          <w:sz w:val="20"/>
          <w:szCs w:val="20"/>
        </w:rPr>
        <w:t xml:space="preserve">redni seji dne </w:t>
      </w:r>
      <w:r w:rsidR="005D053A">
        <w:rPr>
          <w:rFonts w:ascii="Arial" w:hAnsi="Arial" w:cs="Arial"/>
          <w:sz w:val="20"/>
          <w:szCs w:val="20"/>
        </w:rPr>
        <w:br/>
      </w:r>
      <w:r w:rsidR="00FF5A4E" w:rsidRPr="00C27637">
        <w:rPr>
          <w:rFonts w:ascii="Arial" w:hAnsi="Arial" w:cs="Arial"/>
          <w:sz w:val="20"/>
          <w:szCs w:val="20"/>
        </w:rPr>
        <w:t>29. 3. 2018</w:t>
      </w:r>
      <w:r w:rsidR="002F72D6">
        <w:rPr>
          <w:rFonts w:ascii="Arial" w:hAnsi="Arial" w:cs="Arial"/>
          <w:sz w:val="20"/>
          <w:szCs w:val="20"/>
        </w:rPr>
        <w:t>.</w:t>
      </w:r>
      <w:r w:rsidR="00FF5A4E" w:rsidRPr="00C27637">
        <w:rPr>
          <w:rFonts w:ascii="Arial" w:hAnsi="Arial" w:cs="Arial"/>
          <w:sz w:val="20"/>
          <w:szCs w:val="20"/>
        </w:rPr>
        <w:t xml:space="preserve"> </w:t>
      </w:r>
    </w:p>
    <w:p w14:paraId="53025B1E" w14:textId="77777777" w:rsidR="004C0DAB" w:rsidRPr="00C27637" w:rsidRDefault="004C0DAB" w:rsidP="001F11D8">
      <w:pPr>
        <w:spacing w:after="0" w:line="240" w:lineRule="atLeast"/>
        <w:jc w:val="both"/>
        <w:rPr>
          <w:rFonts w:ascii="Arial" w:hAnsi="Arial" w:cs="Arial"/>
          <w:sz w:val="20"/>
          <w:szCs w:val="20"/>
        </w:rPr>
      </w:pPr>
    </w:p>
    <w:p w14:paraId="4BFD2AEC" w14:textId="6404F469" w:rsidR="004D522F" w:rsidRPr="00C27637" w:rsidRDefault="00B9661A" w:rsidP="001F11D8">
      <w:pPr>
        <w:spacing w:after="0" w:line="240" w:lineRule="atLeast"/>
        <w:jc w:val="both"/>
        <w:rPr>
          <w:rFonts w:ascii="Arial" w:hAnsi="Arial" w:cs="Arial"/>
          <w:sz w:val="20"/>
          <w:szCs w:val="20"/>
        </w:rPr>
      </w:pPr>
      <w:bookmarkStart w:id="0" w:name="_Hlk51674121"/>
      <w:r w:rsidRPr="00C27637">
        <w:rPr>
          <w:rFonts w:ascii="Arial" w:hAnsi="Arial" w:cs="Arial"/>
          <w:sz w:val="20"/>
          <w:szCs w:val="20"/>
        </w:rPr>
        <w:t>MJU</w:t>
      </w:r>
      <w:r w:rsidR="00FF5A4E" w:rsidRPr="00C27637">
        <w:rPr>
          <w:rFonts w:ascii="Arial" w:hAnsi="Arial" w:cs="Arial"/>
          <w:sz w:val="20"/>
          <w:szCs w:val="20"/>
        </w:rPr>
        <w:t xml:space="preserve"> je občinam, ki svoje obveznosti </w:t>
      </w:r>
      <w:r w:rsidR="004C0DAB" w:rsidRPr="00C27637">
        <w:rPr>
          <w:rFonts w:ascii="Arial" w:hAnsi="Arial" w:cs="Arial"/>
          <w:sz w:val="20"/>
          <w:szCs w:val="20"/>
        </w:rPr>
        <w:t>po obravnavi omenjenega poročila na Vladi RS</w:t>
      </w:r>
      <w:r w:rsidR="00FF5A4E" w:rsidRPr="00C27637">
        <w:rPr>
          <w:rFonts w:ascii="Arial" w:hAnsi="Arial" w:cs="Arial"/>
          <w:sz w:val="20"/>
          <w:szCs w:val="20"/>
        </w:rPr>
        <w:t xml:space="preserve"> še niso izpolnile, poleti 2017 </w:t>
      </w:r>
      <w:r w:rsidR="00137D2F" w:rsidRPr="00C27637">
        <w:rPr>
          <w:rFonts w:ascii="Arial" w:hAnsi="Arial" w:cs="Arial"/>
          <w:sz w:val="20"/>
          <w:szCs w:val="20"/>
        </w:rPr>
        <w:t xml:space="preserve">poslalo </w:t>
      </w:r>
      <w:r w:rsidR="00FF5A4E" w:rsidRPr="00C27637">
        <w:rPr>
          <w:rFonts w:ascii="Arial" w:hAnsi="Arial" w:cs="Arial"/>
          <w:sz w:val="20"/>
          <w:szCs w:val="20"/>
        </w:rPr>
        <w:t xml:space="preserve">pisno urgenco s pozivom, naj </w:t>
      </w:r>
      <w:r w:rsidR="002F72D6">
        <w:rPr>
          <w:rFonts w:ascii="Arial" w:hAnsi="Arial" w:cs="Arial"/>
          <w:sz w:val="20"/>
          <w:szCs w:val="20"/>
        </w:rPr>
        <w:t xml:space="preserve">ugotovljene nepravilnosti </w:t>
      </w:r>
      <w:r w:rsidR="00FF5A4E" w:rsidRPr="00C27637">
        <w:rPr>
          <w:rFonts w:ascii="Arial" w:hAnsi="Arial" w:cs="Arial"/>
          <w:sz w:val="20"/>
          <w:szCs w:val="20"/>
        </w:rPr>
        <w:t xml:space="preserve">čimprej </w:t>
      </w:r>
      <w:r w:rsidR="003869E3">
        <w:rPr>
          <w:rFonts w:ascii="Arial" w:hAnsi="Arial" w:cs="Arial"/>
          <w:sz w:val="20"/>
          <w:szCs w:val="20"/>
        </w:rPr>
        <w:t>odpravijo</w:t>
      </w:r>
      <w:r w:rsidR="00EF5C6A">
        <w:rPr>
          <w:rFonts w:ascii="Arial" w:hAnsi="Arial" w:cs="Arial"/>
          <w:sz w:val="20"/>
          <w:szCs w:val="20"/>
        </w:rPr>
        <w:t xml:space="preserve"> </w:t>
      </w:r>
      <w:r w:rsidR="00FF5A4E" w:rsidRPr="00C27637">
        <w:rPr>
          <w:rFonts w:ascii="Arial" w:hAnsi="Arial" w:cs="Arial"/>
          <w:sz w:val="20"/>
          <w:szCs w:val="20"/>
        </w:rPr>
        <w:t xml:space="preserve">in </w:t>
      </w:r>
      <w:r w:rsidR="00BF095B">
        <w:rPr>
          <w:rFonts w:ascii="Arial" w:hAnsi="Arial" w:cs="Arial"/>
          <w:sz w:val="20"/>
          <w:szCs w:val="20"/>
        </w:rPr>
        <w:t>MJU</w:t>
      </w:r>
      <w:r w:rsidR="00FF5A4E" w:rsidRPr="00C27637">
        <w:rPr>
          <w:rFonts w:ascii="Arial" w:hAnsi="Arial" w:cs="Arial"/>
          <w:sz w:val="20"/>
          <w:szCs w:val="20"/>
        </w:rPr>
        <w:t xml:space="preserve"> o tem obvestijo. Z na novo konstituiranimi organi </w:t>
      </w:r>
      <w:r w:rsidR="004D522F" w:rsidRPr="00C27637">
        <w:rPr>
          <w:rFonts w:ascii="Arial" w:hAnsi="Arial" w:cs="Arial"/>
          <w:sz w:val="20"/>
          <w:szCs w:val="20"/>
        </w:rPr>
        <w:t xml:space="preserve">po rednih lokalnih volitvah 2018 </w:t>
      </w:r>
      <w:r w:rsidR="00FF5A4E" w:rsidRPr="00C27637">
        <w:rPr>
          <w:rFonts w:ascii="Arial" w:hAnsi="Arial" w:cs="Arial"/>
          <w:sz w:val="20"/>
          <w:szCs w:val="20"/>
        </w:rPr>
        <w:t>so posamezn</w:t>
      </w:r>
      <w:r w:rsidR="004C0DAB" w:rsidRPr="00C27637">
        <w:rPr>
          <w:rFonts w:ascii="Arial" w:hAnsi="Arial" w:cs="Arial"/>
          <w:sz w:val="20"/>
          <w:szCs w:val="20"/>
        </w:rPr>
        <w:t>e</w:t>
      </w:r>
      <w:r w:rsidR="00FF5A4E" w:rsidRPr="00C27637">
        <w:rPr>
          <w:rFonts w:ascii="Arial" w:hAnsi="Arial" w:cs="Arial"/>
          <w:sz w:val="20"/>
          <w:szCs w:val="20"/>
        </w:rPr>
        <w:t xml:space="preserve"> občin</w:t>
      </w:r>
      <w:r w:rsidR="004C0DAB" w:rsidRPr="00C27637">
        <w:rPr>
          <w:rFonts w:ascii="Arial" w:hAnsi="Arial" w:cs="Arial"/>
          <w:sz w:val="20"/>
          <w:szCs w:val="20"/>
        </w:rPr>
        <w:t>e</w:t>
      </w:r>
      <w:r w:rsidR="00FF5A4E" w:rsidRPr="00C27637">
        <w:rPr>
          <w:rFonts w:ascii="Arial" w:hAnsi="Arial" w:cs="Arial"/>
          <w:sz w:val="20"/>
          <w:szCs w:val="20"/>
        </w:rPr>
        <w:t xml:space="preserve"> izpoln</w:t>
      </w:r>
      <w:r w:rsidR="004C0DAB" w:rsidRPr="00C27637">
        <w:rPr>
          <w:rFonts w:ascii="Arial" w:hAnsi="Arial" w:cs="Arial"/>
          <w:sz w:val="20"/>
          <w:szCs w:val="20"/>
        </w:rPr>
        <w:t>ile</w:t>
      </w:r>
      <w:r w:rsidR="003869E3">
        <w:rPr>
          <w:rFonts w:ascii="Arial" w:hAnsi="Arial" w:cs="Arial"/>
          <w:sz w:val="20"/>
          <w:szCs w:val="20"/>
        </w:rPr>
        <w:t xml:space="preserve"> določene</w:t>
      </w:r>
      <w:r w:rsidR="00FF5A4E" w:rsidRPr="00C27637">
        <w:rPr>
          <w:rFonts w:ascii="Arial" w:hAnsi="Arial" w:cs="Arial"/>
          <w:sz w:val="20"/>
          <w:szCs w:val="20"/>
        </w:rPr>
        <w:t xml:space="preserve"> obveznosti v zvezi z usklajenostjo občinskih </w:t>
      </w:r>
      <w:r w:rsidR="002D4F65">
        <w:rPr>
          <w:rFonts w:ascii="Arial" w:hAnsi="Arial" w:cs="Arial"/>
          <w:sz w:val="20"/>
          <w:szCs w:val="20"/>
        </w:rPr>
        <w:t>splošnih aktov</w:t>
      </w:r>
      <w:r w:rsidR="00FF5A4E" w:rsidRPr="00C27637">
        <w:rPr>
          <w:rFonts w:ascii="Arial" w:hAnsi="Arial" w:cs="Arial"/>
          <w:sz w:val="20"/>
          <w:szCs w:val="20"/>
        </w:rPr>
        <w:t xml:space="preserve"> z zakonom. Na dan </w:t>
      </w:r>
      <w:r w:rsidR="005D053A">
        <w:rPr>
          <w:rFonts w:ascii="Arial" w:hAnsi="Arial" w:cs="Arial"/>
          <w:sz w:val="20"/>
          <w:szCs w:val="20"/>
        </w:rPr>
        <w:br/>
      </w:r>
      <w:r w:rsidR="00FF5A4E" w:rsidRPr="00C27637">
        <w:rPr>
          <w:rFonts w:ascii="Arial" w:hAnsi="Arial" w:cs="Arial"/>
          <w:sz w:val="20"/>
          <w:szCs w:val="20"/>
        </w:rPr>
        <w:t xml:space="preserve">31. 1. 2020 je </w:t>
      </w:r>
      <w:r w:rsidR="004C0DAB" w:rsidRPr="00C27637">
        <w:rPr>
          <w:rFonts w:ascii="Arial" w:hAnsi="Arial" w:cs="Arial"/>
          <w:sz w:val="20"/>
          <w:szCs w:val="20"/>
        </w:rPr>
        <w:t xml:space="preserve">tako </w:t>
      </w:r>
      <w:r w:rsidR="002D4F65">
        <w:rPr>
          <w:rFonts w:ascii="Arial" w:hAnsi="Arial" w:cs="Arial"/>
          <w:sz w:val="20"/>
          <w:szCs w:val="20"/>
        </w:rPr>
        <w:t>splošne akte</w:t>
      </w:r>
      <w:r w:rsidR="00FF5A4E" w:rsidRPr="00C27637">
        <w:rPr>
          <w:rFonts w:ascii="Arial" w:hAnsi="Arial" w:cs="Arial"/>
          <w:sz w:val="20"/>
          <w:szCs w:val="20"/>
        </w:rPr>
        <w:t xml:space="preserve"> v celoti uskladilo 134 občin, delno </w:t>
      </w:r>
      <w:r w:rsidR="000E32BE" w:rsidRPr="00C27637">
        <w:rPr>
          <w:rFonts w:ascii="Arial" w:hAnsi="Arial" w:cs="Arial"/>
          <w:sz w:val="20"/>
          <w:szCs w:val="20"/>
        </w:rPr>
        <w:t xml:space="preserve">41 občin </w:t>
      </w:r>
      <w:r w:rsidR="00FF5A4E" w:rsidRPr="00C27637">
        <w:rPr>
          <w:rFonts w:ascii="Arial" w:hAnsi="Arial" w:cs="Arial"/>
          <w:sz w:val="20"/>
          <w:szCs w:val="20"/>
        </w:rPr>
        <w:t xml:space="preserve">(usklajen vsaj eden od treh predpisov), v 37 občinah je bil postopek usklajevanja v teku. </w:t>
      </w:r>
      <w:r w:rsidRPr="00C27637">
        <w:rPr>
          <w:rFonts w:ascii="Arial" w:hAnsi="Arial" w:cs="Arial"/>
          <w:sz w:val="20"/>
          <w:szCs w:val="20"/>
        </w:rPr>
        <w:t>MJU</w:t>
      </w:r>
      <w:r w:rsidR="00FF5A4E" w:rsidRPr="00C27637">
        <w:rPr>
          <w:rFonts w:ascii="Arial" w:hAnsi="Arial" w:cs="Arial"/>
          <w:sz w:val="20"/>
          <w:szCs w:val="20"/>
        </w:rPr>
        <w:t xml:space="preserve"> je posamezne občine s pisno urgenco </w:t>
      </w:r>
      <w:r w:rsidR="004D522F" w:rsidRPr="00C27637">
        <w:rPr>
          <w:rFonts w:ascii="Arial" w:hAnsi="Arial" w:cs="Arial"/>
          <w:sz w:val="20"/>
          <w:szCs w:val="20"/>
        </w:rPr>
        <w:t>junija in julija let</w:t>
      </w:r>
      <w:r w:rsidR="002D4F65">
        <w:rPr>
          <w:rFonts w:ascii="Arial" w:hAnsi="Arial" w:cs="Arial"/>
          <w:sz w:val="20"/>
          <w:szCs w:val="20"/>
        </w:rPr>
        <w:t>os</w:t>
      </w:r>
      <w:r w:rsidR="00FF5A4E" w:rsidRPr="00C27637">
        <w:rPr>
          <w:rFonts w:ascii="Arial" w:hAnsi="Arial" w:cs="Arial"/>
          <w:sz w:val="20"/>
          <w:szCs w:val="20"/>
        </w:rPr>
        <w:t xml:space="preserve"> </w:t>
      </w:r>
      <w:r w:rsidR="004C0DAB" w:rsidRPr="00C27637">
        <w:rPr>
          <w:rFonts w:ascii="Arial" w:hAnsi="Arial" w:cs="Arial"/>
          <w:sz w:val="20"/>
          <w:szCs w:val="20"/>
        </w:rPr>
        <w:t xml:space="preserve">ponovno </w:t>
      </w:r>
      <w:r w:rsidR="00FF5A4E" w:rsidRPr="00C27637">
        <w:rPr>
          <w:rFonts w:ascii="Arial" w:hAnsi="Arial" w:cs="Arial"/>
          <w:sz w:val="20"/>
          <w:szCs w:val="20"/>
        </w:rPr>
        <w:t xml:space="preserve">pozvalo </w:t>
      </w:r>
      <w:r w:rsidR="00623609">
        <w:rPr>
          <w:rFonts w:ascii="Arial" w:hAnsi="Arial" w:cs="Arial"/>
          <w:sz w:val="20"/>
          <w:szCs w:val="20"/>
        </w:rPr>
        <w:t>k</w:t>
      </w:r>
      <w:r w:rsidR="00FF5A4E" w:rsidRPr="00C27637">
        <w:rPr>
          <w:rFonts w:ascii="Arial" w:hAnsi="Arial" w:cs="Arial"/>
          <w:sz w:val="20"/>
          <w:szCs w:val="20"/>
        </w:rPr>
        <w:t xml:space="preserve"> uskladit</w:t>
      </w:r>
      <w:r w:rsidR="00623609">
        <w:rPr>
          <w:rFonts w:ascii="Arial" w:hAnsi="Arial" w:cs="Arial"/>
          <w:sz w:val="20"/>
          <w:szCs w:val="20"/>
        </w:rPr>
        <w:t>vi</w:t>
      </w:r>
      <w:r w:rsidR="00FF5A4E" w:rsidRPr="00C27637">
        <w:rPr>
          <w:rFonts w:ascii="Arial" w:hAnsi="Arial" w:cs="Arial"/>
          <w:sz w:val="20"/>
          <w:szCs w:val="20"/>
        </w:rPr>
        <w:t xml:space="preserve"> občinskih splošnih aktov</w:t>
      </w:r>
      <w:r w:rsidR="002D4F65">
        <w:rPr>
          <w:rFonts w:ascii="Arial" w:hAnsi="Arial" w:cs="Arial"/>
          <w:sz w:val="20"/>
          <w:szCs w:val="20"/>
        </w:rPr>
        <w:t xml:space="preserve"> z zakonom</w:t>
      </w:r>
      <w:r w:rsidR="00FF5A4E" w:rsidRPr="00C27637">
        <w:rPr>
          <w:rFonts w:ascii="Arial" w:hAnsi="Arial" w:cs="Arial"/>
          <w:sz w:val="20"/>
          <w:szCs w:val="20"/>
        </w:rPr>
        <w:t>. Na dan</w:t>
      </w:r>
      <w:r w:rsidR="001A0BFF" w:rsidRPr="00C27637">
        <w:rPr>
          <w:rFonts w:ascii="Arial" w:hAnsi="Arial" w:cs="Arial"/>
          <w:sz w:val="20"/>
          <w:szCs w:val="20"/>
        </w:rPr>
        <w:t xml:space="preserve"> </w:t>
      </w:r>
      <w:r w:rsidR="005D053A">
        <w:rPr>
          <w:rFonts w:ascii="Arial" w:hAnsi="Arial" w:cs="Arial"/>
          <w:sz w:val="20"/>
          <w:szCs w:val="20"/>
        </w:rPr>
        <w:br/>
      </w:r>
      <w:r w:rsidR="001A0BFF" w:rsidRPr="00C27637">
        <w:rPr>
          <w:rFonts w:ascii="Arial" w:hAnsi="Arial" w:cs="Arial"/>
          <w:bCs/>
          <w:sz w:val="20"/>
          <w:szCs w:val="20"/>
        </w:rPr>
        <w:t xml:space="preserve">31. 8. 2020 je </w:t>
      </w:r>
      <w:r w:rsidR="004C0DAB" w:rsidRPr="00C27637">
        <w:rPr>
          <w:rFonts w:ascii="Arial" w:hAnsi="Arial" w:cs="Arial"/>
          <w:bCs/>
          <w:sz w:val="20"/>
          <w:szCs w:val="20"/>
        </w:rPr>
        <w:t xml:space="preserve">tako </w:t>
      </w:r>
      <w:r w:rsidR="002D4F65">
        <w:rPr>
          <w:rFonts w:ascii="Arial" w:hAnsi="Arial" w:cs="Arial"/>
          <w:bCs/>
          <w:sz w:val="20"/>
          <w:szCs w:val="20"/>
        </w:rPr>
        <w:t>splošne akte</w:t>
      </w:r>
      <w:r w:rsidR="001A0BFF" w:rsidRPr="00C27637">
        <w:rPr>
          <w:rFonts w:ascii="Arial" w:hAnsi="Arial" w:cs="Arial"/>
          <w:bCs/>
          <w:sz w:val="20"/>
          <w:szCs w:val="20"/>
        </w:rPr>
        <w:t xml:space="preserve"> uskladilo </w:t>
      </w:r>
      <w:r w:rsidR="001A0BFF" w:rsidRPr="00C27637">
        <w:rPr>
          <w:rFonts w:ascii="Arial" w:hAnsi="Arial" w:cs="Arial"/>
          <w:sz w:val="20"/>
          <w:szCs w:val="20"/>
          <w:lang w:eastAsia="sl-SI"/>
        </w:rPr>
        <w:t xml:space="preserve">152 občin, v 39 občinah so </w:t>
      </w:r>
      <w:r w:rsidR="002D4F65">
        <w:rPr>
          <w:rFonts w:ascii="Arial" w:hAnsi="Arial" w:cs="Arial"/>
          <w:sz w:val="20"/>
          <w:szCs w:val="20"/>
          <w:lang w:eastAsia="sl-SI"/>
        </w:rPr>
        <w:t>splošni akti</w:t>
      </w:r>
      <w:r w:rsidR="001A0BFF" w:rsidRPr="00C27637">
        <w:rPr>
          <w:rFonts w:ascii="Arial" w:hAnsi="Arial" w:cs="Arial"/>
          <w:sz w:val="20"/>
          <w:szCs w:val="20"/>
          <w:lang w:eastAsia="sl-SI"/>
        </w:rPr>
        <w:t xml:space="preserve"> deloma usklajeni (usklajen najmanj en od treh predpisov), v 21 občinah pa </w:t>
      </w:r>
      <w:r w:rsidR="002D4F65">
        <w:rPr>
          <w:rFonts w:ascii="Arial" w:hAnsi="Arial" w:cs="Arial"/>
          <w:sz w:val="20"/>
          <w:szCs w:val="20"/>
          <w:lang w:eastAsia="sl-SI"/>
        </w:rPr>
        <w:t>splošni akti</w:t>
      </w:r>
      <w:r w:rsidR="001A0BFF" w:rsidRPr="00C27637">
        <w:rPr>
          <w:rFonts w:ascii="Arial" w:hAnsi="Arial" w:cs="Arial"/>
          <w:sz w:val="20"/>
          <w:szCs w:val="20"/>
          <w:lang w:eastAsia="sl-SI"/>
        </w:rPr>
        <w:t xml:space="preserve"> še niso usklajeni </w:t>
      </w:r>
      <w:r w:rsidR="002D4F65">
        <w:rPr>
          <w:rFonts w:ascii="Arial" w:hAnsi="Arial" w:cs="Arial"/>
          <w:sz w:val="20"/>
          <w:szCs w:val="20"/>
          <w:lang w:eastAsia="sl-SI"/>
        </w:rPr>
        <w:t xml:space="preserve">z zakonom </w:t>
      </w:r>
      <w:r w:rsidR="001A0BFF" w:rsidRPr="00C27637">
        <w:rPr>
          <w:rFonts w:ascii="Arial" w:hAnsi="Arial" w:cs="Arial"/>
          <w:sz w:val="20"/>
          <w:szCs w:val="20"/>
          <w:lang w:eastAsia="sl-SI"/>
        </w:rPr>
        <w:t>ali pa</w:t>
      </w:r>
      <w:r w:rsidR="00FF5A4E" w:rsidRPr="00C27637">
        <w:rPr>
          <w:rFonts w:ascii="Arial" w:hAnsi="Arial" w:cs="Arial"/>
          <w:sz w:val="20"/>
          <w:szCs w:val="20"/>
        </w:rPr>
        <w:t xml:space="preserve"> je postopek usklajevanja še v teku. </w:t>
      </w:r>
      <w:r w:rsidR="00266100" w:rsidRPr="00C27637">
        <w:rPr>
          <w:rFonts w:ascii="Arial" w:hAnsi="Arial" w:cs="Arial"/>
          <w:sz w:val="20"/>
          <w:szCs w:val="20"/>
        </w:rPr>
        <w:t>P</w:t>
      </w:r>
      <w:r w:rsidR="004C0DAB" w:rsidRPr="00C27637">
        <w:rPr>
          <w:rFonts w:ascii="Arial" w:hAnsi="Arial" w:cs="Arial"/>
          <w:sz w:val="20"/>
          <w:szCs w:val="20"/>
        </w:rPr>
        <w:t xml:space="preserve">rimerjava podatkov </w:t>
      </w:r>
      <w:r w:rsidR="00266100" w:rsidRPr="00C27637">
        <w:rPr>
          <w:rFonts w:ascii="Arial" w:hAnsi="Arial" w:cs="Arial"/>
          <w:sz w:val="20"/>
          <w:szCs w:val="20"/>
        </w:rPr>
        <w:t>v časovnih presekih k</w:t>
      </w:r>
      <w:r w:rsidR="004C0DAB" w:rsidRPr="00C27637">
        <w:rPr>
          <w:rFonts w:ascii="Arial" w:hAnsi="Arial" w:cs="Arial"/>
          <w:sz w:val="20"/>
          <w:szCs w:val="20"/>
        </w:rPr>
        <w:t>aže, da se</w:t>
      </w:r>
      <w:r w:rsidR="002D4F65">
        <w:rPr>
          <w:rFonts w:ascii="Arial" w:hAnsi="Arial" w:cs="Arial"/>
          <w:sz w:val="20"/>
          <w:szCs w:val="20"/>
        </w:rPr>
        <w:t xml:space="preserve"> je</w:t>
      </w:r>
      <w:r w:rsidR="004C0DAB" w:rsidRPr="00C27637">
        <w:rPr>
          <w:rFonts w:ascii="Arial" w:hAnsi="Arial" w:cs="Arial"/>
          <w:sz w:val="20"/>
          <w:szCs w:val="20"/>
        </w:rPr>
        <w:t xml:space="preserve"> </w:t>
      </w:r>
      <w:r w:rsidR="004C0DAB" w:rsidRPr="00C27637">
        <w:rPr>
          <w:rFonts w:ascii="Arial" w:hAnsi="Arial" w:cs="Arial"/>
          <w:sz w:val="20"/>
          <w:szCs w:val="20"/>
          <w:lang w:eastAsia="sl-SI"/>
        </w:rPr>
        <w:t xml:space="preserve">od posameznega opravljenega nadzora </w:t>
      </w:r>
      <w:r w:rsidR="00623609" w:rsidRPr="00C27637">
        <w:rPr>
          <w:rFonts w:ascii="Arial" w:hAnsi="Arial" w:cs="Arial"/>
          <w:sz w:val="20"/>
          <w:szCs w:val="20"/>
        </w:rPr>
        <w:t>z</w:t>
      </w:r>
      <w:r w:rsidR="00623609" w:rsidRPr="00C27637">
        <w:rPr>
          <w:rFonts w:ascii="Arial" w:hAnsi="Arial" w:cs="Arial"/>
          <w:sz w:val="20"/>
          <w:szCs w:val="20"/>
          <w:lang w:eastAsia="sl-SI"/>
        </w:rPr>
        <w:t xml:space="preserve"> leti </w:t>
      </w:r>
      <w:r w:rsidR="004C0DAB" w:rsidRPr="00C27637">
        <w:rPr>
          <w:rFonts w:ascii="Arial" w:hAnsi="Arial" w:cs="Arial"/>
          <w:sz w:val="20"/>
          <w:szCs w:val="20"/>
          <w:lang w:eastAsia="sl-SI"/>
        </w:rPr>
        <w:t>veča</w:t>
      </w:r>
      <w:r w:rsidR="002D4F65">
        <w:rPr>
          <w:rFonts w:ascii="Arial" w:hAnsi="Arial" w:cs="Arial"/>
          <w:sz w:val="20"/>
          <w:szCs w:val="20"/>
          <w:lang w:eastAsia="sl-SI"/>
        </w:rPr>
        <w:t>l</w:t>
      </w:r>
      <w:r w:rsidR="004C0DAB" w:rsidRPr="00C27637">
        <w:rPr>
          <w:rFonts w:ascii="Arial" w:hAnsi="Arial" w:cs="Arial"/>
          <w:sz w:val="20"/>
          <w:szCs w:val="20"/>
          <w:lang w:eastAsia="sl-SI"/>
        </w:rPr>
        <w:t xml:space="preserve"> tudi odstotek občin, ki so svoje </w:t>
      </w:r>
      <w:r w:rsidR="002D4F65">
        <w:rPr>
          <w:rFonts w:ascii="Arial" w:hAnsi="Arial" w:cs="Arial"/>
          <w:sz w:val="20"/>
          <w:szCs w:val="20"/>
          <w:lang w:eastAsia="sl-SI"/>
        </w:rPr>
        <w:t>splošne akte</w:t>
      </w:r>
      <w:r w:rsidR="004C0DAB" w:rsidRPr="00C27637">
        <w:rPr>
          <w:rFonts w:ascii="Arial" w:hAnsi="Arial" w:cs="Arial"/>
          <w:sz w:val="20"/>
          <w:szCs w:val="20"/>
          <w:lang w:eastAsia="sl-SI"/>
        </w:rPr>
        <w:t xml:space="preserve"> </w:t>
      </w:r>
      <w:r w:rsidR="00266100" w:rsidRPr="00C27637">
        <w:rPr>
          <w:rFonts w:ascii="Arial" w:hAnsi="Arial" w:cs="Arial"/>
          <w:sz w:val="20"/>
          <w:szCs w:val="20"/>
          <w:lang w:eastAsia="sl-SI"/>
        </w:rPr>
        <w:t xml:space="preserve">že </w:t>
      </w:r>
      <w:r w:rsidR="004C0DAB" w:rsidRPr="00C27637">
        <w:rPr>
          <w:rFonts w:ascii="Arial" w:hAnsi="Arial" w:cs="Arial"/>
          <w:sz w:val="20"/>
          <w:szCs w:val="20"/>
          <w:lang w:eastAsia="sl-SI"/>
        </w:rPr>
        <w:t>uskladile</w:t>
      </w:r>
      <w:r w:rsidR="00266100" w:rsidRPr="00C27637">
        <w:rPr>
          <w:rFonts w:ascii="Arial" w:hAnsi="Arial" w:cs="Arial"/>
          <w:sz w:val="20"/>
          <w:szCs w:val="20"/>
          <w:lang w:eastAsia="sl-SI"/>
        </w:rPr>
        <w:t xml:space="preserve"> z</w:t>
      </w:r>
      <w:r w:rsidR="00EF5C6A">
        <w:rPr>
          <w:rFonts w:ascii="Arial" w:hAnsi="Arial" w:cs="Arial"/>
          <w:sz w:val="20"/>
          <w:szCs w:val="20"/>
          <w:lang w:eastAsia="sl-SI"/>
        </w:rPr>
        <w:t xml:space="preserve"> </w:t>
      </w:r>
      <w:r w:rsidR="00266100" w:rsidRPr="00C27637">
        <w:rPr>
          <w:rFonts w:ascii="Arial" w:hAnsi="Arial" w:cs="Arial"/>
          <w:sz w:val="20"/>
          <w:szCs w:val="20"/>
          <w:lang w:eastAsia="sl-SI"/>
        </w:rPr>
        <w:t>zakonom</w:t>
      </w:r>
      <w:r w:rsidR="004C0DAB" w:rsidRPr="00C27637">
        <w:rPr>
          <w:rFonts w:ascii="Arial" w:hAnsi="Arial" w:cs="Arial"/>
          <w:sz w:val="20"/>
          <w:szCs w:val="20"/>
          <w:lang w:eastAsia="sl-SI"/>
        </w:rPr>
        <w:t>.</w:t>
      </w:r>
    </w:p>
    <w:p w14:paraId="6463934A" w14:textId="77777777" w:rsidR="004C0DAB" w:rsidRPr="00C27637" w:rsidRDefault="004C0DAB" w:rsidP="001F11D8">
      <w:pPr>
        <w:spacing w:after="0" w:line="240" w:lineRule="atLeast"/>
        <w:jc w:val="both"/>
        <w:rPr>
          <w:rFonts w:ascii="Arial" w:hAnsi="Arial" w:cs="Arial"/>
          <w:sz w:val="20"/>
          <w:szCs w:val="20"/>
        </w:rPr>
      </w:pPr>
    </w:p>
    <w:bookmarkEnd w:id="0"/>
    <w:p w14:paraId="5D533C8B" w14:textId="62E77D60" w:rsidR="00914051" w:rsidRPr="00C27637" w:rsidRDefault="00980B46" w:rsidP="00F47278">
      <w:pPr>
        <w:overflowPunct w:val="0"/>
        <w:autoSpaceDE w:val="0"/>
        <w:autoSpaceDN w:val="0"/>
        <w:adjustRightInd w:val="0"/>
        <w:spacing w:after="0" w:line="240" w:lineRule="exact"/>
        <w:jc w:val="both"/>
        <w:textAlignment w:val="baseline"/>
        <w:rPr>
          <w:rFonts w:ascii="Arial" w:hAnsi="Arial" w:cs="Arial"/>
          <w:b/>
          <w:sz w:val="20"/>
          <w:szCs w:val="20"/>
        </w:rPr>
      </w:pPr>
      <w:r w:rsidRPr="00C27637">
        <w:rPr>
          <w:rFonts w:ascii="Arial" w:eastAsia="Times New Roman" w:hAnsi="Arial" w:cs="Arial"/>
          <w:b/>
          <w:sz w:val="20"/>
          <w:szCs w:val="20"/>
          <w:lang w:eastAsia="sl-SI"/>
        </w:rPr>
        <w:t>II</w:t>
      </w:r>
      <w:r w:rsidR="006B593E" w:rsidRPr="00C27637">
        <w:rPr>
          <w:rFonts w:ascii="Arial" w:eastAsia="Times New Roman" w:hAnsi="Arial" w:cs="Arial"/>
          <w:b/>
          <w:sz w:val="20"/>
          <w:szCs w:val="20"/>
          <w:lang w:eastAsia="sl-SI"/>
        </w:rPr>
        <w:t xml:space="preserve">. </w:t>
      </w:r>
      <w:r w:rsidR="00914051" w:rsidRPr="00C27637">
        <w:rPr>
          <w:rFonts w:ascii="Arial" w:hAnsi="Arial" w:cs="Arial"/>
          <w:b/>
          <w:sz w:val="20"/>
          <w:szCs w:val="20"/>
        </w:rPr>
        <w:t>Pravne podlage</w:t>
      </w:r>
      <w:r w:rsidR="00F47278" w:rsidRPr="00C27637">
        <w:rPr>
          <w:rFonts w:ascii="Arial" w:hAnsi="Arial" w:cs="Arial"/>
          <w:b/>
          <w:sz w:val="20"/>
          <w:szCs w:val="20"/>
        </w:rPr>
        <w:t xml:space="preserve"> in obseg nadzora</w:t>
      </w:r>
    </w:p>
    <w:p w14:paraId="0C22FCF9" w14:textId="4C743193" w:rsidR="00F238F3" w:rsidRPr="00C27637" w:rsidRDefault="00F238F3" w:rsidP="00F47278">
      <w:pPr>
        <w:overflowPunct w:val="0"/>
        <w:autoSpaceDE w:val="0"/>
        <w:autoSpaceDN w:val="0"/>
        <w:adjustRightInd w:val="0"/>
        <w:spacing w:after="0" w:line="240" w:lineRule="exact"/>
        <w:jc w:val="both"/>
        <w:textAlignment w:val="baseline"/>
        <w:rPr>
          <w:rFonts w:ascii="Arial" w:hAnsi="Arial" w:cs="Arial"/>
          <w:b/>
          <w:sz w:val="20"/>
          <w:szCs w:val="20"/>
        </w:rPr>
      </w:pPr>
    </w:p>
    <w:p w14:paraId="4B5112F7" w14:textId="7217C2B4" w:rsidR="00F238F3" w:rsidRPr="00C27637" w:rsidRDefault="00F238F3" w:rsidP="00F47278">
      <w:pPr>
        <w:overflowPunct w:val="0"/>
        <w:autoSpaceDE w:val="0"/>
        <w:autoSpaceDN w:val="0"/>
        <w:adjustRightInd w:val="0"/>
        <w:spacing w:after="0" w:line="240" w:lineRule="exact"/>
        <w:jc w:val="both"/>
        <w:textAlignment w:val="baseline"/>
        <w:rPr>
          <w:rFonts w:ascii="Arial" w:hAnsi="Arial" w:cs="Arial"/>
          <w:b/>
          <w:sz w:val="20"/>
          <w:szCs w:val="20"/>
        </w:rPr>
      </w:pPr>
      <w:r w:rsidRPr="00C27637">
        <w:rPr>
          <w:rFonts w:ascii="Arial" w:hAnsi="Arial" w:cs="Arial"/>
          <w:b/>
          <w:sz w:val="20"/>
          <w:szCs w:val="20"/>
        </w:rPr>
        <w:t>1. Pravne podlage</w:t>
      </w:r>
    </w:p>
    <w:p w14:paraId="591DAD2E" w14:textId="77777777" w:rsidR="00F47278" w:rsidRPr="00C27637" w:rsidRDefault="00F47278" w:rsidP="00F47278">
      <w:pPr>
        <w:overflowPunct w:val="0"/>
        <w:autoSpaceDE w:val="0"/>
        <w:autoSpaceDN w:val="0"/>
        <w:adjustRightInd w:val="0"/>
        <w:spacing w:after="0" w:line="240" w:lineRule="exact"/>
        <w:jc w:val="both"/>
        <w:textAlignment w:val="baseline"/>
        <w:rPr>
          <w:rFonts w:ascii="Arial" w:eastAsia="Times New Roman" w:hAnsi="Arial" w:cs="Arial"/>
          <w:b/>
          <w:sz w:val="20"/>
          <w:szCs w:val="20"/>
          <w:lang w:eastAsia="sl-SI"/>
        </w:rPr>
      </w:pPr>
    </w:p>
    <w:p w14:paraId="5D4699CE" w14:textId="3BF6E320" w:rsidR="00914051" w:rsidRPr="00C27637" w:rsidRDefault="00914051" w:rsidP="001F11D8">
      <w:pPr>
        <w:spacing w:after="0" w:line="240" w:lineRule="atLeast"/>
        <w:jc w:val="both"/>
        <w:rPr>
          <w:rFonts w:ascii="Arial" w:hAnsi="Arial" w:cs="Arial"/>
          <w:sz w:val="20"/>
          <w:szCs w:val="20"/>
        </w:rPr>
      </w:pPr>
      <w:r w:rsidRPr="00C27637">
        <w:rPr>
          <w:rFonts w:ascii="Arial" w:hAnsi="Arial" w:cs="Arial"/>
          <w:sz w:val="20"/>
          <w:szCs w:val="20"/>
        </w:rPr>
        <w:t>Pravne podlage za nadzor zakonitosti občinskih predpisov s</w:t>
      </w:r>
      <w:r w:rsidR="00304A3D" w:rsidRPr="00C27637">
        <w:rPr>
          <w:rFonts w:ascii="Arial" w:hAnsi="Arial" w:cs="Arial"/>
          <w:sz w:val="20"/>
          <w:szCs w:val="20"/>
        </w:rPr>
        <w:t>o</w:t>
      </w:r>
      <w:r w:rsidR="00AD3571" w:rsidRPr="00C27637">
        <w:rPr>
          <w:rFonts w:ascii="Arial" w:hAnsi="Arial" w:cs="Arial"/>
          <w:sz w:val="20"/>
          <w:szCs w:val="20"/>
        </w:rPr>
        <w:t xml:space="preserve"> </w:t>
      </w:r>
      <w:r w:rsidRPr="00C27637">
        <w:rPr>
          <w:rFonts w:ascii="Arial" w:hAnsi="Arial" w:cs="Arial"/>
          <w:sz w:val="20"/>
          <w:szCs w:val="20"/>
        </w:rPr>
        <w:t xml:space="preserve">64. člen Zakona o državni upravi (Uradni list RS, št. </w:t>
      </w:r>
      <w:hyperlink r:id="rId8" w:tgtFrame="_blank" w:tooltip="Zakon o državni upravi (uradno prečiščeno besedilo)" w:history="1">
        <w:r w:rsidRPr="00C27637">
          <w:rPr>
            <w:rFonts w:ascii="Arial" w:hAnsi="Arial" w:cs="Arial"/>
            <w:sz w:val="20"/>
            <w:szCs w:val="20"/>
          </w:rPr>
          <w:t>113/05</w:t>
        </w:r>
      </w:hyperlink>
      <w:r w:rsidRPr="00C27637">
        <w:rPr>
          <w:rFonts w:ascii="Arial" w:hAnsi="Arial" w:cs="Arial"/>
          <w:sz w:val="20"/>
          <w:szCs w:val="20"/>
        </w:rPr>
        <w:t xml:space="preserve"> – uradno prečiščeno besedilo, </w:t>
      </w:r>
      <w:hyperlink r:id="rId9" w:tgtFrame="_blank" w:tooltip="Odločba o razveljavitvi 2. člena Zakona o spremembah in dopolnitvah Zakona o državni upravi" w:history="1">
        <w:r w:rsidRPr="00C27637">
          <w:rPr>
            <w:rFonts w:ascii="Arial" w:hAnsi="Arial" w:cs="Arial"/>
            <w:sz w:val="20"/>
            <w:szCs w:val="20"/>
          </w:rPr>
          <w:t>89/07</w:t>
        </w:r>
      </w:hyperlink>
      <w:r w:rsidRPr="00C27637">
        <w:rPr>
          <w:rFonts w:ascii="Arial" w:hAnsi="Arial" w:cs="Arial"/>
          <w:sz w:val="20"/>
          <w:szCs w:val="20"/>
        </w:rPr>
        <w:t xml:space="preserve"> – odl. US, </w:t>
      </w:r>
      <w:hyperlink r:id="rId10" w:tgtFrame="_blank" w:tooltip="Zakon o spremembah in dopolnitvah Zakona o splošnem upravnem postopku" w:history="1">
        <w:r w:rsidRPr="00C27637">
          <w:rPr>
            <w:rFonts w:ascii="Arial" w:hAnsi="Arial" w:cs="Arial"/>
            <w:sz w:val="20"/>
            <w:szCs w:val="20"/>
          </w:rPr>
          <w:t>126/07</w:t>
        </w:r>
      </w:hyperlink>
      <w:r w:rsidRPr="00C27637">
        <w:rPr>
          <w:rFonts w:ascii="Arial" w:hAnsi="Arial" w:cs="Arial"/>
          <w:sz w:val="20"/>
          <w:szCs w:val="20"/>
        </w:rPr>
        <w:t xml:space="preserve"> – ZUP-E, </w:t>
      </w:r>
      <w:hyperlink r:id="rId11" w:tgtFrame="_blank" w:tooltip="Zakon o spremembah in dopolnitvah Zakona o državni upravi" w:history="1">
        <w:r w:rsidRPr="00C27637">
          <w:rPr>
            <w:rFonts w:ascii="Arial" w:hAnsi="Arial" w:cs="Arial"/>
            <w:sz w:val="20"/>
            <w:szCs w:val="20"/>
          </w:rPr>
          <w:t>48/09</w:t>
        </w:r>
      </w:hyperlink>
      <w:r w:rsidRPr="00C27637">
        <w:rPr>
          <w:rFonts w:ascii="Arial" w:hAnsi="Arial" w:cs="Arial"/>
          <w:sz w:val="20"/>
          <w:szCs w:val="20"/>
        </w:rPr>
        <w:t xml:space="preserve">, </w:t>
      </w:r>
      <w:r w:rsidR="005D053A">
        <w:rPr>
          <w:rFonts w:ascii="Arial" w:hAnsi="Arial" w:cs="Arial"/>
          <w:sz w:val="20"/>
          <w:szCs w:val="20"/>
        </w:rPr>
        <w:br/>
      </w:r>
      <w:hyperlink r:id="rId12" w:tgtFrame="_blank" w:tooltip="Zakon o spremembah in dopolnitvah Zakona o splošnem upravnem postopku" w:history="1">
        <w:r w:rsidRPr="00C27637">
          <w:rPr>
            <w:rFonts w:ascii="Arial" w:hAnsi="Arial" w:cs="Arial"/>
            <w:sz w:val="20"/>
            <w:szCs w:val="20"/>
          </w:rPr>
          <w:t>8/10</w:t>
        </w:r>
      </w:hyperlink>
      <w:r w:rsidRPr="00C27637">
        <w:rPr>
          <w:rFonts w:ascii="Arial" w:hAnsi="Arial" w:cs="Arial"/>
          <w:sz w:val="20"/>
          <w:szCs w:val="20"/>
        </w:rPr>
        <w:t xml:space="preserve"> – ZUP-G, </w:t>
      </w:r>
      <w:hyperlink r:id="rId13" w:tgtFrame="_blank" w:tooltip="Zakon o spremembah in dopolnitvah Zakona o Vladi Republike Slovenije" w:history="1">
        <w:r w:rsidRPr="00C27637">
          <w:rPr>
            <w:rFonts w:ascii="Arial" w:hAnsi="Arial" w:cs="Arial"/>
            <w:sz w:val="20"/>
            <w:szCs w:val="20"/>
          </w:rPr>
          <w:t>8/12</w:t>
        </w:r>
      </w:hyperlink>
      <w:r w:rsidRPr="00C27637">
        <w:rPr>
          <w:rFonts w:ascii="Arial" w:hAnsi="Arial" w:cs="Arial"/>
          <w:sz w:val="20"/>
          <w:szCs w:val="20"/>
        </w:rPr>
        <w:t xml:space="preserve"> – ZVRS-F, </w:t>
      </w:r>
      <w:hyperlink r:id="rId14" w:tgtFrame="_blank" w:tooltip="Zakon o spremembah in dopolnitvah Zakona o državni upravi" w:history="1">
        <w:r w:rsidRPr="00C27637">
          <w:rPr>
            <w:rFonts w:ascii="Arial" w:hAnsi="Arial" w:cs="Arial"/>
            <w:sz w:val="20"/>
            <w:szCs w:val="20"/>
          </w:rPr>
          <w:t>21/12</w:t>
        </w:r>
      </w:hyperlink>
      <w:r w:rsidRPr="00C27637">
        <w:rPr>
          <w:rFonts w:ascii="Arial" w:hAnsi="Arial" w:cs="Arial"/>
          <w:sz w:val="20"/>
          <w:szCs w:val="20"/>
        </w:rPr>
        <w:t xml:space="preserve">, </w:t>
      </w:r>
      <w:hyperlink r:id="rId15" w:tgtFrame="_blank" w:tooltip="Zakon o spremembah in dopolnitvah Zakona o državni upravi" w:history="1">
        <w:r w:rsidRPr="00C27637">
          <w:rPr>
            <w:rFonts w:ascii="Arial" w:hAnsi="Arial" w:cs="Arial"/>
            <w:sz w:val="20"/>
            <w:szCs w:val="20"/>
          </w:rPr>
          <w:t>47/13</w:t>
        </w:r>
      </w:hyperlink>
      <w:r w:rsidRPr="00C27637">
        <w:rPr>
          <w:rFonts w:ascii="Arial" w:hAnsi="Arial" w:cs="Arial"/>
          <w:sz w:val="20"/>
          <w:szCs w:val="20"/>
        </w:rPr>
        <w:t xml:space="preserve">, </w:t>
      </w:r>
      <w:hyperlink r:id="rId16" w:tgtFrame="_blank" w:tooltip="Zakon o spremembi Zakona o državni upravi" w:history="1">
        <w:r w:rsidRPr="00C27637">
          <w:rPr>
            <w:rFonts w:ascii="Arial" w:hAnsi="Arial" w:cs="Arial"/>
            <w:sz w:val="20"/>
            <w:szCs w:val="20"/>
          </w:rPr>
          <w:t>12/14</w:t>
        </w:r>
      </w:hyperlink>
      <w:r w:rsidRPr="00C27637">
        <w:rPr>
          <w:rFonts w:ascii="Arial" w:hAnsi="Arial" w:cs="Arial"/>
          <w:sz w:val="20"/>
          <w:szCs w:val="20"/>
        </w:rPr>
        <w:t xml:space="preserve">, </w:t>
      </w:r>
      <w:hyperlink r:id="rId17" w:tgtFrame="_blank" w:tooltip="Zakon o spremembah in dopolnitvah Zakona o državni upravi" w:history="1">
        <w:r w:rsidRPr="00C27637">
          <w:rPr>
            <w:rFonts w:ascii="Arial" w:hAnsi="Arial" w:cs="Arial"/>
            <w:sz w:val="20"/>
            <w:szCs w:val="20"/>
          </w:rPr>
          <w:t>90/14</w:t>
        </w:r>
      </w:hyperlink>
      <w:r w:rsidRPr="00C27637">
        <w:rPr>
          <w:rFonts w:ascii="Arial" w:hAnsi="Arial" w:cs="Arial"/>
          <w:sz w:val="20"/>
          <w:szCs w:val="20"/>
        </w:rPr>
        <w:t xml:space="preserve"> in </w:t>
      </w:r>
      <w:hyperlink r:id="rId18" w:tgtFrame="_blank" w:tooltip="Zakon o spremembah in dopolnitvah Zakona o državni upravi" w:history="1">
        <w:r w:rsidRPr="00C27637">
          <w:rPr>
            <w:rFonts w:ascii="Arial" w:hAnsi="Arial" w:cs="Arial"/>
            <w:sz w:val="20"/>
            <w:szCs w:val="20"/>
          </w:rPr>
          <w:t>51/16</w:t>
        </w:r>
      </w:hyperlink>
      <w:r w:rsidRPr="00C27637">
        <w:rPr>
          <w:rFonts w:ascii="Arial" w:hAnsi="Arial" w:cs="Arial"/>
          <w:sz w:val="20"/>
          <w:szCs w:val="20"/>
        </w:rPr>
        <w:t>)</w:t>
      </w:r>
      <w:r w:rsidR="00304A3D" w:rsidRPr="00C27637">
        <w:rPr>
          <w:rFonts w:ascii="Arial" w:hAnsi="Arial" w:cs="Arial"/>
          <w:sz w:val="20"/>
          <w:szCs w:val="20"/>
        </w:rPr>
        <w:t>,</w:t>
      </w:r>
      <w:r w:rsidRPr="00C27637">
        <w:rPr>
          <w:rFonts w:ascii="Arial" w:hAnsi="Arial" w:cs="Arial"/>
          <w:sz w:val="20"/>
          <w:szCs w:val="20"/>
        </w:rPr>
        <w:t xml:space="preserve"> </w:t>
      </w:r>
      <w:r w:rsidR="005D053A">
        <w:rPr>
          <w:rFonts w:ascii="Arial" w:hAnsi="Arial" w:cs="Arial"/>
          <w:sz w:val="20"/>
          <w:szCs w:val="20"/>
          <w:lang w:eastAsia="sl-SI"/>
        </w:rPr>
        <w:t>88.</w:t>
      </w:r>
      <w:r w:rsidRPr="00C27637">
        <w:rPr>
          <w:rFonts w:ascii="Arial" w:hAnsi="Arial" w:cs="Arial"/>
          <w:sz w:val="20"/>
          <w:szCs w:val="20"/>
          <w:lang w:eastAsia="sl-SI"/>
        </w:rPr>
        <w:t xml:space="preserve">a člen Zakona o lokalni samoupravi </w:t>
      </w:r>
      <w:r w:rsidR="00C5697A" w:rsidRPr="00C27637">
        <w:rPr>
          <w:rFonts w:ascii="Arial" w:eastAsia="Times New Roman" w:hAnsi="Arial" w:cs="Arial"/>
          <w:sz w:val="20"/>
          <w:szCs w:val="20"/>
          <w:lang w:eastAsia="sl-SI"/>
        </w:rPr>
        <w:t>(</w:t>
      </w:r>
      <w:r w:rsidR="00C5697A" w:rsidRPr="00C27637">
        <w:rPr>
          <w:rFonts w:ascii="Arial" w:hAnsi="Arial" w:cs="Arial"/>
          <w:sz w:val="20"/>
          <w:szCs w:val="20"/>
        </w:rPr>
        <w:t xml:space="preserve">Uradni list RS, št. </w:t>
      </w:r>
      <w:hyperlink r:id="rId19" w:tgtFrame="_blank" w:tooltip="Zakon o lokalni samoupravi (uradno prečiščeno besedilo)" w:history="1">
        <w:r w:rsidR="00C5697A" w:rsidRPr="00C27637">
          <w:rPr>
            <w:rFonts w:ascii="Arial" w:hAnsi="Arial" w:cs="Arial"/>
            <w:sz w:val="20"/>
            <w:szCs w:val="20"/>
          </w:rPr>
          <w:t>94/07</w:t>
        </w:r>
      </w:hyperlink>
      <w:r w:rsidR="00C5697A" w:rsidRPr="00C27637">
        <w:rPr>
          <w:rFonts w:ascii="Arial" w:hAnsi="Arial" w:cs="Arial"/>
          <w:sz w:val="20"/>
          <w:szCs w:val="20"/>
        </w:rPr>
        <w:t xml:space="preserve"> – uradno prečiščeno besedilo, </w:t>
      </w:r>
      <w:hyperlink r:id="rId20" w:tgtFrame="_blank" w:tooltip="Zakon o dopolnitvi Zakona o lokalni samoupravi" w:history="1">
        <w:r w:rsidR="00C5697A" w:rsidRPr="00C27637">
          <w:rPr>
            <w:rFonts w:ascii="Arial" w:hAnsi="Arial" w:cs="Arial"/>
            <w:sz w:val="20"/>
            <w:szCs w:val="20"/>
          </w:rPr>
          <w:t>76/08</w:t>
        </w:r>
      </w:hyperlink>
      <w:r w:rsidR="00C5697A" w:rsidRPr="00C27637">
        <w:rPr>
          <w:rFonts w:ascii="Arial" w:hAnsi="Arial" w:cs="Arial"/>
          <w:sz w:val="20"/>
          <w:szCs w:val="20"/>
        </w:rPr>
        <w:t xml:space="preserve">, </w:t>
      </w:r>
      <w:hyperlink r:id="rId21" w:tgtFrame="_blank" w:tooltip="Zakon o spremembah in dopolnitvah Zakona o lokalni samoupravi" w:history="1">
        <w:r w:rsidR="00C5697A" w:rsidRPr="00C27637">
          <w:rPr>
            <w:rFonts w:ascii="Arial" w:hAnsi="Arial" w:cs="Arial"/>
            <w:sz w:val="20"/>
            <w:szCs w:val="20"/>
          </w:rPr>
          <w:t>79/09</w:t>
        </w:r>
      </w:hyperlink>
      <w:r w:rsidR="00C5697A" w:rsidRPr="00C27637">
        <w:rPr>
          <w:rFonts w:ascii="Arial" w:hAnsi="Arial" w:cs="Arial"/>
          <w:sz w:val="20"/>
          <w:szCs w:val="20"/>
        </w:rPr>
        <w:t xml:space="preserve">, </w:t>
      </w:r>
      <w:hyperlink r:id="rId22" w:tgtFrame="_blank" w:tooltip="Zakon o spremembah in dopolnitvah Zakona o lokalni samoupravi" w:history="1">
        <w:r w:rsidR="00C5697A" w:rsidRPr="00C27637">
          <w:rPr>
            <w:rFonts w:ascii="Arial" w:hAnsi="Arial" w:cs="Arial"/>
            <w:sz w:val="20"/>
            <w:szCs w:val="20"/>
          </w:rPr>
          <w:t>51/10</w:t>
        </w:r>
      </w:hyperlink>
      <w:r w:rsidR="00C5697A" w:rsidRPr="00C27637">
        <w:rPr>
          <w:rFonts w:ascii="Arial" w:hAnsi="Arial" w:cs="Arial"/>
          <w:sz w:val="20"/>
          <w:szCs w:val="20"/>
        </w:rPr>
        <w:t xml:space="preserve">, </w:t>
      </w:r>
      <w:hyperlink r:id="rId23" w:tgtFrame="_blank" w:tooltip="Zakon za uravnoteženje javnih financ" w:history="1">
        <w:r w:rsidR="00C5697A" w:rsidRPr="00C27637">
          <w:rPr>
            <w:rFonts w:ascii="Arial" w:hAnsi="Arial" w:cs="Arial"/>
            <w:sz w:val="20"/>
            <w:szCs w:val="20"/>
          </w:rPr>
          <w:t>40/12</w:t>
        </w:r>
      </w:hyperlink>
      <w:r w:rsidR="00C5697A" w:rsidRPr="00C27637">
        <w:rPr>
          <w:rFonts w:ascii="Arial" w:hAnsi="Arial" w:cs="Arial"/>
          <w:sz w:val="20"/>
          <w:szCs w:val="20"/>
        </w:rPr>
        <w:t xml:space="preserve"> – ZUJF, </w:t>
      </w:r>
      <w:hyperlink r:id="rId24" w:tgtFrame="_blank" w:tooltip="Zakon o ukrepih za uravnoteženje javnih financ občin" w:history="1">
        <w:r w:rsidR="00C5697A" w:rsidRPr="00C27637">
          <w:rPr>
            <w:rFonts w:ascii="Arial" w:hAnsi="Arial" w:cs="Arial"/>
            <w:sz w:val="20"/>
            <w:szCs w:val="20"/>
          </w:rPr>
          <w:t>14/15</w:t>
        </w:r>
      </w:hyperlink>
      <w:r w:rsidR="00C5697A" w:rsidRPr="00C27637">
        <w:rPr>
          <w:rFonts w:ascii="Arial" w:hAnsi="Arial" w:cs="Arial"/>
          <w:sz w:val="20"/>
          <w:szCs w:val="20"/>
        </w:rPr>
        <w:t xml:space="preserve"> – ZUUJFO, </w:t>
      </w:r>
      <w:hyperlink r:id="rId25" w:tgtFrame="_blank" w:tooltip="Zakon o stvarnem premoženju države in samoupravnih lokalnih skupnosti" w:history="1">
        <w:r w:rsidR="00C5697A" w:rsidRPr="00C27637">
          <w:rPr>
            <w:rFonts w:ascii="Arial" w:hAnsi="Arial" w:cs="Arial"/>
            <w:sz w:val="20"/>
            <w:szCs w:val="20"/>
          </w:rPr>
          <w:t>11/18</w:t>
        </w:r>
      </w:hyperlink>
      <w:r w:rsidR="00C5697A" w:rsidRPr="00C27637">
        <w:rPr>
          <w:rFonts w:ascii="Arial" w:hAnsi="Arial" w:cs="Arial"/>
          <w:sz w:val="20"/>
          <w:szCs w:val="20"/>
        </w:rPr>
        <w:t xml:space="preserve"> – ZSPDSLS-1, </w:t>
      </w:r>
      <w:hyperlink r:id="rId26" w:tgtFrame="_blank" w:tooltip="Zakon o spremembah in dopolnitvah Zakona o lokalni samoupravi" w:history="1">
        <w:r w:rsidR="00C5697A" w:rsidRPr="00C27637">
          <w:rPr>
            <w:rFonts w:ascii="Arial" w:hAnsi="Arial" w:cs="Arial"/>
            <w:sz w:val="20"/>
            <w:szCs w:val="20"/>
          </w:rPr>
          <w:t>30/18</w:t>
        </w:r>
      </w:hyperlink>
      <w:r w:rsidR="00C5697A" w:rsidRPr="00C27637">
        <w:rPr>
          <w:rFonts w:ascii="Arial" w:hAnsi="Arial" w:cs="Arial"/>
          <w:sz w:val="20"/>
          <w:szCs w:val="20"/>
        </w:rPr>
        <w:t xml:space="preserve">, </w:t>
      </w:r>
      <w:hyperlink r:id="rId27" w:tgtFrame="_blank" w:tooltip="Zakon o spremembah in dopolnitvah Zakona o interventnih ukrepih za zajezitev epidemije COVID-19 in omilitev njenih posledic za državljane in gospodarstvo" w:history="1">
        <w:r w:rsidR="00C5697A" w:rsidRPr="00C27637">
          <w:rPr>
            <w:rFonts w:ascii="Arial" w:hAnsi="Arial" w:cs="Arial"/>
            <w:sz w:val="20"/>
            <w:szCs w:val="20"/>
          </w:rPr>
          <w:t>61/20</w:t>
        </w:r>
      </w:hyperlink>
      <w:r w:rsidR="00C5697A" w:rsidRPr="00C27637">
        <w:rPr>
          <w:rFonts w:ascii="Arial" w:hAnsi="Arial" w:cs="Arial"/>
          <w:sz w:val="20"/>
          <w:szCs w:val="20"/>
        </w:rPr>
        <w:t xml:space="preserve"> – ZIUZEOP-A in </w:t>
      </w:r>
      <w:hyperlink r:id="rId28" w:tgtFrame="_blank" w:tooltip="Zakon o interventnih ukrepih za omilitev in odpravo posledic epidemije COVID-19" w:history="1">
        <w:r w:rsidR="00C5697A" w:rsidRPr="00C27637">
          <w:rPr>
            <w:rFonts w:ascii="Arial" w:hAnsi="Arial" w:cs="Arial"/>
            <w:sz w:val="20"/>
            <w:szCs w:val="20"/>
          </w:rPr>
          <w:t>80/20</w:t>
        </w:r>
      </w:hyperlink>
      <w:r w:rsidR="00C5697A" w:rsidRPr="00C27637">
        <w:rPr>
          <w:rFonts w:ascii="Arial" w:hAnsi="Arial" w:cs="Arial"/>
          <w:sz w:val="20"/>
          <w:szCs w:val="20"/>
        </w:rPr>
        <w:t xml:space="preserve"> – ZIUOOPE</w:t>
      </w:r>
      <w:r w:rsidRPr="00C27637">
        <w:rPr>
          <w:rFonts w:ascii="Arial" w:hAnsi="Arial" w:cs="Arial"/>
          <w:sz w:val="20"/>
          <w:szCs w:val="20"/>
          <w:lang w:eastAsia="sl-SI"/>
        </w:rPr>
        <w:t xml:space="preserve">, v nadaljevanju ZLS), ki določa, da nadzorstvo nad zakonitostjo splošnih in posamičnih aktov občin v zadevah iz njihove pristojnosti izvršujejo ministrstva, vsako na svojem področju in </w:t>
      </w:r>
      <w:r w:rsidRPr="00C27637">
        <w:rPr>
          <w:rFonts w:ascii="Arial" w:hAnsi="Arial" w:cs="Arial"/>
          <w:sz w:val="20"/>
          <w:szCs w:val="20"/>
        </w:rPr>
        <w:t xml:space="preserve">8. člen Zakona o ratifikaciji Evropske </w:t>
      </w:r>
      <w:r w:rsidRPr="00C27637">
        <w:rPr>
          <w:rFonts w:ascii="Arial" w:hAnsi="Arial" w:cs="Arial"/>
          <w:sz w:val="20"/>
          <w:szCs w:val="20"/>
        </w:rPr>
        <w:lastRenderedPageBreak/>
        <w:t xml:space="preserve">listine lokalne samouprave (Uradni list RS – Mednarodne pogodbe, št. </w:t>
      </w:r>
      <w:hyperlink r:id="rId29" w:tgtFrame="_blank" w:tooltip="Zakon o ratifikaciji Evropske listine lokalne samouprave (MELLS)" w:history="1">
        <w:r w:rsidRPr="00C27637">
          <w:rPr>
            <w:rFonts w:ascii="Arial" w:hAnsi="Arial" w:cs="Arial"/>
            <w:sz w:val="20"/>
            <w:szCs w:val="20"/>
          </w:rPr>
          <w:t>15/96</w:t>
        </w:r>
      </w:hyperlink>
      <w:r w:rsidRPr="00C27637">
        <w:rPr>
          <w:rFonts w:ascii="Arial" w:hAnsi="Arial" w:cs="Arial"/>
          <w:sz w:val="20"/>
          <w:szCs w:val="20"/>
        </w:rPr>
        <w:t xml:space="preserve">, v nadaljevanju MELLS), ki določa upravni nadzor nad dejavnostmi lokalnih oblasti. Namen državnega nadzorstva je predvsem svetovanje, pomoč in krepitev odgovornosti in sposobnosti za samostojno odločanje in zagotavljanje zakonitosti dela občinskih organov. </w:t>
      </w:r>
    </w:p>
    <w:p w14:paraId="2537F715" w14:textId="77777777" w:rsidR="00B9661A" w:rsidRPr="00C27637" w:rsidRDefault="00B9661A" w:rsidP="001F11D8">
      <w:pPr>
        <w:spacing w:after="0" w:line="240" w:lineRule="atLeast"/>
        <w:jc w:val="both"/>
        <w:rPr>
          <w:rFonts w:ascii="Arial" w:hAnsi="Arial" w:cs="Arial"/>
          <w:sz w:val="20"/>
          <w:szCs w:val="20"/>
          <w:lang w:eastAsia="sl-SI"/>
        </w:rPr>
      </w:pPr>
    </w:p>
    <w:p w14:paraId="4B38B214" w14:textId="780E0811" w:rsidR="00C54B4C" w:rsidRPr="00C27637" w:rsidRDefault="00914051" w:rsidP="0010469D">
      <w:pPr>
        <w:spacing w:after="0" w:line="240" w:lineRule="atLeast"/>
        <w:jc w:val="both"/>
        <w:rPr>
          <w:rFonts w:ascii="Arial" w:hAnsi="Arial" w:cs="Arial"/>
          <w:sz w:val="20"/>
          <w:szCs w:val="20"/>
        </w:rPr>
      </w:pPr>
      <w:r w:rsidRPr="00C27637">
        <w:rPr>
          <w:rFonts w:ascii="Arial" w:hAnsi="Arial" w:cs="Arial"/>
          <w:sz w:val="20"/>
          <w:szCs w:val="20"/>
        </w:rPr>
        <w:t xml:space="preserve">MJU </w:t>
      </w:r>
      <w:r w:rsidR="00304A3D" w:rsidRPr="00C27637">
        <w:rPr>
          <w:rFonts w:ascii="Arial" w:hAnsi="Arial" w:cs="Arial"/>
          <w:sz w:val="20"/>
          <w:szCs w:val="20"/>
        </w:rPr>
        <w:t>je</w:t>
      </w:r>
      <w:r w:rsidRPr="00C27637">
        <w:rPr>
          <w:rFonts w:ascii="Arial" w:hAnsi="Arial" w:cs="Arial"/>
          <w:sz w:val="20"/>
          <w:szCs w:val="20"/>
        </w:rPr>
        <w:t xml:space="preserve"> v okviru strokovne pomoči občinam </w:t>
      </w:r>
      <w:r w:rsidR="001204C1" w:rsidRPr="00C27637">
        <w:rPr>
          <w:rFonts w:ascii="Arial" w:hAnsi="Arial" w:cs="Arial"/>
          <w:sz w:val="20"/>
          <w:szCs w:val="20"/>
        </w:rPr>
        <w:t>izv</w:t>
      </w:r>
      <w:r w:rsidR="003B6808">
        <w:rPr>
          <w:rFonts w:ascii="Arial" w:hAnsi="Arial" w:cs="Arial"/>
          <w:sz w:val="20"/>
          <w:szCs w:val="20"/>
        </w:rPr>
        <w:t>edlo</w:t>
      </w:r>
      <w:r w:rsidR="001204C1" w:rsidRPr="00C27637">
        <w:rPr>
          <w:rFonts w:ascii="Arial" w:hAnsi="Arial" w:cs="Arial"/>
          <w:sz w:val="20"/>
          <w:szCs w:val="20"/>
        </w:rPr>
        <w:t xml:space="preserve"> </w:t>
      </w:r>
      <w:r w:rsidRPr="00C27637">
        <w:rPr>
          <w:rFonts w:ascii="Arial" w:hAnsi="Arial" w:cs="Arial"/>
          <w:sz w:val="20"/>
          <w:szCs w:val="20"/>
        </w:rPr>
        <w:t>sistematične preglede splošnih občinskih aktov, k</w:t>
      </w:r>
      <w:r w:rsidR="006439C0" w:rsidRPr="00C27637">
        <w:rPr>
          <w:rFonts w:ascii="Arial" w:hAnsi="Arial" w:cs="Arial"/>
          <w:sz w:val="20"/>
          <w:szCs w:val="20"/>
        </w:rPr>
        <w:t>ar</w:t>
      </w:r>
      <w:r w:rsidRPr="00C27637">
        <w:rPr>
          <w:rFonts w:ascii="Arial" w:hAnsi="Arial" w:cs="Arial"/>
          <w:sz w:val="20"/>
          <w:szCs w:val="20"/>
        </w:rPr>
        <w:t xml:space="preserve"> vključuje delovni svetovalni razgovor s predstavniki občinskih organov in občinskih uprav. Vsebina delovnega pogovora na občini</w:t>
      </w:r>
      <w:r w:rsidR="00304A3D" w:rsidRPr="00C27637">
        <w:rPr>
          <w:rFonts w:ascii="Arial" w:hAnsi="Arial" w:cs="Arial"/>
          <w:sz w:val="20"/>
          <w:szCs w:val="20"/>
        </w:rPr>
        <w:t xml:space="preserve"> je</w:t>
      </w:r>
      <w:r w:rsidRPr="00C27637">
        <w:rPr>
          <w:rFonts w:ascii="Arial" w:hAnsi="Arial" w:cs="Arial"/>
          <w:sz w:val="20"/>
          <w:szCs w:val="20"/>
        </w:rPr>
        <w:t xml:space="preserve"> obsega</w:t>
      </w:r>
      <w:r w:rsidR="00304A3D" w:rsidRPr="00C27637">
        <w:rPr>
          <w:rFonts w:ascii="Arial" w:hAnsi="Arial" w:cs="Arial"/>
          <w:sz w:val="20"/>
          <w:szCs w:val="20"/>
        </w:rPr>
        <w:t>la</w:t>
      </w:r>
      <w:r w:rsidRPr="00C27637">
        <w:rPr>
          <w:rFonts w:ascii="Arial" w:hAnsi="Arial" w:cs="Arial"/>
          <w:sz w:val="20"/>
          <w:szCs w:val="20"/>
        </w:rPr>
        <w:t xml:space="preserve"> teme</w:t>
      </w:r>
      <w:r w:rsidR="001D3D70" w:rsidRPr="00C27637">
        <w:rPr>
          <w:rFonts w:ascii="Arial" w:hAnsi="Arial" w:cs="Arial"/>
          <w:sz w:val="20"/>
          <w:szCs w:val="20"/>
        </w:rPr>
        <w:t>, kot so</w:t>
      </w:r>
      <w:r w:rsidR="001204C1">
        <w:rPr>
          <w:rFonts w:ascii="Arial" w:hAnsi="Arial" w:cs="Arial"/>
          <w:sz w:val="20"/>
          <w:szCs w:val="20"/>
        </w:rPr>
        <w:t>:</w:t>
      </w:r>
      <w:r w:rsidR="001D3D70" w:rsidRPr="00C27637">
        <w:rPr>
          <w:rFonts w:ascii="Arial" w:hAnsi="Arial" w:cs="Arial"/>
          <w:sz w:val="20"/>
          <w:szCs w:val="20"/>
        </w:rPr>
        <w:t xml:space="preserve"> predhodna </w:t>
      </w:r>
      <w:r w:rsidRPr="00C27637">
        <w:rPr>
          <w:rFonts w:ascii="Arial" w:hAnsi="Arial" w:cs="Arial"/>
          <w:sz w:val="20"/>
          <w:szCs w:val="20"/>
        </w:rPr>
        <w:t>seznanitev z oceno zakonitosti pregledanih občinskih predpisov in morebitnimi opozorili</w:t>
      </w:r>
      <w:r w:rsidR="001D3D70" w:rsidRPr="00C27637">
        <w:rPr>
          <w:rFonts w:ascii="Arial" w:hAnsi="Arial" w:cs="Arial"/>
          <w:sz w:val="20"/>
          <w:szCs w:val="20"/>
        </w:rPr>
        <w:t xml:space="preserve">, opis </w:t>
      </w:r>
      <w:r w:rsidRPr="00C27637">
        <w:rPr>
          <w:rFonts w:ascii="Arial" w:hAnsi="Arial" w:cs="Arial"/>
          <w:sz w:val="20"/>
          <w:szCs w:val="20"/>
        </w:rPr>
        <w:t>razmerja med občinskimi organi (župan, občinski svet, nadzorni odbor, volilna komisija)</w:t>
      </w:r>
      <w:r w:rsidR="001D3D70" w:rsidRPr="00C27637">
        <w:rPr>
          <w:rFonts w:ascii="Arial" w:hAnsi="Arial" w:cs="Arial"/>
          <w:sz w:val="20"/>
          <w:szCs w:val="20"/>
        </w:rPr>
        <w:t xml:space="preserve">, poizvedba o </w:t>
      </w:r>
      <w:r w:rsidRPr="00C27637">
        <w:rPr>
          <w:rFonts w:ascii="Arial" w:hAnsi="Arial" w:cs="Arial"/>
          <w:sz w:val="20"/>
          <w:szCs w:val="20"/>
        </w:rPr>
        <w:t>organiziranost</w:t>
      </w:r>
      <w:r w:rsidR="001D3D70" w:rsidRPr="00C27637">
        <w:rPr>
          <w:rFonts w:ascii="Arial" w:hAnsi="Arial" w:cs="Arial"/>
          <w:sz w:val="20"/>
          <w:szCs w:val="20"/>
        </w:rPr>
        <w:t>i</w:t>
      </w:r>
      <w:r w:rsidRPr="00C27637">
        <w:rPr>
          <w:rFonts w:ascii="Arial" w:hAnsi="Arial" w:cs="Arial"/>
          <w:sz w:val="20"/>
          <w:szCs w:val="20"/>
        </w:rPr>
        <w:t xml:space="preserve"> občinske uprave (zagotavljanje javnih služb, prekrškovni organi, zunanje storitve)</w:t>
      </w:r>
      <w:r w:rsidR="001D3D70" w:rsidRPr="00C27637">
        <w:rPr>
          <w:rFonts w:ascii="Arial" w:hAnsi="Arial" w:cs="Arial"/>
          <w:sz w:val="20"/>
          <w:szCs w:val="20"/>
        </w:rPr>
        <w:t xml:space="preserve">, pregled </w:t>
      </w:r>
      <w:r w:rsidRPr="00C27637">
        <w:rPr>
          <w:rFonts w:ascii="Arial" w:hAnsi="Arial" w:cs="Arial"/>
          <w:sz w:val="20"/>
          <w:szCs w:val="20"/>
        </w:rPr>
        <w:t>organizacij</w:t>
      </w:r>
      <w:r w:rsidR="001D3D70" w:rsidRPr="00C27637">
        <w:rPr>
          <w:rFonts w:ascii="Arial" w:hAnsi="Arial" w:cs="Arial"/>
          <w:sz w:val="20"/>
          <w:szCs w:val="20"/>
        </w:rPr>
        <w:t>e</w:t>
      </w:r>
      <w:r w:rsidRPr="00C27637">
        <w:rPr>
          <w:rFonts w:ascii="Arial" w:hAnsi="Arial" w:cs="Arial"/>
          <w:sz w:val="20"/>
          <w:szCs w:val="20"/>
        </w:rPr>
        <w:t xml:space="preserve"> in vsebina sodelovanja z drugimi občinami in združenji občin (ZOS, SOS, ZMOS</w:t>
      </w:r>
      <w:r w:rsidR="005D292F">
        <w:rPr>
          <w:rFonts w:ascii="Arial" w:hAnsi="Arial" w:cs="Arial"/>
          <w:sz w:val="20"/>
          <w:szCs w:val="20"/>
        </w:rPr>
        <w:t>,</w:t>
      </w:r>
      <w:r w:rsidRPr="00C27637">
        <w:rPr>
          <w:rFonts w:ascii="Arial" w:hAnsi="Arial" w:cs="Arial"/>
          <w:sz w:val="20"/>
          <w:szCs w:val="20"/>
        </w:rPr>
        <w:t xml:space="preserve"> javna infrastruktura, skupne občinske uprave)</w:t>
      </w:r>
      <w:r w:rsidR="001D3D70" w:rsidRPr="00C27637">
        <w:rPr>
          <w:rFonts w:ascii="Arial" w:hAnsi="Arial" w:cs="Arial"/>
          <w:sz w:val="20"/>
          <w:szCs w:val="20"/>
        </w:rPr>
        <w:t xml:space="preserve">, možne oblike </w:t>
      </w:r>
      <w:r w:rsidRPr="00C27637">
        <w:rPr>
          <w:rFonts w:ascii="Arial" w:hAnsi="Arial" w:cs="Arial"/>
          <w:sz w:val="20"/>
          <w:szCs w:val="20"/>
        </w:rPr>
        <w:t>sodelovanj</w:t>
      </w:r>
      <w:r w:rsidR="001D3D70" w:rsidRPr="00C27637">
        <w:rPr>
          <w:rFonts w:ascii="Arial" w:hAnsi="Arial" w:cs="Arial"/>
          <w:sz w:val="20"/>
          <w:szCs w:val="20"/>
        </w:rPr>
        <w:t>a</w:t>
      </w:r>
      <w:r w:rsidRPr="00C27637">
        <w:rPr>
          <w:rFonts w:ascii="Arial" w:hAnsi="Arial" w:cs="Arial"/>
          <w:sz w:val="20"/>
          <w:szCs w:val="20"/>
        </w:rPr>
        <w:t xml:space="preserve"> občanov pri sprejemanju predpisov</w:t>
      </w:r>
      <w:r w:rsidR="001D3D70" w:rsidRPr="00C27637">
        <w:rPr>
          <w:rFonts w:ascii="Arial" w:hAnsi="Arial" w:cs="Arial"/>
          <w:sz w:val="20"/>
          <w:szCs w:val="20"/>
        </w:rPr>
        <w:t xml:space="preserve"> ter poizvedba o </w:t>
      </w:r>
      <w:r w:rsidRPr="00C27637">
        <w:rPr>
          <w:rFonts w:ascii="Arial" w:hAnsi="Arial" w:cs="Arial"/>
          <w:sz w:val="20"/>
          <w:szCs w:val="20"/>
        </w:rPr>
        <w:t>zagotavljanj</w:t>
      </w:r>
      <w:r w:rsidR="001D3D70" w:rsidRPr="00C27637">
        <w:rPr>
          <w:rFonts w:ascii="Arial" w:hAnsi="Arial" w:cs="Arial"/>
          <w:sz w:val="20"/>
          <w:szCs w:val="20"/>
        </w:rPr>
        <w:t>u</w:t>
      </w:r>
      <w:r w:rsidRPr="00C27637">
        <w:rPr>
          <w:rFonts w:ascii="Arial" w:hAnsi="Arial" w:cs="Arial"/>
          <w:sz w:val="20"/>
          <w:szCs w:val="20"/>
        </w:rPr>
        <w:t xml:space="preserve"> informacij javnega značaja (ureditev spletne strani</w:t>
      </w:r>
      <w:r w:rsidR="001D3D70" w:rsidRPr="00C27637">
        <w:rPr>
          <w:rFonts w:ascii="Arial" w:hAnsi="Arial" w:cs="Arial"/>
          <w:sz w:val="20"/>
          <w:szCs w:val="20"/>
        </w:rPr>
        <w:t xml:space="preserve"> občine</w:t>
      </w:r>
      <w:r w:rsidRPr="00C27637">
        <w:rPr>
          <w:rFonts w:ascii="Arial" w:hAnsi="Arial" w:cs="Arial"/>
          <w:sz w:val="20"/>
          <w:szCs w:val="20"/>
        </w:rPr>
        <w:t xml:space="preserve">, javno glasilo, objava proračuna, </w:t>
      </w:r>
      <w:r w:rsidR="00B9661A" w:rsidRPr="00C27637">
        <w:rPr>
          <w:rFonts w:ascii="Arial" w:hAnsi="Arial" w:cs="Arial"/>
          <w:sz w:val="20"/>
          <w:szCs w:val="20"/>
        </w:rPr>
        <w:t>dostopnost občinskih predpisov</w:t>
      </w:r>
      <w:r w:rsidRPr="00C27637">
        <w:rPr>
          <w:rFonts w:ascii="Arial" w:hAnsi="Arial" w:cs="Arial"/>
          <w:sz w:val="20"/>
          <w:szCs w:val="20"/>
        </w:rPr>
        <w:t>).</w:t>
      </w:r>
    </w:p>
    <w:p w14:paraId="09741054" w14:textId="77777777" w:rsidR="005D053A" w:rsidRDefault="005D053A" w:rsidP="00914051">
      <w:pPr>
        <w:spacing w:line="240" w:lineRule="auto"/>
        <w:jc w:val="both"/>
        <w:rPr>
          <w:rFonts w:ascii="Arial" w:hAnsi="Arial" w:cs="Arial"/>
          <w:b/>
          <w:sz w:val="20"/>
          <w:szCs w:val="20"/>
        </w:rPr>
      </w:pPr>
    </w:p>
    <w:p w14:paraId="59147E3C" w14:textId="6347B195" w:rsidR="00914051" w:rsidRPr="00C27637" w:rsidRDefault="00980B46" w:rsidP="00914051">
      <w:pPr>
        <w:spacing w:line="240" w:lineRule="auto"/>
        <w:jc w:val="both"/>
        <w:rPr>
          <w:rFonts w:ascii="Arial" w:hAnsi="Arial" w:cs="Arial"/>
          <w:b/>
          <w:sz w:val="20"/>
          <w:szCs w:val="20"/>
        </w:rPr>
      </w:pPr>
      <w:r w:rsidRPr="00C27637">
        <w:rPr>
          <w:rFonts w:ascii="Arial" w:hAnsi="Arial" w:cs="Arial"/>
          <w:b/>
          <w:sz w:val="20"/>
          <w:szCs w:val="20"/>
        </w:rPr>
        <w:t>2</w:t>
      </w:r>
      <w:r w:rsidR="00914051" w:rsidRPr="00C27637">
        <w:rPr>
          <w:rFonts w:ascii="Arial" w:hAnsi="Arial" w:cs="Arial"/>
          <w:b/>
          <w:sz w:val="20"/>
          <w:szCs w:val="20"/>
        </w:rPr>
        <w:t>. Obseg nadzora</w:t>
      </w:r>
    </w:p>
    <w:p w14:paraId="716DAE93" w14:textId="1A05982B" w:rsidR="00914051" w:rsidRPr="00C27637" w:rsidRDefault="00914051" w:rsidP="001F11D8">
      <w:pPr>
        <w:spacing w:after="0" w:line="240" w:lineRule="atLeast"/>
        <w:jc w:val="both"/>
        <w:rPr>
          <w:rFonts w:ascii="Arial" w:hAnsi="Arial" w:cs="Arial"/>
          <w:sz w:val="20"/>
          <w:szCs w:val="20"/>
        </w:rPr>
      </w:pPr>
      <w:r w:rsidRPr="00C27637">
        <w:rPr>
          <w:rFonts w:ascii="Arial" w:hAnsi="Arial" w:cs="Arial"/>
          <w:sz w:val="20"/>
          <w:szCs w:val="20"/>
        </w:rPr>
        <w:t>Postopek nadzorstva</w:t>
      </w:r>
      <w:r w:rsidR="00A869B2">
        <w:rPr>
          <w:rFonts w:ascii="Arial" w:hAnsi="Arial" w:cs="Arial"/>
          <w:sz w:val="20"/>
          <w:szCs w:val="20"/>
        </w:rPr>
        <w:t xml:space="preserve"> nad zakonitostjo splošnih aktov občine</w:t>
      </w:r>
      <w:r w:rsidRPr="00C27637">
        <w:rPr>
          <w:rFonts w:ascii="Arial" w:hAnsi="Arial" w:cs="Arial"/>
          <w:sz w:val="20"/>
          <w:szCs w:val="20"/>
        </w:rPr>
        <w:t xml:space="preserve"> </w:t>
      </w:r>
      <w:r w:rsidR="00AC4C91" w:rsidRPr="00C27637">
        <w:rPr>
          <w:rFonts w:ascii="Arial" w:hAnsi="Arial" w:cs="Arial"/>
          <w:sz w:val="20"/>
          <w:szCs w:val="20"/>
        </w:rPr>
        <w:t xml:space="preserve">je </w:t>
      </w:r>
      <w:r w:rsidRPr="00C27637">
        <w:rPr>
          <w:rFonts w:ascii="Arial" w:hAnsi="Arial" w:cs="Arial"/>
          <w:sz w:val="20"/>
          <w:szCs w:val="20"/>
        </w:rPr>
        <w:t>MJU izved</w:t>
      </w:r>
      <w:r w:rsidR="00AC4C91" w:rsidRPr="00C27637">
        <w:rPr>
          <w:rFonts w:ascii="Arial" w:hAnsi="Arial" w:cs="Arial"/>
          <w:sz w:val="20"/>
          <w:szCs w:val="20"/>
        </w:rPr>
        <w:t>lo</w:t>
      </w:r>
      <w:r w:rsidR="00EF5C6A">
        <w:rPr>
          <w:rFonts w:ascii="Arial" w:hAnsi="Arial" w:cs="Arial"/>
          <w:sz w:val="20"/>
          <w:szCs w:val="20"/>
        </w:rPr>
        <w:t xml:space="preserve"> n</w:t>
      </w:r>
      <w:r w:rsidR="00A869B2">
        <w:rPr>
          <w:rFonts w:ascii="Arial" w:hAnsi="Arial" w:cs="Arial"/>
          <w:sz w:val="20"/>
          <w:szCs w:val="20"/>
        </w:rPr>
        <w:t xml:space="preserve">a podlagi </w:t>
      </w:r>
      <w:r w:rsidR="00067A1C" w:rsidRPr="00C27637">
        <w:rPr>
          <w:rFonts w:ascii="Arial" w:hAnsi="Arial" w:cs="Arial"/>
          <w:sz w:val="20"/>
          <w:szCs w:val="20"/>
        </w:rPr>
        <w:t>delovn</w:t>
      </w:r>
      <w:r w:rsidR="00A869B2">
        <w:rPr>
          <w:rFonts w:ascii="Arial" w:hAnsi="Arial" w:cs="Arial"/>
          <w:sz w:val="20"/>
          <w:szCs w:val="20"/>
        </w:rPr>
        <w:t>ih</w:t>
      </w:r>
      <w:r w:rsidR="00067A1C" w:rsidRPr="00C27637">
        <w:rPr>
          <w:rFonts w:ascii="Arial" w:hAnsi="Arial" w:cs="Arial"/>
          <w:sz w:val="20"/>
          <w:szCs w:val="20"/>
        </w:rPr>
        <w:t xml:space="preserve"> </w:t>
      </w:r>
      <w:r w:rsidR="00A869B2">
        <w:rPr>
          <w:rFonts w:ascii="Arial" w:hAnsi="Arial" w:cs="Arial"/>
          <w:sz w:val="20"/>
          <w:szCs w:val="20"/>
        </w:rPr>
        <w:t>procesov</w:t>
      </w:r>
      <w:r w:rsidR="00067A1C" w:rsidRPr="00C27637">
        <w:rPr>
          <w:rFonts w:ascii="Arial" w:hAnsi="Arial" w:cs="Arial"/>
          <w:sz w:val="20"/>
          <w:szCs w:val="20"/>
        </w:rPr>
        <w:t xml:space="preserve"> </w:t>
      </w:r>
      <w:r w:rsidR="00CB7782" w:rsidRPr="00C27637">
        <w:rPr>
          <w:rFonts w:ascii="Arial" w:hAnsi="Arial" w:cs="Arial"/>
          <w:sz w:val="20"/>
          <w:szCs w:val="20"/>
        </w:rPr>
        <w:t>ki jih razdelimo v tri dele. Prvi</w:t>
      </w:r>
      <w:r w:rsidR="00A869B2">
        <w:rPr>
          <w:rFonts w:ascii="Arial" w:hAnsi="Arial" w:cs="Arial"/>
          <w:sz w:val="20"/>
          <w:szCs w:val="20"/>
        </w:rPr>
        <w:t xml:space="preserve"> del</w:t>
      </w:r>
      <w:r w:rsidR="00CB7782" w:rsidRPr="00C27637">
        <w:rPr>
          <w:rFonts w:ascii="Arial" w:hAnsi="Arial" w:cs="Arial"/>
          <w:sz w:val="20"/>
          <w:szCs w:val="20"/>
        </w:rPr>
        <w:t xml:space="preserve"> obsega</w:t>
      </w:r>
      <w:r w:rsidR="00067A1C" w:rsidRPr="00C27637">
        <w:rPr>
          <w:rFonts w:ascii="Arial" w:hAnsi="Arial" w:cs="Arial"/>
          <w:sz w:val="20"/>
          <w:szCs w:val="20"/>
        </w:rPr>
        <w:t xml:space="preserve"> </w:t>
      </w:r>
      <w:r w:rsidRPr="00C27637">
        <w:rPr>
          <w:rFonts w:ascii="Arial" w:hAnsi="Arial" w:cs="Arial"/>
          <w:sz w:val="20"/>
          <w:szCs w:val="20"/>
        </w:rPr>
        <w:t>napoved nadzora</w:t>
      </w:r>
      <w:r w:rsidR="00067A1C" w:rsidRPr="00C27637">
        <w:rPr>
          <w:rFonts w:ascii="Arial" w:hAnsi="Arial" w:cs="Arial"/>
          <w:sz w:val="20"/>
          <w:szCs w:val="20"/>
        </w:rPr>
        <w:t xml:space="preserve"> na določeni občini in predhodni pregled </w:t>
      </w:r>
      <w:r w:rsidRPr="00C27637">
        <w:rPr>
          <w:rFonts w:ascii="Arial" w:hAnsi="Arial" w:cs="Arial"/>
          <w:sz w:val="20"/>
          <w:szCs w:val="20"/>
        </w:rPr>
        <w:t>statuta občine,</w:t>
      </w:r>
      <w:r w:rsidR="00067A1C" w:rsidRPr="00C27637">
        <w:rPr>
          <w:rFonts w:ascii="Arial" w:hAnsi="Arial" w:cs="Arial"/>
          <w:sz w:val="20"/>
          <w:szCs w:val="20"/>
        </w:rPr>
        <w:t xml:space="preserve"> </w:t>
      </w:r>
      <w:r w:rsidRPr="00C27637">
        <w:rPr>
          <w:rFonts w:ascii="Arial" w:hAnsi="Arial" w:cs="Arial"/>
          <w:sz w:val="20"/>
          <w:szCs w:val="20"/>
        </w:rPr>
        <w:t>poslovnika občinskega sveta</w:t>
      </w:r>
      <w:r w:rsidR="00067A1C" w:rsidRPr="00C27637">
        <w:rPr>
          <w:rFonts w:ascii="Arial" w:hAnsi="Arial" w:cs="Arial"/>
          <w:sz w:val="20"/>
          <w:szCs w:val="20"/>
        </w:rPr>
        <w:t xml:space="preserve"> in </w:t>
      </w:r>
      <w:r w:rsidRPr="00C27637">
        <w:rPr>
          <w:rFonts w:ascii="Arial" w:hAnsi="Arial" w:cs="Arial"/>
          <w:sz w:val="20"/>
          <w:szCs w:val="20"/>
        </w:rPr>
        <w:t>poslovnika nadzornega odbora</w:t>
      </w:r>
      <w:r w:rsidR="00B505DA">
        <w:rPr>
          <w:rFonts w:ascii="Arial" w:hAnsi="Arial" w:cs="Arial"/>
          <w:sz w:val="20"/>
          <w:szCs w:val="20"/>
        </w:rPr>
        <w:t xml:space="preserve"> občine</w:t>
      </w:r>
      <w:r w:rsidR="00067A1C" w:rsidRPr="00C27637">
        <w:rPr>
          <w:rFonts w:ascii="Arial" w:hAnsi="Arial" w:cs="Arial"/>
          <w:sz w:val="20"/>
          <w:szCs w:val="20"/>
        </w:rPr>
        <w:t xml:space="preserve">. V določenih primerih tudi pregled </w:t>
      </w:r>
      <w:r w:rsidRPr="00C27637">
        <w:rPr>
          <w:rFonts w:ascii="Arial" w:hAnsi="Arial" w:cs="Arial"/>
          <w:sz w:val="20"/>
          <w:szCs w:val="20"/>
        </w:rPr>
        <w:t>pravilnika o plačah in plačilih za opravljanje funkcije občinskih funkcionarjev in izplačilih na drugih podlagah članom delovnih teles občinskega sveta, članom drugih občinskih organov in članom svetov krajevnih skupnosti ter o povračilih stroškov v občini,</w:t>
      </w:r>
      <w:r w:rsidR="00067A1C" w:rsidRPr="00C27637">
        <w:rPr>
          <w:rFonts w:ascii="Arial" w:hAnsi="Arial" w:cs="Arial"/>
          <w:sz w:val="20"/>
          <w:szCs w:val="20"/>
        </w:rPr>
        <w:t xml:space="preserve"> </w:t>
      </w:r>
      <w:r w:rsidRPr="00C27637">
        <w:rPr>
          <w:rFonts w:ascii="Arial" w:hAnsi="Arial" w:cs="Arial"/>
          <w:sz w:val="20"/>
          <w:szCs w:val="20"/>
        </w:rPr>
        <w:t>odloka o volilnih enotah (volilne enote, volilni organi)</w:t>
      </w:r>
      <w:r w:rsidR="00CB7782" w:rsidRPr="00C27637">
        <w:rPr>
          <w:rFonts w:ascii="Arial" w:hAnsi="Arial" w:cs="Arial"/>
          <w:sz w:val="20"/>
          <w:szCs w:val="20"/>
        </w:rPr>
        <w:t xml:space="preserve"> in</w:t>
      </w:r>
      <w:r w:rsidR="00067A1C" w:rsidRPr="00C27637">
        <w:rPr>
          <w:rFonts w:ascii="Arial" w:hAnsi="Arial" w:cs="Arial"/>
          <w:sz w:val="20"/>
          <w:szCs w:val="20"/>
        </w:rPr>
        <w:t xml:space="preserve"> </w:t>
      </w:r>
      <w:r w:rsidRPr="00C27637">
        <w:rPr>
          <w:rFonts w:ascii="Arial" w:hAnsi="Arial" w:cs="Arial"/>
          <w:sz w:val="20"/>
          <w:szCs w:val="20"/>
        </w:rPr>
        <w:t>odloka o ožjih delih občin</w:t>
      </w:r>
      <w:r w:rsidR="00067A1C" w:rsidRPr="00C27637">
        <w:rPr>
          <w:rFonts w:ascii="Arial" w:hAnsi="Arial" w:cs="Arial"/>
          <w:sz w:val="20"/>
          <w:szCs w:val="20"/>
        </w:rPr>
        <w:t xml:space="preserve">e in </w:t>
      </w:r>
      <w:r w:rsidRPr="00C27637">
        <w:rPr>
          <w:rFonts w:ascii="Arial" w:hAnsi="Arial" w:cs="Arial"/>
          <w:sz w:val="20"/>
          <w:szCs w:val="20"/>
        </w:rPr>
        <w:t>pravil za izvolitev predstavnikov lokalnih skupnosti v državni svet</w:t>
      </w:r>
      <w:r w:rsidR="00067A1C" w:rsidRPr="00C27637">
        <w:rPr>
          <w:rFonts w:ascii="Arial" w:hAnsi="Arial" w:cs="Arial"/>
          <w:sz w:val="20"/>
          <w:szCs w:val="20"/>
        </w:rPr>
        <w:t>.</w:t>
      </w:r>
      <w:r w:rsidR="00CB7782" w:rsidRPr="00C27637">
        <w:rPr>
          <w:rFonts w:ascii="Arial" w:hAnsi="Arial" w:cs="Arial"/>
          <w:sz w:val="20"/>
          <w:szCs w:val="20"/>
        </w:rPr>
        <w:t xml:space="preserve"> Drugi del je bil izveden kot </w:t>
      </w:r>
      <w:r w:rsidRPr="00C27637">
        <w:rPr>
          <w:rFonts w:ascii="Arial" w:hAnsi="Arial" w:cs="Arial"/>
          <w:sz w:val="20"/>
          <w:szCs w:val="20"/>
        </w:rPr>
        <w:t xml:space="preserve">delovno svetovalni obisk na sedežu </w:t>
      </w:r>
      <w:r w:rsidR="00CB7782" w:rsidRPr="00C27637">
        <w:rPr>
          <w:rFonts w:ascii="Arial" w:hAnsi="Arial" w:cs="Arial"/>
          <w:sz w:val="20"/>
          <w:szCs w:val="20"/>
        </w:rPr>
        <w:t xml:space="preserve">nadzorovane </w:t>
      </w:r>
      <w:r w:rsidRPr="00C27637">
        <w:rPr>
          <w:rFonts w:ascii="Arial" w:hAnsi="Arial" w:cs="Arial"/>
          <w:sz w:val="20"/>
          <w:szCs w:val="20"/>
        </w:rPr>
        <w:t>občine</w:t>
      </w:r>
      <w:r w:rsidR="00CB7782" w:rsidRPr="00C27637">
        <w:rPr>
          <w:rFonts w:ascii="Arial" w:hAnsi="Arial" w:cs="Arial"/>
          <w:sz w:val="20"/>
          <w:szCs w:val="20"/>
        </w:rPr>
        <w:t xml:space="preserve">. Tretji del pa je obsegal </w:t>
      </w:r>
      <w:r w:rsidRPr="00C27637">
        <w:rPr>
          <w:rFonts w:ascii="Arial" w:hAnsi="Arial" w:cs="Arial"/>
          <w:sz w:val="20"/>
          <w:szCs w:val="20"/>
        </w:rPr>
        <w:t>izdajo pisnega opozorila in določit</w:t>
      </w:r>
      <w:r w:rsidR="00360999">
        <w:rPr>
          <w:rFonts w:ascii="Arial" w:hAnsi="Arial" w:cs="Arial"/>
          <w:sz w:val="20"/>
          <w:szCs w:val="20"/>
        </w:rPr>
        <w:t>ev</w:t>
      </w:r>
      <w:r w:rsidRPr="00C27637">
        <w:rPr>
          <w:rFonts w:ascii="Arial" w:hAnsi="Arial" w:cs="Arial"/>
          <w:sz w:val="20"/>
          <w:szCs w:val="20"/>
        </w:rPr>
        <w:t xml:space="preserve"> roka za odpravo neskladnosti določb občinskih predpisov z ustavo in zakoni. </w:t>
      </w:r>
    </w:p>
    <w:p w14:paraId="17CF2D20" w14:textId="77777777" w:rsidR="00914051" w:rsidRPr="00C27637" w:rsidRDefault="00914051" w:rsidP="001F11D8">
      <w:pPr>
        <w:pStyle w:val="podpisi"/>
        <w:spacing w:line="240" w:lineRule="atLeast"/>
        <w:jc w:val="both"/>
        <w:rPr>
          <w:rFonts w:cs="Arial"/>
          <w:szCs w:val="20"/>
          <w:lang w:val="sl-SI"/>
        </w:rPr>
      </w:pPr>
    </w:p>
    <w:p w14:paraId="415AC296" w14:textId="715982E5" w:rsidR="00914051" w:rsidRPr="00C27637" w:rsidRDefault="00914051" w:rsidP="001F11D8">
      <w:pPr>
        <w:pStyle w:val="podpisi"/>
        <w:spacing w:line="240" w:lineRule="atLeast"/>
        <w:jc w:val="both"/>
        <w:rPr>
          <w:rFonts w:cs="Arial"/>
          <w:szCs w:val="20"/>
          <w:lang w:val="sl-SI"/>
        </w:rPr>
      </w:pPr>
      <w:r w:rsidRPr="00C27637">
        <w:rPr>
          <w:rFonts w:cs="Arial"/>
          <w:szCs w:val="20"/>
          <w:lang w:val="sl-SI"/>
        </w:rPr>
        <w:t xml:space="preserve">MJU </w:t>
      </w:r>
      <w:r w:rsidR="00730E37" w:rsidRPr="00C27637">
        <w:rPr>
          <w:rFonts w:cs="Arial"/>
          <w:szCs w:val="20"/>
          <w:lang w:val="sl-SI"/>
        </w:rPr>
        <w:t xml:space="preserve">je </w:t>
      </w:r>
      <w:r w:rsidRPr="00C27637">
        <w:rPr>
          <w:rFonts w:cs="Arial"/>
          <w:szCs w:val="20"/>
          <w:lang w:val="sl-SI"/>
        </w:rPr>
        <w:t>ocen</w:t>
      </w:r>
      <w:r w:rsidR="00360999">
        <w:rPr>
          <w:rFonts w:cs="Arial"/>
          <w:szCs w:val="20"/>
          <w:lang w:val="sl-SI"/>
        </w:rPr>
        <w:t>jevalo</w:t>
      </w:r>
      <w:r w:rsidRPr="00C27637">
        <w:rPr>
          <w:rFonts w:cs="Arial"/>
          <w:szCs w:val="20"/>
          <w:lang w:val="sl-SI"/>
        </w:rPr>
        <w:t xml:space="preserve"> </w:t>
      </w:r>
      <w:r w:rsidR="00360999">
        <w:rPr>
          <w:rFonts w:cs="Arial"/>
          <w:szCs w:val="20"/>
          <w:lang w:val="sl-SI"/>
        </w:rPr>
        <w:t xml:space="preserve">skladnost </w:t>
      </w:r>
      <w:r w:rsidRPr="00C27637">
        <w:rPr>
          <w:rFonts w:cs="Arial"/>
          <w:szCs w:val="20"/>
          <w:lang w:val="sl-SI"/>
        </w:rPr>
        <w:t>občinsk</w:t>
      </w:r>
      <w:r w:rsidR="00360999">
        <w:rPr>
          <w:rFonts w:cs="Arial"/>
          <w:szCs w:val="20"/>
          <w:lang w:val="sl-SI"/>
        </w:rPr>
        <w:t>ih</w:t>
      </w:r>
      <w:r w:rsidR="00EF5C6A">
        <w:rPr>
          <w:rFonts w:cs="Arial"/>
          <w:szCs w:val="20"/>
          <w:lang w:val="sl-SI"/>
        </w:rPr>
        <w:t xml:space="preserve"> </w:t>
      </w:r>
      <w:r w:rsidR="00360999">
        <w:rPr>
          <w:rFonts w:cs="Arial"/>
          <w:szCs w:val="20"/>
          <w:lang w:val="sl-SI"/>
        </w:rPr>
        <w:t>splošnih</w:t>
      </w:r>
      <w:r w:rsidRPr="00C27637">
        <w:rPr>
          <w:rFonts w:cs="Arial"/>
          <w:szCs w:val="20"/>
          <w:lang w:val="sl-SI"/>
        </w:rPr>
        <w:t xml:space="preserve"> akt</w:t>
      </w:r>
      <w:r w:rsidR="00360999">
        <w:rPr>
          <w:rFonts w:cs="Arial"/>
          <w:szCs w:val="20"/>
          <w:lang w:val="sl-SI"/>
        </w:rPr>
        <w:t>ov</w:t>
      </w:r>
      <w:r w:rsidRPr="00C27637">
        <w:rPr>
          <w:rFonts w:cs="Arial"/>
          <w:szCs w:val="20"/>
          <w:lang w:val="sl-SI"/>
        </w:rPr>
        <w:t xml:space="preserve"> tudi z </w:t>
      </w:r>
      <w:r w:rsidR="00360999">
        <w:rPr>
          <w:rFonts w:cs="Arial"/>
          <w:szCs w:val="20"/>
          <w:lang w:val="sl-SI"/>
        </w:rPr>
        <w:t>drugimi področnimi zakoni</w:t>
      </w:r>
      <w:r w:rsidRPr="00C27637">
        <w:rPr>
          <w:rFonts w:cs="Arial"/>
          <w:szCs w:val="20"/>
          <w:lang w:val="sl-SI"/>
        </w:rPr>
        <w:t>, ki veljajo za občine</w:t>
      </w:r>
      <w:r w:rsidR="002A1FC4" w:rsidRPr="00C27637">
        <w:rPr>
          <w:rFonts w:cs="Arial"/>
          <w:szCs w:val="20"/>
          <w:lang w:val="sl-SI"/>
        </w:rPr>
        <w:t>. To so</w:t>
      </w:r>
      <w:r w:rsidR="00983DF0">
        <w:rPr>
          <w:rFonts w:cs="Arial"/>
          <w:szCs w:val="20"/>
          <w:lang w:val="sl-SI"/>
        </w:rPr>
        <w:t xml:space="preserve"> </w:t>
      </w:r>
      <w:r w:rsidRPr="00C27637">
        <w:rPr>
          <w:rFonts w:cs="Arial"/>
          <w:szCs w:val="20"/>
          <w:lang w:val="sl-SI"/>
        </w:rPr>
        <w:t>Zakon o zavodih</w:t>
      </w:r>
      <w:r w:rsidR="00D4144F" w:rsidRPr="00C27637">
        <w:rPr>
          <w:rFonts w:cs="Arial"/>
          <w:szCs w:val="20"/>
          <w:lang w:val="sl-SI"/>
        </w:rPr>
        <w:t>, npr.</w:t>
      </w:r>
      <w:r w:rsidR="005546D4" w:rsidRPr="00C27637">
        <w:rPr>
          <w:rFonts w:cs="Arial"/>
          <w:szCs w:val="20"/>
          <w:lang w:val="sl-SI"/>
        </w:rPr>
        <w:t xml:space="preserve"> glede</w:t>
      </w:r>
      <w:r w:rsidR="00D4144F" w:rsidRPr="00C27637">
        <w:rPr>
          <w:rFonts w:cs="Arial"/>
          <w:szCs w:val="20"/>
          <w:lang w:val="sl-SI"/>
        </w:rPr>
        <w:t xml:space="preserve"> </w:t>
      </w:r>
      <w:r w:rsidRPr="00C27637">
        <w:rPr>
          <w:rFonts w:cs="Arial"/>
          <w:szCs w:val="20"/>
          <w:lang w:val="sl-SI"/>
        </w:rPr>
        <w:t>ustanoviteljsk</w:t>
      </w:r>
      <w:r w:rsidR="005546D4" w:rsidRPr="00C27637">
        <w:rPr>
          <w:rFonts w:cs="Arial"/>
          <w:szCs w:val="20"/>
          <w:lang w:val="sl-SI"/>
        </w:rPr>
        <w:t>ih</w:t>
      </w:r>
      <w:r w:rsidRPr="00C27637">
        <w:rPr>
          <w:rFonts w:cs="Arial"/>
          <w:szCs w:val="20"/>
          <w:lang w:val="sl-SI"/>
        </w:rPr>
        <w:t xml:space="preserve"> razmer</w:t>
      </w:r>
      <w:r w:rsidR="005546D4" w:rsidRPr="00C27637">
        <w:rPr>
          <w:rFonts w:cs="Arial"/>
          <w:szCs w:val="20"/>
          <w:lang w:val="sl-SI"/>
        </w:rPr>
        <w:t>i</w:t>
      </w:r>
      <w:r w:rsidRPr="00C27637">
        <w:rPr>
          <w:rFonts w:cs="Arial"/>
          <w:szCs w:val="20"/>
          <w:lang w:val="sl-SI"/>
        </w:rPr>
        <w:t>j,</w:t>
      </w:r>
      <w:r w:rsidR="002A1FC4" w:rsidRPr="00C27637">
        <w:rPr>
          <w:rFonts w:cs="Arial"/>
          <w:szCs w:val="20"/>
          <w:lang w:val="sl-SI"/>
        </w:rPr>
        <w:t xml:space="preserve"> </w:t>
      </w:r>
      <w:r w:rsidRPr="00C27637">
        <w:rPr>
          <w:rFonts w:cs="Arial"/>
          <w:szCs w:val="20"/>
          <w:lang w:val="sl-SI"/>
        </w:rPr>
        <w:t xml:space="preserve">Zakon o stvarnem premoženju države in samoupravnih lokalnih skupnosti </w:t>
      </w:r>
      <w:r w:rsidR="00D4144F" w:rsidRPr="00C27637">
        <w:rPr>
          <w:rFonts w:cs="Arial"/>
          <w:szCs w:val="20"/>
          <w:lang w:val="sl-SI"/>
        </w:rPr>
        <w:t xml:space="preserve">npr. glede </w:t>
      </w:r>
      <w:r w:rsidRPr="00C27637">
        <w:rPr>
          <w:rFonts w:cs="Arial"/>
          <w:szCs w:val="20"/>
          <w:lang w:val="sl-SI"/>
        </w:rPr>
        <w:t>pristojnost</w:t>
      </w:r>
      <w:r w:rsidR="00D4144F" w:rsidRPr="00C27637">
        <w:rPr>
          <w:rFonts w:cs="Arial"/>
          <w:szCs w:val="20"/>
          <w:lang w:val="sl-SI"/>
        </w:rPr>
        <w:t>i</w:t>
      </w:r>
      <w:r w:rsidRPr="00C27637">
        <w:rPr>
          <w:rFonts w:cs="Arial"/>
          <w:szCs w:val="20"/>
          <w:lang w:val="sl-SI"/>
        </w:rPr>
        <w:t xml:space="preserve"> sprejemanja letnih programov razpolaganja s stvarnim premoženjem občine,</w:t>
      </w:r>
      <w:r w:rsidR="0096083F" w:rsidRPr="00C27637">
        <w:rPr>
          <w:rFonts w:cs="Arial"/>
          <w:szCs w:val="20"/>
          <w:lang w:val="sl-SI"/>
        </w:rPr>
        <w:t xml:space="preserve"> </w:t>
      </w:r>
      <w:r w:rsidRPr="00C27637">
        <w:rPr>
          <w:rFonts w:cs="Arial"/>
          <w:szCs w:val="20"/>
          <w:lang w:val="sl-SI"/>
        </w:rPr>
        <w:t>Zakon o dostopu do informacij javnega značaja</w:t>
      </w:r>
      <w:r w:rsidR="00D4144F" w:rsidRPr="00C27637">
        <w:rPr>
          <w:rFonts w:cs="Arial"/>
          <w:szCs w:val="20"/>
          <w:lang w:val="sl-SI"/>
        </w:rPr>
        <w:t xml:space="preserve">, glede </w:t>
      </w:r>
      <w:r w:rsidRPr="00C27637">
        <w:rPr>
          <w:rFonts w:cs="Arial"/>
          <w:szCs w:val="20"/>
          <w:lang w:val="sl-SI"/>
        </w:rPr>
        <w:t>obvezn</w:t>
      </w:r>
      <w:r w:rsidR="00D4144F" w:rsidRPr="00C27637">
        <w:rPr>
          <w:rFonts w:cs="Arial"/>
          <w:szCs w:val="20"/>
          <w:lang w:val="sl-SI"/>
        </w:rPr>
        <w:t>e</w:t>
      </w:r>
      <w:r w:rsidRPr="00C27637">
        <w:rPr>
          <w:rFonts w:cs="Arial"/>
          <w:szCs w:val="20"/>
          <w:lang w:val="sl-SI"/>
        </w:rPr>
        <w:t xml:space="preserve"> vzpostavitv</w:t>
      </w:r>
      <w:r w:rsidR="00D4144F" w:rsidRPr="00C27637">
        <w:rPr>
          <w:rFonts w:cs="Arial"/>
          <w:szCs w:val="20"/>
          <w:lang w:val="sl-SI"/>
        </w:rPr>
        <w:t>e</w:t>
      </w:r>
      <w:r w:rsidRPr="00C27637">
        <w:rPr>
          <w:rFonts w:cs="Arial"/>
          <w:szCs w:val="20"/>
          <w:lang w:val="sl-SI"/>
        </w:rPr>
        <w:t xml:space="preserve"> in objav</w:t>
      </w:r>
      <w:r w:rsidR="00D4144F" w:rsidRPr="00C27637">
        <w:rPr>
          <w:rFonts w:cs="Arial"/>
          <w:szCs w:val="20"/>
          <w:lang w:val="sl-SI"/>
        </w:rPr>
        <w:t>e</w:t>
      </w:r>
      <w:r w:rsidRPr="00C27637">
        <w:rPr>
          <w:rFonts w:cs="Arial"/>
          <w:szCs w:val="20"/>
          <w:lang w:val="sl-SI"/>
        </w:rPr>
        <w:t xml:space="preserve"> predlogov predpisov in programov na spletni strani občine</w:t>
      </w:r>
      <w:r w:rsidR="0096083F" w:rsidRPr="00C27637">
        <w:rPr>
          <w:rFonts w:cs="Arial"/>
          <w:szCs w:val="20"/>
          <w:lang w:val="sl-SI"/>
        </w:rPr>
        <w:t xml:space="preserve"> </w:t>
      </w:r>
      <w:r w:rsidR="00D4144F" w:rsidRPr="00C27637">
        <w:rPr>
          <w:rFonts w:cs="Arial"/>
          <w:szCs w:val="20"/>
          <w:lang w:val="sl-SI"/>
        </w:rPr>
        <w:t xml:space="preserve">in </w:t>
      </w:r>
      <w:r w:rsidRPr="00C27637">
        <w:rPr>
          <w:rFonts w:cs="Arial"/>
          <w:szCs w:val="20"/>
          <w:lang w:val="sl-SI"/>
        </w:rPr>
        <w:t>Zakon o samoprispevku</w:t>
      </w:r>
      <w:r w:rsidR="00D4144F" w:rsidRPr="00C27637">
        <w:rPr>
          <w:rFonts w:cs="Arial"/>
          <w:szCs w:val="20"/>
          <w:lang w:val="sl-SI"/>
        </w:rPr>
        <w:t>, v delu</w:t>
      </w:r>
      <w:r w:rsidR="00360999">
        <w:rPr>
          <w:rFonts w:cs="Arial"/>
          <w:szCs w:val="20"/>
          <w:lang w:val="sl-SI"/>
        </w:rPr>
        <w:t>, kjer ureja</w:t>
      </w:r>
      <w:r w:rsidR="00D4144F" w:rsidRPr="00C27637">
        <w:rPr>
          <w:rFonts w:cs="Arial"/>
          <w:szCs w:val="20"/>
          <w:lang w:val="sl-SI"/>
        </w:rPr>
        <w:t xml:space="preserve"> </w:t>
      </w:r>
      <w:r w:rsidRPr="00C27637">
        <w:rPr>
          <w:rFonts w:cs="Arial"/>
          <w:szCs w:val="20"/>
          <w:lang w:val="sl-SI"/>
        </w:rPr>
        <w:t>določb</w:t>
      </w:r>
      <w:r w:rsidR="00360999">
        <w:rPr>
          <w:rFonts w:cs="Arial"/>
          <w:szCs w:val="20"/>
          <w:lang w:val="sl-SI"/>
        </w:rPr>
        <w:t>e</w:t>
      </w:r>
      <w:r w:rsidRPr="00C27637">
        <w:rPr>
          <w:rFonts w:cs="Arial"/>
          <w:szCs w:val="20"/>
          <w:lang w:val="sl-SI"/>
        </w:rPr>
        <w:t xml:space="preserve"> statuta o razpisu občinskega samoprispevka</w:t>
      </w:r>
      <w:r w:rsidR="00D4144F" w:rsidRPr="00C27637">
        <w:rPr>
          <w:rFonts w:cs="Arial"/>
          <w:szCs w:val="20"/>
          <w:lang w:val="sl-SI"/>
        </w:rPr>
        <w:t>.</w:t>
      </w:r>
      <w:r w:rsidR="00360999">
        <w:rPr>
          <w:rFonts w:cs="Arial"/>
          <w:szCs w:val="20"/>
          <w:lang w:val="sl-SI"/>
        </w:rPr>
        <w:t xml:space="preserve"> </w:t>
      </w:r>
      <w:r w:rsidR="003B6808">
        <w:rPr>
          <w:rFonts w:cs="Arial"/>
          <w:szCs w:val="20"/>
          <w:lang w:val="sl-SI"/>
        </w:rPr>
        <w:t>Poleg tega so bile občine opozorjene na določbe</w:t>
      </w:r>
      <w:r w:rsidR="00D4144F" w:rsidRPr="00C27637">
        <w:rPr>
          <w:rFonts w:cs="Arial"/>
          <w:szCs w:val="20"/>
          <w:lang w:val="sl-SI"/>
        </w:rPr>
        <w:t xml:space="preserve"> </w:t>
      </w:r>
      <w:r w:rsidRPr="00C27637">
        <w:rPr>
          <w:rFonts w:cs="Arial"/>
          <w:szCs w:val="20"/>
          <w:lang w:val="sl-SI"/>
        </w:rPr>
        <w:t>Dodatn</w:t>
      </w:r>
      <w:r w:rsidR="003B6808">
        <w:rPr>
          <w:rFonts w:cs="Arial"/>
          <w:szCs w:val="20"/>
          <w:lang w:val="sl-SI"/>
        </w:rPr>
        <w:t>ega</w:t>
      </w:r>
      <w:r w:rsidRPr="00C27637">
        <w:rPr>
          <w:rFonts w:cs="Arial"/>
          <w:szCs w:val="20"/>
          <w:lang w:val="sl-SI"/>
        </w:rPr>
        <w:t xml:space="preserve"> protokol</w:t>
      </w:r>
      <w:r w:rsidR="003B6808">
        <w:rPr>
          <w:rFonts w:cs="Arial"/>
          <w:szCs w:val="20"/>
          <w:lang w:val="sl-SI"/>
        </w:rPr>
        <w:t>a</w:t>
      </w:r>
      <w:r w:rsidRPr="00C27637">
        <w:rPr>
          <w:rFonts w:cs="Arial"/>
          <w:szCs w:val="20"/>
          <w:lang w:val="sl-SI"/>
        </w:rPr>
        <w:t xml:space="preserve"> k Evropski listini lokalne samouprave o pravici do sodelovanja pri vprašanjih lokalne oblasti</w:t>
      </w:r>
      <w:r w:rsidR="00B9661A" w:rsidRPr="00C27637">
        <w:rPr>
          <w:rFonts w:cs="Arial"/>
          <w:szCs w:val="20"/>
          <w:lang w:val="sl-SI"/>
        </w:rPr>
        <w:t xml:space="preserve">, </w:t>
      </w:r>
      <w:r w:rsidR="003B6808">
        <w:rPr>
          <w:rFonts w:cs="Arial"/>
          <w:szCs w:val="20"/>
          <w:lang w:val="sl-SI"/>
        </w:rPr>
        <w:t xml:space="preserve">na </w:t>
      </w:r>
      <w:r w:rsidRPr="00C27637">
        <w:rPr>
          <w:rFonts w:cs="Arial"/>
          <w:szCs w:val="20"/>
          <w:lang w:val="sl-SI"/>
        </w:rPr>
        <w:t>Uredb</w:t>
      </w:r>
      <w:r w:rsidR="00D4144F" w:rsidRPr="00C27637">
        <w:rPr>
          <w:rFonts w:cs="Arial"/>
          <w:szCs w:val="20"/>
          <w:lang w:val="sl-SI"/>
        </w:rPr>
        <w:t>o</w:t>
      </w:r>
      <w:r w:rsidRPr="00C27637">
        <w:rPr>
          <w:rFonts w:cs="Arial"/>
          <w:szCs w:val="20"/>
          <w:lang w:val="sl-SI"/>
        </w:rPr>
        <w:t xml:space="preserve"> o upravnem poslovanju, ki ureja hrambo dokumentov </w:t>
      </w:r>
      <w:r w:rsidR="00B9661A" w:rsidRPr="00C27637">
        <w:rPr>
          <w:rFonts w:cs="Arial"/>
          <w:szCs w:val="20"/>
          <w:lang w:val="sl-SI"/>
        </w:rPr>
        <w:t xml:space="preserve">ter </w:t>
      </w:r>
      <w:r w:rsidR="003B6808">
        <w:rPr>
          <w:rFonts w:cs="Arial"/>
          <w:szCs w:val="20"/>
          <w:lang w:val="sl-SI"/>
        </w:rPr>
        <w:t xml:space="preserve">na </w:t>
      </w:r>
      <w:r w:rsidRPr="00C27637">
        <w:rPr>
          <w:rFonts w:cs="Arial"/>
          <w:szCs w:val="20"/>
          <w:lang w:val="sl-SI"/>
        </w:rPr>
        <w:t>Resolucij</w:t>
      </w:r>
      <w:r w:rsidR="00D4144F" w:rsidRPr="00C27637">
        <w:rPr>
          <w:rFonts w:cs="Arial"/>
          <w:szCs w:val="20"/>
          <w:lang w:val="sl-SI"/>
        </w:rPr>
        <w:t>o</w:t>
      </w:r>
      <w:r w:rsidRPr="00C27637">
        <w:rPr>
          <w:rFonts w:cs="Arial"/>
          <w:szCs w:val="20"/>
          <w:lang w:val="sl-SI"/>
        </w:rPr>
        <w:t xml:space="preserve"> o normativni dejavnosti</w:t>
      </w:r>
      <w:r w:rsidR="00B9661A" w:rsidRPr="00C27637">
        <w:rPr>
          <w:rFonts w:cs="Arial"/>
          <w:szCs w:val="20"/>
          <w:lang w:val="sl-SI"/>
        </w:rPr>
        <w:t>, ki določa obveznost sodelovanja javnosti pri sprejemanju predpisov</w:t>
      </w:r>
      <w:r w:rsidRPr="00C27637">
        <w:rPr>
          <w:rFonts w:cs="Arial"/>
          <w:szCs w:val="20"/>
          <w:lang w:val="sl-SI"/>
        </w:rPr>
        <w:t>.</w:t>
      </w:r>
    </w:p>
    <w:p w14:paraId="51E7DAD8" w14:textId="77777777" w:rsidR="00914051" w:rsidRPr="00C27637" w:rsidRDefault="00914051" w:rsidP="001F11D8">
      <w:pPr>
        <w:pStyle w:val="podpisi"/>
        <w:spacing w:line="240" w:lineRule="atLeast"/>
        <w:jc w:val="both"/>
        <w:rPr>
          <w:rFonts w:cs="Arial"/>
          <w:szCs w:val="20"/>
          <w:lang w:val="sl-SI"/>
        </w:rPr>
      </w:pPr>
    </w:p>
    <w:p w14:paraId="595A3A9D" w14:textId="265E7FCD" w:rsidR="00914051" w:rsidRPr="00C27637" w:rsidRDefault="00914051" w:rsidP="001F11D8">
      <w:pPr>
        <w:pStyle w:val="podpisi"/>
        <w:spacing w:line="240" w:lineRule="atLeast"/>
        <w:jc w:val="both"/>
        <w:rPr>
          <w:rFonts w:cs="Arial"/>
          <w:szCs w:val="20"/>
          <w:lang w:val="sl-SI"/>
        </w:rPr>
      </w:pPr>
      <w:r w:rsidRPr="00A27643">
        <w:rPr>
          <w:rFonts w:cs="Arial"/>
          <w:szCs w:val="20"/>
          <w:lang w:val="sl-SI"/>
        </w:rPr>
        <w:t xml:space="preserve">MJU </w:t>
      </w:r>
      <w:r w:rsidR="00730E37" w:rsidRPr="00A27643">
        <w:rPr>
          <w:rFonts w:cs="Arial"/>
          <w:szCs w:val="20"/>
          <w:lang w:val="sl-SI"/>
        </w:rPr>
        <w:t xml:space="preserve">je </w:t>
      </w:r>
      <w:r w:rsidRPr="00A27643">
        <w:rPr>
          <w:rFonts w:cs="Arial"/>
          <w:szCs w:val="20"/>
          <w:lang w:val="sl-SI"/>
        </w:rPr>
        <w:t>opozori</w:t>
      </w:r>
      <w:r w:rsidR="00730E37" w:rsidRPr="00A27643">
        <w:rPr>
          <w:rFonts w:cs="Arial"/>
          <w:szCs w:val="20"/>
          <w:lang w:val="sl-SI"/>
        </w:rPr>
        <w:t>lo</w:t>
      </w:r>
      <w:r w:rsidRPr="00A27643">
        <w:rPr>
          <w:rFonts w:cs="Arial"/>
          <w:szCs w:val="20"/>
          <w:lang w:val="sl-SI"/>
        </w:rPr>
        <w:t xml:space="preserve"> občine tudi na uskladitev občinskih predpisov s tremi zakoni, ki sicer ne sodijo v pristojnost MJU, so pa zaradi svoje vsebine tesno povezani s temeljnimi predpisi občine, katerih skladnost z državnimi predpisi spremlja MJU. Gre za</w:t>
      </w:r>
      <w:r w:rsidR="00894D19" w:rsidRPr="00A27643">
        <w:rPr>
          <w:rFonts w:cs="Arial"/>
          <w:szCs w:val="20"/>
          <w:lang w:val="sl-SI"/>
        </w:rPr>
        <w:t xml:space="preserve"> </w:t>
      </w:r>
      <w:r w:rsidRPr="00A27643">
        <w:rPr>
          <w:rFonts w:cs="Arial"/>
          <w:szCs w:val="20"/>
          <w:lang w:val="sl-SI"/>
        </w:rPr>
        <w:t>Zakon o romski skupnosti (</w:t>
      </w:r>
      <w:r w:rsidR="00E97A60" w:rsidRPr="00A27643">
        <w:rPr>
          <w:rFonts w:cs="Arial"/>
          <w:szCs w:val="20"/>
          <w:lang w:val="sl-SI"/>
        </w:rPr>
        <w:t xml:space="preserve">glede </w:t>
      </w:r>
      <w:r w:rsidRPr="00A27643">
        <w:rPr>
          <w:rFonts w:cs="Arial"/>
          <w:szCs w:val="20"/>
          <w:lang w:val="sl-SI"/>
        </w:rPr>
        <w:t>posebn</w:t>
      </w:r>
      <w:r w:rsidR="00E97A60" w:rsidRPr="00A27643">
        <w:rPr>
          <w:rFonts w:cs="Arial"/>
          <w:szCs w:val="20"/>
          <w:lang w:val="sl-SI"/>
        </w:rPr>
        <w:t>ega</w:t>
      </w:r>
      <w:r w:rsidRPr="00A27643">
        <w:rPr>
          <w:rFonts w:cs="Arial"/>
          <w:szCs w:val="20"/>
          <w:lang w:val="sl-SI"/>
        </w:rPr>
        <w:t xml:space="preserve"> delovn</w:t>
      </w:r>
      <w:r w:rsidR="00E97A60" w:rsidRPr="00A27643">
        <w:rPr>
          <w:rFonts w:cs="Arial"/>
          <w:szCs w:val="20"/>
          <w:lang w:val="sl-SI"/>
        </w:rPr>
        <w:t>ega</w:t>
      </w:r>
      <w:r w:rsidRPr="00A27643">
        <w:rPr>
          <w:rFonts w:cs="Arial"/>
          <w:szCs w:val="20"/>
          <w:lang w:val="sl-SI"/>
        </w:rPr>
        <w:t xml:space="preserve"> tel</w:t>
      </w:r>
      <w:r w:rsidR="00E97A60" w:rsidRPr="00A27643">
        <w:rPr>
          <w:rFonts w:cs="Arial"/>
          <w:szCs w:val="20"/>
          <w:lang w:val="sl-SI"/>
        </w:rPr>
        <w:t>esa</w:t>
      </w:r>
      <w:r w:rsidRPr="00A27643">
        <w:rPr>
          <w:rFonts w:cs="Arial"/>
          <w:szCs w:val="20"/>
          <w:lang w:val="sl-SI"/>
        </w:rPr>
        <w:t xml:space="preserve"> za področje Romov),</w:t>
      </w:r>
      <w:r w:rsidR="00894D19" w:rsidRPr="00A27643">
        <w:rPr>
          <w:rFonts w:cs="Arial"/>
          <w:szCs w:val="20"/>
          <w:lang w:val="sl-SI"/>
        </w:rPr>
        <w:t xml:space="preserve"> </w:t>
      </w:r>
      <w:r w:rsidRPr="00A27643">
        <w:rPr>
          <w:rFonts w:cs="Arial"/>
          <w:szCs w:val="20"/>
          <w:lang w:val="sl-SI"/>
        </w:rPr>
        <w:t>Z</w:t>
      </w:r>
      <w:r w:rsidRPr="00A27643">
        <w:rPr>
          <w:rFonts w:cs="Arial"/>
          <w:bCs/>
          <w:szCs w:val="20"/>
          <w:lang w:val="sl-SI"/>
        </w:rPr>
        <w:t>akon o javnih financah (sestava in vsebina proračuna občine oziroma odloka o</w:t>
      </w:r>
      <w:r w:rsidRPr="00A27643">
        <w:rPr>
          <w:rFonts w:cs="Arial"/>
          <w:szCs w:val="20"/>
          <w:lang w:val="sl-SI"/>
        </w:rPr>
        <w:t xml:space="preserve"> </w:t>
      </w:r>
      <w:r w:rsidRPr="00A27643">
        <w:rPr>
          <w:rFonts w:cs="Arial"/>
          <w:bCs/>
          <w:szCs w:val="20"/>
          <w:lang w:val="sl-SI"/>
        </w:rPr>
        <w:t>občinskem proračunu) in</w:t>
      </w:r>
      <w:r w:rsidR="00894D19" w:rsidRPr="00A27643">
        <w:rPr>
          <w:rFonts w:cs="Arial"/>
          <w:szCs w:val="20"/>
          <w:lang w:val="sl-SI"/>
        </w:rPr>
        <w:t xml:space="preserve"> </w:t>
      </w:r>
      <w:r w:rsidRPr="00A27643">
        <w:rPr>
          <w:rFonts w:cs="Arial"/>
          <w:szCs w:val="20"/>
          <w:lang w:val="sl-SI"/>
        </w:rPr>
        <w:t>Zakon o integriteti in preprečevanju korupcije (konflikt interesov in nezdružljivost).</w:t>
      </w:r>
      <w:r w:rsidR="00B9661A" w:rsidRPr="00A27643">
        <w:rPr>
          <w:rFonts w:cs="Arial"/>
          <w:szCs w:val="20"/>
          <w:lang w:val="sl-SI"/>
        </w:rPr>
        <w:t xml:space="preserve"> </w:t>
      </w:r>
      <w:r w:rsidRPr="00C27637">
        <w:rPr>
          <w:rFonts w:cs="Arial"/>
          <w:szCs w:val="20"/>
          <w:lang w:val="sl-SI"/>
        </w:rPr>
        <w:t>V teh primerih</w:t>
      </w:r>
      <w:r w:rsidR="00A70081" w:rsidRPr="00C27637">
        <w:rPr>
          <w:rFonts w:cs="Arial"/>
          <w:szCs w:val="20"/>
          <w:lang w:val="sl-SI"/>
        </w:rPr>
        <w:t xml:space="preserve"> je</w:t>
      </w:r>
      <w:r w:rsidRPr="00C27637">
        <w:rPr>
          <w:rFonts w:cs="Arial"/>
          <w:szCs w:val="20"/>
          <w:lang w:val="sl-SI"/>
        </w:rPr>
        <w:t xml:space="preserve"> MJU </w:t>
      </w:r>
      <w:r w:rsidR="00A70081" w:rsidRPr="00C27637">
        <w:rPr>
          <w:rFonts w:cs="Arial"/>
          <w:szCs w:val="20"/>
          <w:lang w:val="sl-SI"/>
        </w:rPr>
        <w:t>ob ugotovitvi nepravilnosti</w:t>
      </w:r>
      <w:r w:rsidR="002C28B7" w:rsidRPr="00C27637">
        <w:rPr>
          <w:rFonts w:cs="Arial"/>
          <w:szCs w:val="20"/>
          <w:lang w:val="sl-SI"/>
        </w:rPr>
        <w:t xml:space="preserve"> </w:t>
      </w:r>
      <w:r w:rsidRPr="00C27637">
        <w:rPr>
          <w:rFonts w:cs="Arial"/>
          <w:szCs w:val="20"/>
          <w:lang w:val="sl-SI"/>
        </w:rPr>
        <w:t>občine</w:t>
      </w:r>
      <w:r w:rsidR="00360999">
        <w:rPr>
          <w:rFonts w:cs="Arial"/>
          <w:szCs w:val="20"/>
          <w:lang w:val="sl-SI"/>
        </w:rPr>
        <w:t xml:space="preserve"> izdalo</w:t>
      </w:r>
      <w:r w:rsidR="002C28B7" w:rsidRPr="00C27637">
        <w:rPr>
          <w:rFonts w:cs="Arial"/>
          <w:szCs w:val="20"/>
          <w:lang w:val="sl-SI"/>
        </w:rPr>
        <w:t xml:space="preserve"> zgolj</w:t>
      </w:r>
      <w:r w:rsidRPr="00C27637">
        <w:rPr>
          <w:rFonts w:cs="Arial"/>
          <w:szCs w:val="20"/>
          <w:lang w:val="sl-SI"/>
        </w:rPr>
        <w:t xml:space="preserve"> opozori</w:t>
      </w:r>
      <w:r w:rsidR="00A70081" w:rsidRPr="00C27637">
        <w:rPr>
          <w:rFonts w:cs="Arial"/>
          <w:szCs w:val="20"/>
          <w:lang w:val="sl-SI"/>
        </w:rPr>
        <w:t>lo</w:t>
      </w:r>
      <w:r w:rsidRPr="00C27637">
        <w:rPr>
          <w:rFonts w:cs="Arial"/>
          <w:szCs w:val="20"/>
          <w:lang w:val="sl-SI"/>
        </w:rPr>
        <w:t xml:space="preserve">, da preverijo </w:t>
      </w:r>
      <w:r w:rsidR="00360999">
        <w:rPr>
          <w:rFonts w:cs="Arial"/>
          <w:szCs w:val="20"/>
          <w:lang w:val="sl-SI"/>
        </w:rPr>
        <w:t>vsebinsko ustreznost</w:t>
      </w:r>
      <w:r w:rsidR="006C7390">
        <w:rPr>
          <w:rFonts w:cs="Arial"/>
          <w:szCs w:val="20"/>
          <w:lang w:val="sl-SI"/>
        </w:rPr>
        <w:t xml:space="preserve"> </w:t>
      </w:r>
      <w:r w:rsidRPr="00C27637">
        <w:rPr>
          <w:rFonts w:cs="Arial"/>
          <w:szCs w:val="20"/>
          <w:lang w:val="sl-SI"/>
        </w:rPr>
        <w:t xml:space="preserve">občinskih temeljnih aktov z navedenimi </w:t>
      </w:r>
      <w:r w:rsidR="00360999">
        <w:rPr>
          <w:rFonts w:cs="Arial"/>
          <w:szCs w:val="20"/>
          <w:lang w:val="sl-SI"/>
        </w:rPr>
        <w:t>zakoni</w:t>
      </w:r>
      <w:r w:rsidRPr="00C27637">
        <w:rPr>
          <w:rFonts w:cs="Arial"/>
          <w:szCs w:val="20"/>
          <w:lang w:val="sl-SI"/>
        </w:rPr>
        <w:t xml:space="preserve"> ter da se pri tem po strokovno pomoč obrnejo na državne organe, pristojne za vsebino navedenih predpisov. </w:t>
      </w:r>
    </w:p>
    <w:p w14:paraId="75878049" w14:textId="77777777" w:rsidR="00914051" w:rsidRPr="00C27637" w:rsidRDefault="00914051" w:rsidP="00914051">
      <w:pPr>
        <w:pStyle w:val="podpisi"/>
        <w:spacing w:line="240" w:lineRule="exact"/>
        <w:jc w:val="both"/>
        <w:rPr>
          <w:rFonts w:cs="Arial"/>
          <w:szCs w:val="20"/>
          <w:lang w:val="sl-SI"/>
        </w:rPr>
      </w:pPr>
    </w:p>
    <w:p w14:paraId="6A5155E5" w14:textId="6A4577D1" w:rsidR="00914051" w:rsidRPr="00C27637" w:rsidRDefault="00980B46" w:rsidP="00914051">
      <w:pPr>
        <w:spacing w:line="240" w:lineRule="exact"/>
        <w:jc w:val="both"/>
        <w:rPr>
          <w:rFonts w:ascii="Arial" w:hAnsi="Arial" w:cs="Arial"/>
          <w:b/>
          <w:sz w:val="20"/>
          <w:szCs w:val="20"/>
        </w:rPr>
      </w:pPr>
      <w:r w:rsidRPr="00C27637">
        <w:rPr>
          <w:rFonts w:ascii="Arial" w:hAnsi="Arial" w:cs="Arial"/>
          <w:b/>
          <w:sz w:val="20"/>
          <w:szCs w:val="20"/>
        </w:rPr>
        <w:t>3.</w:t>
      </w:r>
      <w:r w:rsidR="00914051" w:rsidRPr="00C27637">
        <w:rPr>
          <w:rFonts w:ascii="Arial" w:hAnsi="Arial" w:cs="Arial"/>
          <w:b/>
          <w:sz w:val="20"/>
          <w:szCs w:val="20"/>
        </w:rPr>
        <w:t xml:space="preserve"> </w:t>
      </w:r>
      <w:r w:rsidR="000F386F">
        <w:rPr>
          <w:rFonts w:ascii="Arial" w:hAnsi="Arial" w:cs="Arial"/>
          <w:b/>
          <w:sz w:val="20"/>
          <w:szCs w:val="20"/>
        </w:rPr>
        <w:t>Opozorilo</w:t>
      </w:r>
      <w:r w:rsidR="00914051" w:rsidRPr="00C27637">
        <w:rPr>
          <w:rFonts w:ascii="Arial" w:hAnsi="Arial" w:cs="Arial"/>
          <w:b/>
          <w:sz w:val="20"/>
          <w:szCs w:val="20"/>
        </w:rPr>
        <w:t>, ki ga izda Ministrstvo za javno upravo</w:t>
      </w:r>
    </w:p>
    <w:p w14:paraId="4D592941" w14:textId="44A327DA" w:rsidR="00914051" w:rsidRPr="00C27637" w:rsidRDefault="00914051" w:rsidP="001F11D8">
      <w:pPr>
        <w:spacing w:after="0" w:line="240" w:lineRule="atLeast"/>
        <w:jc w:val="both"/>
        <w:rPr>
          <w:rFonts w:ascii="Arial" w:hAnsi="Arial" w:cs="Arial"/>
          <w:sz w:val="20"/>
          <w:szCs w:val="20"/>
        </w:rPr>
      </w:pPr>
      <w:r w:rsidRPr="00C27637">
        <w:rPr>
          <w:rFonts w:ascii="Arial" w:hAnsi="Arial" w:cs="Arial"/>
          <w:sz w:val="20"/>
          <w:szCs w:val="20"/>
        </w:rPr>
        <w:t xml:space="preserve">Po opravljenem strokovnem nadzoru </w:t>
      </w:r>
      <w:r w:rsidR="00150749" w:rsidRPr="00C27637">
        <w:rPr>
          <w:rFonts w:ascii="Arial" w:hAnsi="Arial" w:cs="Arial"/>
          <w:sz w:val="20"/>
          <w:szCs w:val="20"/>
        </w:rPr>
        <w:t xml:space="preserve">je </w:t>
      </w:r>
      <w:r w:rsidRPr="00C27637">
        <w:rPr>
          <w:rFonts w:ascii="Arial" w:hAnsi="Arial" w:cs="Arial"/>
          <w:sz w:val="20"/>
          <w:szCs w:val="20"/>
        </w:rPr>
        <w:t>MJU</w:t>
      </w:r>
      <w:r w:rsidR="0025630C" w:rsidRPr="0025630C">
        <w:rPr>
          <w:rFonts w:ascii="Arial" w:hAnsi="Arial" w:cs="Arial"/>
          <w:sz w:val="20"/>
          <w:szCs w:val="20"/>
        </w:rPr>
        <w:t xml:space="preserve"> </w:t>
      </w:r>
      <w:r w:rsidR="0025630C" w:rsidRPr="00C27637">
        <w:rPr>
          <w:rFonts w:ascii="Arial" w:hAnsi="Arial" w:cs="Arial"/>
          <w:sz w:val="20"/>
          <w:szCs w:val="20"/>
        </w:rPr>
        <w:t xml:space="preserve">na podlagi 88.a člena Zakona o lokalni samoupravi in </w:t>
      </w:r>
      <w:r w:rsidR="005D053A">
        <w:rPr>
          <w:rFonts w:ascii="Arial" w:hAnsi="Arial" w:cs="Arial"/>
          <w:sz w:val="20"/>
          <w:szCs w:val="20"/>
        </w:rPr>
        <w:br/>
      </w:r>
      <w:r w:rsidR="0025630C" w:rsidRPr="00C27637">
        <w:rPr>
          <w:rFonts w:ascii="Arial" w:hAnsi="Arial" w:cs="Arial"/>
          <w:sz w:val="20"/>
          <w:szCs w:val="20"/>
        </w:rPr>
        <w:t>64. člena Zakona o državni upravi</w:t>
      </w:r>
      <w:r w:rsidRPr="00C27637">
        <w:rPr>
          <w:rFonts w:ascii="Arial" w:hAnsi="Arial" w:cs="Arial"/>
          <w:sz w:val="20"/>
          <w:szCs w:val="20"/>
        </w:rPr>
        <w:t xml:space="preserve"> </w:t>
      </w:r>
      <w:r w:rsidR="00150749" w:rsidRPr="00C27637">
        <w:rPr>
          <w:rFonts w:ascii="Arial" w:hAnsi="Arial" w:cs="Arial"/>
          <w:sz w:val="20"/>
          <w:szCs w:val="20"/>
        </w:rPr>
        <w:t xml:space="preserve">vsaki občini </w:t>
      </w:r>
      <w:r w:rsidRPr="00C27637">
        <w:rPr>
          <w:rFonts w:ascii="Arial" w:hAnsi="Arial" w:cs="Arial"/>
          <w:sz w:val="20"/>
          <w:szCs w:val="20"/>
        </w:rPr>
        <w:t>izda</w:t>
      </w:r>
      <w:r w:rsidR="00150749" w:rsidRPr="00C27637">
        <w:rPr>
          <w:rFonts w:ascii="Arial" w:hAnsi="Arial" w:cs="Arial"/>
          <w:sz w:val="20"/>
          <w:szCs w:val="20"/>
        </w:rPr>
        <w:t>lo</w:t>
      </w:r>
      <w:r w:rsidRPr="00C27637">
        <w:rPr>
          <w:rFonts w:ascii="Arial" w:hAnsi="Arial" w:cs="Arial"/>
          <w:sz w:val="20"/>
          <w:szCs w:val="20"/>
        </w:rPr>
        <w:t xml:space="preserve"> pisno opozorilo. S pisnim opozorilom </w:t>
      </w:r>
      <w:r w:rsidR="001A7A3F" w:rsidRPr="00C27637">
        <w:rPr>
          <w:rFonts w:ascii="Arial" w:hAnsi="Arial" w:cs="Arial"/>
          <w:sz w:val="20"/>
          <w:szCs w:val="20"/>
        </w:rPr>
        <w:t xml:space="preserve">je </w:t>
      </w:r>
      <w:r w:rsidRPr="00C27637">
        <w:rPr>
          <w:rFonts w:ascii="Arial" w:hAnsi="Arial" w:cs="Arial"/>
          <w:sz w:val="20"/>
          <w:szCs w:val="20"/>
        </w:rPr>
        <w:t>MJU opozori</w:t>
      </w:r>
      <w:r w:rsidR="001A7A3F" w:rsidRPr="00C27637">
        <w:rPr>
          <w:rFonts w:ascii="Arial" w:hAnsi="Arial" w:cs="Arial"/>
          <w:sz w:val="20"/>
          <w:szCs w:val="20"/>
        </w:rPr>
        <w:t>lo</w:t>
      </w:r>
      <w:r w:rsidRPr="00C27637">
        <w:rPr>
          <w:rFonts w:ascii="Arial" w:hAnsi="Arial" w:cs="Arial"/>
          <w:sz w:val="20"/>
          <w:szCs w:val="20"/>
        </w:rPr>
        <w:t xml:space="preserve"> na konkretna neskladja pregledanih občinskih aktov z ustavo in zakoni ter določi</w:t>
      </w:r>
      <w:r w:rsidR="003121C2" w:rsidRPr="00C27637">
        <w:rPr>
          <w:rFonts w:ascii="Arial" w:hAnsi="Arial" w:cs="Arial"/>
          <w:sz w:val="20"/>
          <w:szCs w:val="20"/>
        </w:rPr>
        <w:t>lo</w:t>
      </w:r>
      <w:r w:rsidRPr="00C27637">
        <w:rPr>
          <w:rFonts w:ascii="Arial" w:hAnsi="Arial" w:cs="Arial"/>
          <w:sz w:val="20"/>
          <w:szCs w:val="20"/>
        </w:rPr>
        <w:t xml:space="preserve"> šestmesečni rok, v katerem naj občina uskladi akte.</w:t>
      </w:r>
      <w:r w:rsidR="00EF5C6A">
        <w:rPr>
          <w:rFonts w:ascii="Arial" w:hAnsi="Arial" w:cs="Arial"/>
          <w:sz w:val="20"/>
          <w:szCs w:val="20"/>
        </w:rPr>
        <w:t xml:space="preserve"> </w:t>
      </w:r>
    </w:p>
    <w:p w14:paraId="0C68F94C" w14:textId="05C28D57" w:rsidR="004D335A" w:rsidRPr="00C27637" w:rsidRDefault="004D335A" w:rsidP="00175B0F">
      <w:pPr>
        <w:spacing w:after="0" w:line="240" w:lineRule="auto"/>
        <w:rPr>
          <w:rFonts w:ascii="Arial" w:hAnsi="Arial" w:cs="Arial"/>
          <w:sz w:val="20"/>
          <w:szCs w:val="20"/>
        </w:rPr>
      </w:pPr>
    </w:p>
    <w:p w14:paraId="13B50465" w14:textId="77777777" w:rsidR="00922D6C" w:rsidRDefault="00922D6C" w:rsidP="00175B0F">
      <w:pPr>
        <w:spacing w:after="0" w:line="240" w:lineRule="auto"/>
        <w:rPr>
          <w:rFonts w:ascii="Arial" w:hAnsi="Arial" w:cs="Arial"/>
          <w:sz w:val="20"/>
          <w:szCs w:val="20"/>
        </w:rPr>
      </w:pPr>
    </w:p>
    <w:p w14:paraId="423CBF05" w14:textId="77777777" w:rsidR="005D053A" w:rsidRDefault="005D053A" w:rsidP="00175B0F">
      <w:pPr>
        <w:spacing w:after="0" w:line="240" w:lineRule="auto"/>
        <w:rPr>
          <w:rFonts w:ascii="Arial" w:hAnsi="Arial" w:cs="Arial"/>
          <w:sz w:val="20"/>
          <w:szCs w:val="20"/>
        </w:rPr>
      </w:pPr>
    </w:p>
    <w:p w14:paraId="2F790114" w14:textId="77777777" w:rsidR="005D053A" w:rsidRDefault="005D053A" w:rsidP="00175B0F">
      <w:pPr>
        <w:spacing w:after="0" w:line="240" w:lineRule="auto"/>
        <w:rPr>
          <w:rFonts w:ascii="Arial" w:hAnsi="Arial" w:cs="Arial"/>
          <w:sz w:val="20"/>
          <w:szCs w:val="20"/>
        </w:rPr>
      </w:pPr>
    </w:p>
    <w:p w14:paraId="502B2312" w14:textId="77777777" w:rsidR="005D053A" w:rsidRPr="00C27637" w:rsidRDefault="005D053A" w:rsidP="00175B0F">
      <w:pPr>
        <w:spacing w:after="0" w:line="240" w:lineRule="auto"/>
        <w:rPr>
          <w:rFonts w:ascii="Arial" w:hAnsi="Arial" w:cs="Arial"/>
          <w:sz w:val="20"/>
          <w:szCs w:val="20"/>
        </w:rPr>
      </w:pPr>
    </w:p>
    <w:p w14:paraId="3B2AE6E9" w14:textId="68268BD5" w:rsidR="00914051" w:rsidRPr="00C27637" w:rsidRDefault="00914051" w:rsidP="00175B0F">
      <w:pPr>
        <w:spacing w:after="0" w:line="240" w:lineRule="auto"/>
        <w:rPr>
          <w:rFonts w:ascii="Arial" w:hAnsi="Arial" w:cs="Arial"/>
          <w:b/>
          <w:sz w:val="20"/>
          <w:szCs w:val="20"/>
        </w:rPr>
      </w:pPr>
      <w:r w:rsidRPr="00C27637">
        <w:rPr>
          <w:rFonts w:ascii="Arial" w:hAnsi="Arial" w:cs="Arial"/>
          <w:b/>
          <w:sz w:val="20"/>
          <w:szCs w:val="20"/>
          <w:lang w:eastAsia="sl-SI"/>
        </w:rPr>
        <w:t>II</w:t>
      </w:r>
      <w:r w:rsidR="00980B46" w:rsidRPr="00C27637">
        <w:rPr>
          <w:rFonts w:ascii="Arial" w:hAnsi="Arial" w:cs="Arial"/>
          <w:b/>
          <w:sz w:val="20"/>
          <w:szCs w:val="20"/>
          <w:lang w:eastAsia="sl-SI"/>
        </w:rPr>
        <w:t>I</w:t>
      </w:r>
      <w:r w:rsidRPr="00C27637">
        <w:rPr>
          <w:rFonts w:ascii="Arial" w:hAnsi="Arial" w:cs="Arial"/>
          <w:b/>
          <w:sz w:val="20"/>
          <w:szCs w:val="20"/>
          <w:lang w:eastAsia="sl-SI"/>
        </w:rPr>
        <w:t>.</w:t>
      </w:r>
      <w:r w:rsidR="00EF5C6A">
        <w:rPr>
          <w:rFonts w:ascii="Arial" w:hAnsi="Arial" w:cs="Arial"/>
          <w:b/>
          <w:sz w:val="20"/>
          <w:szCs w:val="20"/>
        </w:rPr>
        <w:t xml:space="preserve"> </w:t>
      </w:r>
      <w:r w:rsidRPr="00C27637">
        <w:rPr>
          <w:rFonts w:ascii="Arial" w:hAnsi="Arial" w:cs="Arial"/>
          <w:b/>
          <w:sz w:val="20"/>
          <w:szCs w:val="20"/>
        </w:rPr>
        <w:t>P</w:t>
      </w:r>
      <w:r w:rsidR="00CC5C55" w:rsidRPr="00C27637">
        <w:rPr>
          <w:rFonts w:ascii="Arial" w:hAnsi="Arial" w:cs="Arial"/>
          <w:b/>
          <w:sz w:val="20"/>
          <w:szCs w:val="20"/>
        </w:rPr>
        <w:t>regled opravljenih strokovnih nadzorov in uskladitev občinskih predpisov od leta 2013 do leta 20</w:t>
      </w:r>
      <w:r w:rsidR="00980B46" w:rsidRPr="00C27637">
        <w:rPr>
          <w:rFonts w:ascii="Arial" w:hAnsi="Arial" w:cs="Arial"/>
          <w:b/>
          <w:sz w:val="20"/>
          <w:szCs w:val="20"/>
        </w:rPr>
        <w:t>20</w:t>
      </w:r>
    </w:p>
    <w:p w14:paraId="31CB457B" w14:textId="77777777" w:rsidR="00922D6C" w:rsidRPr="00C27637" w:rsidRDefault="00922D6C" w:rsidP="00914051">
      <w:pPr>
        <w:spacing w:line="240" w:lineRule="auto"/>
        <w:rPr>
          <w:rFonts w:ascii="Arial" w:hAnsi="Arial" w:cs="Arial"/>
          <w:sz w:val="20"/>
          <w:szCs w:val="20"/>
          <w:lang w:eastAsia="sl-SI"/>
        </w:rPr>
      </w:pPr>
    </w:p>
    <w:p w14:paraId="4D252FAF" w14:textId="776E8CC8" w:rsidR="00914051" w:rsidRPr="00C27637" w:rsidRDefault="00914051" w:rsidP="00914051">
      <w:pPr>
        <w:spacing w:line="240" w:lineRule="exact"/>
        <w:jc w:val="both"/>
        <w:rPr>
          <w:rFonts w:ascii="Arial" w:hAnsi="Arial" w:cs="Arial"/>
          <w:b/>
          <w:bCs/>
          <w:sz w:val="20"/>
          <w:szCs w:val="20"/>
        </w:rPr>
      </w:pPr>
      <w:r w:rsidRPr="00C27637">
        <w:rPr>
          <w:rFonts w:ascii="Arial" w:hAnsi="Arial" w:cs="Arial"/>
          <w:b/>
          <w:bCs/>
          <w:sz w:val="20"/>
          <w:szCs w:val="20"/>
        </w:rPr>
        <w:t>1. Pr</w:t>
      </w:r>
      <w:r w:rsidR="008B6A8B" w:rsidRPr="00C27637">
        <w:rPr>
          <w:rFonts w:ascii="Arial" w:hAnsi="Arial" w:cs="Arial"/>
          <w:b/>
          <w:bCs/>
          <w:sz w:val="20"/>
          <w:szCs w:val="20"/>
        </w:rPr>
        <w:t xml:space="preserve">egled dosedanjih aktivnosti </w:t>
      </w:r>
      <w:r w:rsidR="00BF095B">
        <w:rPr>
          <w:rFonts w:ascii="Arial" w:hAnsi="Arial" w:cs="Arial"/>
          <w:b/>
          <w:bCs/>
          <w:sz w:val="20"/>
          <w:szCs w:val="20"/>
        </w:rPr>
        <w:t>MJU</w:t>
      </w:r>
    </w:p>
    <w:p w14:paraId="7BC30352" w14:textId="50A71761" w:rsidR="00E159AD" w:rsidRDefault="00E159AD" w:rsidP="00E159AD">
      <w:pPr>
        <w:spacing w:after="0" w:line="240" w:lineRule="atLeast"/>
        <w:jc w:val="both"/>
        <w:rPr>
          <w:rFonts w:ascii="Arial" w:hAnsi="Arial" w:cs="Arial"/>
          <w:sz w:val="20"/>
          <w:szCs w:val="20"/>
        </w:rPr>
      </w:pPr>
      <w:r>
        <w:rPr>
          <w:rFonts w:ascii="Arial" w:hAnsi="Arial" w:cs="Arial"/>
          <w:sz w:val="20"/>
          <w:szCs w:val="20"/>
        </w:rPr>
        <w:t xml:space="preserve">V skladu s 64. členom Zakona o državni upravi, nadzorstvo nad zakonitostjo aktov iz pristojnosti lokalnih skupnosti opravljajo samo ministrstva, vladne službe pa ne. Zato do leta 2008 sistematičnega nadzora nad predpisi s področja lokalne samouprave ni izvajalo nobeno ministrstvo. Državni organ, pristojen za sistem lokalne samouprave, je bila do leta 2000 Služba za lokalno samoupravo kot samostojna vladna služba. Ta je opravljala le svetovalne obiske, ni pa izdajala pisnih opozoril, ker za to ni imela pravne podlage. Iz istega razloga teh nalog med letoma 2004 in 2008 ni opravljala Služba Vlade RS za lokalno samoupravo in regionalno politiko (SVLR). V času, ko je bila pristojnost nad sistemom lokalne samouprave umeščena v Ministrstvo za notranje zadeve, je to opravilo manjši del strokovnih pregledov,  v krajšem obdobju, ko je to pristojnost opravljalo Ministrstvo za pravosodje in javno upravo (MPJU), pa </w:t>
      </w:r>
      <w:r w:rsidR="005962F0">
        <w:rPr>
          <w:rFonts w:ascii="Arial" w:hAnsi="Arial" w:cs="Arial"/>
          <w:sz w:val="20"/>
          <w:szCs w:val="20"/>
        </w:rPr>
        <w:t xml:space="preserve">se </w:t>
      </w:r>
      <w:r>
        <w:rPr>
          <w:rFonts w:ascii="Arial" w:hAnsi="Arial" w:cs="Arial"/>
          <w:sz w:val="20"/>
          <w:szCs w:val="20"/>
        </w:rPr>
        <w:t xml:space="preserve">nadzorov ni izvajalo. </w:t>
      </w:r>
    </w:p>
    <w:p w14:paraId="371D38A8" w14:textId="77777777" w:rsidR="00E159AD" w:rsidRDefault="00E159AD" w:rsidP="001F11D8">
      <w:pPr>
        <w:spacing w:after="0" w:line="240" w:lineRule="atLeast"/>
        <w:jc w:val="both"/>
        <w:rPr>
          <w:rFonts w:ascii="Arial" w:hAnsi="Arial" w:cs="Arial"/>
          <w:sz w:val="20"/>
          <w:szCs w:val="20"/>
        </w:rPr>
      </w:pPr>
    </w:p>
    <w:p w14:paraId="51F78721" w14:textId="0FB08D10" w:rsidR="0010469D" w:rsidRDefault="00914051" w:rsidP="00BD2A36">
      <w:pPr>
        <w:ind w:right="-6"/>
        <w:jc w:val="both"/>
        <w:rPr>
          <w:rFonts w:ascii="Arial" w:hAnsi="Arial" w:cs="Arial"/>
          <w:sz w:val="20"/>
          <w:szCs w:val="20"/>
        </w:rPr>
      </w:pPr>
      <w:r w:rsidRPr="00C27637">
        <w:rPr>
          <w:rFonts w:ascii="Arial" w:hAnsi="Arial" w:cs="Arial"/>
          <w:sz w:val="20"/>
          <w:szCs w:val="20"/>
        </w:rPr>
        <w:t xml:space="preserve">Dolgoletna odsotnost tovrstnega nadzora se kaže v pogostih napakah občinskih predpisov, ki so posledica tako napačne uporabe zakonov kot tudi </w:t>
      </w:r>
      <w:proofErr w:type="spellStart"/>
      <w:r w:rsidRPr="00C27637">
        <w:rPr>
          <w:rFonts w:ascii="Arial" w:hAnsi="Arial" w:cs="Arial"/>
          <w:sz w:val="20"/>
          <w:szCs w:val="20"/>
        </w:rPr>
        <w:t>neažuriranih</w:t>
      </w:r>
      <w:proofErr w:type="spellEnd"/>
      <w:r w:rsidRPr="00C27637">
        <w:rPr>
          <w:rFonts w:ascii="Arial" w:hAnsi="Arial" w:cs="Arial"/>
          <w:sz w:val="20"/>
          <w:szCs w:val="20"/>
        </w:rPr>
        <w:t xml:space="preserve"> predpisov zaradi sprememb področne zakonodaje ali pravnih praznin. Da bi stanje uredili, je bil v letu 2013 sprejet načrt za sistematično izvedbo strokovnih nadzorov občinskih predpisov v vseh 212 občinah. V letu 2013 in deloma v začetku leta 2014</w:t>
      </w:r>
      <w:r w:rsidR="004A2FF4" w:rsidRPr="00C27637">
        <w:rPr>
          <w:rFonts w:ascii="Arial" w:hAnsi="Arial" w:cs="Arial"/>
          <w:sz w:val="20"/>
          <w:szCs w:val="20"/>
        </w:rPr>
        <w:t xml:space="preserve"> </w:t>
      </w:r>
      <w:r w:rsidRPr="00C27637">
        <w:rPr>
          <w:rFonts w:ascii="Arial" w:hAnsi="Arial" w:cs="Arial"/>
          <w:sz w:val="20"/>
          <w:szCs w:val="20"/>
        </w:rPr>
        <w:t>je MJU opravilo nadzor v 47 občinah, v letu 2015</w:t>
      </w:r>
      <w:r w:rsidR="00EF5C6A">
        <w:rPr>
          <w:rFonts w:ascii="Arial" w:hAnsi="Arial" w:cs="Arial"/>
          <w:sz w:val="20"/>
          <w:szCs w:val="20"/>
        </w:rPr>
        <w:t xml:space="preserve"> </w:t>
      </w:r>
      <w:r w:rsidRPr="00C27637">
        <w:rPr>
          <w:rFonts w:ascii="Arial" w:hAnsi="Arial" w:cs="Arial"/>
          <w:sz w:val="20"/>
          <w:szCs w:val="20"/>
        </w:rPr>
        <w:t xml:space="preserve">v 50 občinah, v letu 2016 v 45 občinah in v letu 2017 v 70 občinah, kar prikazuje </w:t>
      </w:r>
      <w:r w:rsidR="00E808DC">
        <w:rPr>
          <w:rFonts w:ascii="Arial" w:hAnsi="Arial" w:cs="Arial"/>
          <w:sz w:val="20"/>
          <w:szCs w:val="20"/>
        </w:rPr>
        <w:t>G</w:t>
      </w:r>
      <w:r w:rsidRPr="00C27637">
        <w:rPr>
          <w:rFonts w:ascii="Arial" w:hAnsi="Arial" w:cs="Arial"/>
          <w:sz w:val="20"/>
          <w:szCs w:val="20"/>
        </w:rPr>
        <w:t>raf 1.</w:t>
      </w:r>
    </w:p>
    <w:p w14:paraId="07476E1D" w14:textId="4D585D13" w:rsidR="00A26573" w:rsidRPr="00C27637" w:rsidRDefault="00A26573" w:rsidP="00A26573">
      <w:pPr>
        <w:ind w:right="425"/>
        <w:jc w:val="both"/>
        <w:rPr>
          <w:rFonts w:ascii="Arial" w:eastAsia="Calibri" w:hAnsi="Arial" w:cs="Arial"/>
          <w:i/>
          <w:sz w:val="18"/>
          <w:szCs w:val="18"/>
        </w:rPr>
      </w:pPr>
      <w:r w:rsidRPr="00C27637">
        <w:rPr>
          <w:rFonts w:ascii="Arial" w:eastAsia="Calibri" w:hAnsi="Arial" w:cs="Arial"/>
          <w:sz w:val="18"/>
          <w:szCs w:val="18"/>
        </w:rPr>
        <w:t>Graf 1:</w:t>
      </w:r>
      <w:r w:rsidRPr="00C27637">
        <w:rPr>
          <w:rFonts w:ascii="Arial" w:eastAsia="Calibri" w:hAnsi="Arial" w:cs="Arial"/>
          <w:i/>
          <w:sz w:val="18"/>
          <w:szCs w:val="18"/>
        </w:rPr>
        <w:t xml:space="preserve"> Izveden strokovni nadzor</w:t>
      </w:r>
      <w:r w:rsidRPr="00C27637">
        <w:rPr>
          <w:rFonts w:ascii="Arial" w:hAnsi="Arial" w:cs="Arial"/>
          <w:sz w:val="18"/>
          <w:szCs w:val="18"/>
        </w:rPr>
        <w:t xml:space="preserve"> </w:t>
      </w:r>
      <w:r w:rsidRPr="00C27637">
        <w:rPr>
          <w:rFonts w:ascii="Arial" w:hAnsi="Arial" w:cs="Arial"/>
          <w:i/>
          <w:sz w:val="18"/>
          <w:szCs w:val="18"/>
        </w:rPr>
        <w:t>MJU</w:t>
      </w:r>
      <w:r w:rsidRPr="00C27637">
        <w:rPr>
          <w:rFonts w:ascii="Arial" w:eastAsia="Calibri" w:hAnsi="Arial" w:cs="Arial"/>
          <w:i/>
          <w:sz w:val="18"/>
          <w:szCs w:val="18"/>
        </w:rPr>
        <w:t xml:space="preserve"> po številu občin na leto od leta 2013 do leta 2017. </w:t>
      </w:r>
    </w:p>
    <w:p w14:paraId="5A57FDAA" w14:textId="77777777" w:rsidR="00A26573" w:rsidRPr="00C27637" w:rsidRDefault="00A26573" w:rsidP="00A26573">
      <w:pPr>
        <w:ind w:right="425"/>
        <w:jc w:val="both"/>
        <w:rPr>
          <w:rFonts w:ascii="Arial" w:eastAsia="Calibri" w:hAnsi="Arial" w:cs="Arial"/>
          <w:i/>
          <w:sz w:val="18"/>
          <w:szCs w:val="18"/>
        </w:rPr>
      </w:pPr>
      <w:bookmarkStart w:id="1" w:name="_GoBack"/>
      <w:r w:rsidRPr="000E126C">
        <w:rPr>
          <w:noProof/>
          <w:lang w:eastAsia="sl-SI"/>
        </w:rPr>
        <w:drawing>
          <wp:inline distT="0" distB="0" distL="0" distR="0" wp14:anchorId="7CAB4642" wp14:editId="05E1A29A">
            <wp:extent cx="5372100" cy="2543175"/>
            <wp:effectExtent l="0" t="0" r="0" b="9525"/>
            <wp:docPr id="6" name="Grafikon 6" descr="Grafični prikaz (tortni prikaz) podatkov, v koliko občinah je bil v posameznem obdobju opravljen strokovni nadzor. ">
              <a:extLst xmlns:a="http://schemas.openxmlformats.org/drawingml/2006/main">
                <a:ext uri="{FF2B5EF4-FFF2-40B4-BE49-F238E27FC236}">
                  <a16:creationId xmlns:a16="http://schemas.microsoft.com/office/drawing/2014/main" id="{FD14FAFE-91AF-42D7-B5E6-0A7E7F54C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1"/>
    </w:p>
    <w:p w14:paraId="51B658ED" w14:textId="77777777" w:rsidR="00232E1C" w:rsidRDefault="00232E1C" w:rsidP="00752AB8">
      <w:pPr>
        <w:spacing w:after="0" w:line="240" w:lineRule="atLeast"/>
        <w:jc w:val="both"/>
        <w:rPr>
          <w:rFonts w:ascii="Arial" w:hAnsi="Arial" w:cs="Arial"/>
          <w:sz w:val="20"/>
          <w:szCs w:val="20"/>
        </w:rPr>
      </w:pPr>
    </w:p>
    <w:p w14:paraId="71DADE92" w14:textId="77777777" w:rsidR="00232E1C" w:rsidRDefault="00232E1C" w:rsidP="00752AB8">
      <w:pPr>
        <w:spacing w:after="0" w:line="240" w:lineRule="atLeast"/>
        <w:jc w:val="both"/>
        <w:rPr>
          <w:rFonts w:ascii="Arial" w:hAnsi="Arial" w:cs="Arial"/>
          <w:sz w:val="20"/>
          <w:szCs w:val="20"/>
        </w:rPr>
      </w:pPr>
    </w:p>
    <w:p w14:paraId="155C6F0B" w14:textId="7C099E1D" w:rsidR="004A2FF4" w:rsidRDefault="006E4EB3" w:rsidP="00752AB8">
      <w:pPr>
        <w:spacing w:after="0" w:line="240" w:lineRule="atLeast"/>
        <w:jc w:val="both"/>
        <w:rPr>
          <w:rFonts w:ascii="Arial" w:hAnsi="Arial" w:cs="Arial"/>
          <w:sz w:val="20"/>
          <w:szCs w:val="20"/>
        </w:rPr>
      </w:pPr>
      <w:r w:rsidRPr="00C27637">
        <w:rPr>
          <w:rFonts w:ascii="Arial" w:hAnsi="Arial" w:cs="Arial"/>
          <w:sz w:val="20"/>
          <w:szCs w:val="20"/>
        </w:rPr>
        <w:t xml:space="preserve">Potek pregledanih predpisov po občinah je bil v vseh letih </w:t>
      </w:r>
      <w:r w:rsidR="00E73B07" w:rsidRPr="00C27637">
        <w:rPr>
          <w:rFonts w:ascii="Arial" w:hAnsi="Arial" w:cs="Arial"/>
          <w:sz w:val="20"/>
          <w:szCs w:val="20"/>
        </w:rPr>
        <w:t xml:space="preserve">nadzorov </w:t>
      </w:r>
      <w:r w:rsidRPr="00C27637">
        <w:rPr>
          <w:rFonts w:ascii="Arial" w:hAnsi="Arial" w:cs="Arial"/>
          <w:sz w:val="20"/>
          <w:szCs w:val="20"/>
        </w:rPr>
        <w:t xml:space="preserve">sorazmerno usklajen in je v posameznem letu opravljenega nadzora potekal tako v manjših, srednjih </w:t>
      </w:r>
      <w:r w:rsidR="00E55819" w:rsidRPr="00C27637">
        <w:rPr>
          <w:rFonts w:ascii="Arial" w:hAnsi="Arial" w:cs="Arial"/>
          <w:sz w:val="20"/>
          <w:szCs w:val="20"/>
        </w:rPr>
        <w:t>kot v</w:t>
      </w:r>
      <w:r w:rsidRPr="00C27637">
        <w:rPr>
          <w:rFonts w:ascii="Arial" w:hAnsi="Arial" w:cs="Arial"/>
          <w:sz w:val="20"/>
          <w:szCs w:val="20"/>
        </w:rPr>
        <w:t xml:space="preserve"> mestnih občinah</w:t>
      </w:r>
      <w:r w:rsidR="00E55819" w:rsidRPr="00C27637">
        <w:rPr>
          <w:rFonts w:ascii="Arial" w:hAnsi="Arial" w:cs="Arial"/>
          <w:sz w:val="20"/>
          <w:szCs w:val="20"/>
        </w:rPr>
        <w:t>.</w:t>
      </w:r>
      <w:r w:rsidR="00FF5F88" w:rsidRPr="00C27637">
        <w:rPr>
          <w:rFonts w:ascii="Arial" w:hAnsi="Arial" w:cs="Arial"/>
          <w:sz w:val="20"/>
          <w:szCs w:val="20"/>
        </w:rPr>
        <w:t xml:space="preserve"> Pri tem je bil </w:t>
      </w:r>
      <w:r w:rsidR="00A46A33" w:rsidRPr="00C27637">
        <w:rPr>
          <w:rFonts w:ascii="Arial" w:hAnsi="Arial" w:cs="Arial"/>
          <w:sz w:val="20"/>
          <w:szCs w:val="20"/>
        </w:rPr>
        <w:t xml:space="preserve">v posameznem letu nadzora </w:t>
      </w:r>
      <w:r w:rsidR="004F7361">
        <w:rPr>
          <w:rFonts w:ascii="Arial" w:hAnsi="Arial" w:cs="Arial"/>
          <w:sz w:val="20"/>
          <w:szCs w:val="20"/>
        </w:rPr>
        <w:t>izbor</w:t>
      </w:r>
      <w:r w:rsidR="00FF5F88" w:rsidRPr="00C27637">
        <w:rPr>
          <w:rFonts w:ascii="Arial" w:hAnsi="Arial" w:cs="Arial"/>
          <w:sz w:val="20"/>
          <w:szCs w:val="20"/>
        </w:rPr>
        <w:t xml:space="preserve"> občin </w:t>
      </w:r>
      <w:r w:rsidR="00302AE9" w:rsidRPr="00C27637">
        <w:rPr>
          <w:rFonts w:ascii="Arial" w:hAnsi="Arial" w:cs="Arial"/>
          <w:sz w:val="20"/>
          <w:szCs w:val="20"/>
        </w:rPr>
        <w:t xml:space="preserve">razpršen </w:t>
      </w:r>
      <w:r w:rsidR="00FF5F88" w:rsidRPr="00C27637">
        <w:rPr>
          <w:rFonts w:ascii="Arial" w:hAnsi="Arial" w:cs="Arial"/>
          <w:sz w:val="20"/>
          <w:szCs w:val="20"/>
        </w:rPr>
        <w:t>po celotnem območju države</w:t>
      </w:r>
      <w:r w:rsidR="00A46A33" w:rsidRPr="00C27637">
        <w:rPr>
          <w:rFonts w:ascii="Arial" w:hAnsi="Arial" w:cs="Arial"/>
          <w:sz w:val="20"/>
          <w:szCs w:val="20"/>
        </w:rPr>
        <w:t>.</w:t>
      </w:r>
      <w:r w:rsidR="00FF5F88" w:rsidRPr="00C27637">
        <w:rPr>
          <w:rFonts w:ascii="Arial" w:hAnsi="Arial" w:cs="Arial"/>
          <w:sz w:val="20"/>
          <w:szCs w:val="20"/>
        </w:rPr>
        <w:t xml:space="preserve"> </w:t>
      </w:r>
      <w:r w:rsidR="004A2FF4" w:rsidRPr="00C27637">
        <w:rPr>
          <w:rFonts w:ascii="Arial" w:hAnsi="Arial" w:cs="Arial"/>
          <w:sz w:val="20"/>
          <w:szCs w:val="20"/>
        </w:rPr>
        <w:t>V volilnem letu 2014 MJU strokovnih nadzorov ni opravljal</w:t>
      </w:r>
      <w:r w:rsidR="00315E6A">
        <w:rPr>
          <w:rFonts w:ascii="Arial" w:hAnsi="Arial" w:cs="Arial"/>
          <w:sz w:val="20"/>
          <w:szCs w:val="20"/>
        </w:rPr>
        <w:t>o</w:t>
      </w:r>
      <w:r w:rsidR="004A2FF4" w:rsidRPr="00C27637">
        <w:rPr>
          <w:rFonts w:ascii="Arial" w:hAnsi="Arial" w:cs="Arial"/>
          <w:sz w:val="20"/>
          <w:szCs w:val="20"/>
        </w:rPr>
        <w:t xml:space="preserve">. </w:t>
      </w:r>
    </w:p>
    <w:p w14:paraId="1803C7A8" w14:textId="77777777" w:rsidR="00752AB8" w:rsidRDefault="00752AB8" w:rsidP="00752AB8">
      <w:pPr>
        <w:spacing w:after="0" w:line="240" w:lineRule="atLeast"/>
        <w:jc w:val="both"/>
        <w:rPr>
          <w:rFonts w:ascii="Arial" w:eastAsia="Calibri" w:hAnsi="Arial" w:cs="Arial"/>
          <w:i/>
          <w:sz w:val="18"/>
          <w:szCs w:val="18"/>
        </w:rPr>
      </w:pPr>
    </w:p>
    <w:p w14:paraId="21ED5C55" w14:textId="77777777" w:rsidR="005D053A" w:rsidRDefault="005D053A" w:rsidP="00752AB8">
      <w:pPr>
        <w:spacing w:after="0" w:line="240" w:lineRule="atLeast"/>
        <w:jc w:val="both"/>
        <w:rPr>
          <w:rFonts w:ascii="Arial" w:eastAsia="Calibri" w:hAnsi="Arial" w:cs="Arial"/>
          <w:i/>
          <w:sz w:val="18"/>
          <w:szCs w:val="18"/>
        </w:rPr>
      </w:pPr>
    </w:p>
    <w:p w14:paraId="29FBE6D9" w14:textId="77777777" w:rsidR="005D053A" w:rsidRDefault="005D053A" w:rsidP="00752AB8">
      <w:pPr>
        <w:spacing w:after="0" w:line="240" w:lineRule="atLeast"/>
        <w:jc w:val="both"/>
        <w:rPr>
          <w:rFonts w:ascii="Arial" w:eastAsia="Calibri" w:hAnsi="Arial" w:cs="Arial"/>
          <w:i/>
          <w:sz w:val="18"/>
          <w:szCs w:val="18"/>
        </w:rPr>
      </w:pPr>
    </w:p>
    <w:p w14:paraId="3FD3CEA0" w14:textId="77777777" w:rsidR="005D053A" w:rsidRDefault="005D053A" w:rsidP="00752AB8">
      <w:pPr>
        <w:spacing w:after="0" w:line="240" w:lineRule="atLeast"/>
        <w:jc w:val="both"/>
        <w:rPr>
          <w:rFonts w:ascii="Arial" w:eastAsia="Calibri" w:hAnsi="Arial" w:cs="Arial"/>
          <w:i/>
          <w:sz w:val="18"/>
          <w:szCs w:val="18"/>
        </w:rPr>
      </w:pPr>
    </w:p>
    <w:p w14:paraId="3BAAA804" w14:textId="77777777" w:rsidR="005D053A" w:rsidRDefault="005D053A" w:rsidP="00752AB8">
      <w:pPr>
        <w:spacing w:after="0" w:line="240" w:lineRule="atLeast"/>
        <w:jc w:val="both"/>
        <w:rPr>
          <w:rFonts w:ascii="Arial" w:eastAsia="Calibri" w:hAnsi="Arial" w:cs="Arial"/>
          <w:i/>
          <w:sz w:val="18"/>
          <w:szCs w:val="18"/>
        </w:rPr>
      </w:pPr>
    </w:p>
    <w:p w14:paraId="1CFC7DC4" w14:textId="77777777" w:rsidR="005D053A" w:rsidRDefault="005D053A" w:rsidP="00752AB8">
      <w:pPr>
        <w:spacing w:after="0" w:line="240" w:lineRule="atLeast"/>
        <w:jc w:val="both"/>
        <w:rPr>
          <w:rFonts w:ascii="Arial" w:eastAsia="Calibri" w:hAnsi="Arial" w:cs="Arial"/>
          <w:i/>
          <w:sz w:val="18"/>
          <w:szCs w:val="18"/>
        </w:rPr>
      </w:pPr>
    </w:p>
    <w:p w14:paraId="1D7199A7" w14:textId="77777777" w:rsidR="005D053A" w:rsidRDefault="005D053A" w:rsidP="00752AB8">
      <w:pPr>
        <w:spacing w:after="0" w:line="240" w:lineRule="atLeast"/>
        <w:jc w:val="both"/>
        <w:rPr>
          <w:rFonts w:ascii="Arial" w:eastAsia="Calibri" w:hAnsi="Arial" w:cs="Arial"/>
          <w:i/>
          <w:sz w:val="18"/>
          <w:szCs w:val="18"/>
        </w:rPr>
      </w:pPr>
    </w:p>
    <w:p w14:paraId="2A206027" w14:textId="77777777" w:rsidR="005D053A" w:rsidRDefault="005D053A" w:rsidP="00752AB8">
      <w:pPr>
        <w:spacing w:after="0" w:line="240" w:lineRule="atLeast"/>
        <w:jc w:val="both"/>
        <w:rPr>
          <w:rFonts w:ascii="Arial" w:eastAsia="Calibri" w:hAnsi="Arial" w:cs="Arial"/>
          <w:i/>
          <w:sz w:val="18"/>
          <w:szCs w:val="18"/>
        </w:rPr>
      </w:pPr>
    </w:p>
    <w:p w14:paraId="371592C2" w14:textId="77777777" w:rsidR="005D053A" w:rsidRDefault="005D053A" w:rsidP="00752AB8">
      <w:pPr>
        <w:spacing w:after="0" w:line="240" w:lineRule="atLeast"/>
        <w:jc w:val="both"/>
        <w:rPr>
          <w:rFonts w:ascii="Arial" w:eastAsia="Calibri" w:hAnsi="Arial" w:cs="Arial"/>
          <w:i/>
          <w:sz w:val="18"/>
          <w:szCs w:val="18"/>
        </w:rPr>
      </w:pPr>
    </w:p>
    <w:p w14:paraId="544BC7AA" w14:textId="77777777" w:rsidR="005D053A" w:rsidRDefault="005D053A" w:rsidP="00752AB8">
      <w:pPr>
        <w:spacing w:after="0" w:line="240" w:lineRule="atLeast"/>
        <w:jc w:val="both"/>
        <w:rPr>
          <w:rFonts w:ascii="Arial" w:eastAsia="Calibri" w:hAnsi="Arial" w:cs="Arial"/>
          <w:i/>
          <w:sz w:val="18"/>
          <w:szCs w:val="18"/>
        </w:rPr>
      </w:pPr>
    </w:p>
    <w:p w14:paraId="28C38EA3" w14:textId="3E8AD196" w:rsidR="00C8448B" w:rsidRPr="00C27637" w:rsidRDefault="00C8448B" w:rsidP="00C8448B">
      <w:pPr>
        <w:spacing w:line="240" w:lineRule="auto"/>
        <w:jc w:val="both"/>
        <w:rPr>
          <w:rFonts w:ascii="Arial" w:hAnsi="Arial" w:cs="Arial"/>
          <w:sz w:val="18"/>
          <w:szCs w:val="18"/>
        </w:rPr>
      </w:pPr>
      <w:r w:rsidRPr="00C27637">
        <w:rPr>
          <w:rFonts w:ascii="Arial" w:eastAsia="Calibri" w:hAnsi="Arial" w:cs="Arial"/>
          <w:i/>
          <w:sz w:val="18"/>
          <w:szCs w:val="18"/>
        </w:rPr>
        <w:t>Slika 1: Grafični prikaz pregledanih občin v Republiki Sloveniji v letih od 2013 do 2017.</w:t>
      </w:r>
      <w:r w:rsidRPr="00C27637">
        <w:rPr>
          <w:rFonts w:ascii="Arial" w:hAnsi="Arial" w:cs="Arial"/>
          <w:sz w:val="18"/>
          <w:szCs w:val="18"/>
        </w:rPr>
        <w:t xml:space="preserve"> </w:t>
      </w:r>
    </w:p>
    <w:p w14:paraId="7143D7CE" w14:textId="77777777" w:rsidR="00C8448B" w:rsidRPr="00C27637" w:rsidRDefault="00C8448B" w:rsidP="00C8448B">
      <w:pPr>
        <w:keepLines/>
        <w:spacing w:line="240" w:lineRule="auto"/>
        <w:jc w:val="both"/>
        <w:rPr>
          <w:rFonts w:cs="Arial"/>
          <w:szCs w:val="20"/>
        </w:rPr>
      </w:pPr>
      <w:r w:rsidRPr="000E126C">
        <w:rPr>
          <w:noProof/>
          <w:sz w:val="18"/>
          <w:szCs w:val="18"/>
          <w:lang w:eastAsia="sl-SI"/>
        </w:rPr>
        <w:drawing>
          <wp:inline distT="0" distB="0" distL="0" distR="0" wp14:anchorId="52BAFCCF" wp14:editId="3763104C">
            <wp:extent cx="5395183" cy="3459707"/>
            <wp:effectExtent l="0" t="0" r="0" b="7620"/>
            <wp:docPr id="5" name="Slika 5" descr="Zemljevid Slovenije, razdeljen na občine. Na zemljevidu je z različnimi barvami označeno, v katerem obdobju pregleda je bila pregledana posamezna občina (2013–14, 2015, 2016, 2017 in janua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1" cstate="print">
                      <a:extLst>
                        <a:ext uri="{28A0092B-C50C-407E-A947-70E740481C1C}">
                          <a14:useLocalDpi xmlns:a14="http://schemas.microsoft.com/office/drawing/2010/main" val="0"/>
                        </a:ext>
                      </a:extLst>
                    </a:blip>
                    <a:srcRect l="1895" t="6433" r="4616" b="5283"/>
                    <a:stretch>
                      <a:fillRect/>
                    </a:stretch>
                  </pic:blipFill>
                  <pic:spPr bwMode="auto">
                    <a:xfrm>
                      <a:off x="0" y="0"/>
                      <a:ext cx="5410872" cy="3469768"/>
                    </a:xfrm>
                    <a:prstGeom prst="rect">
                      <a:avLst/>
                    </a:prstGeom>
                    <a:noFill/>
                    <a:ln>
                      <a:noFill/>
                    </a:ln>
                  </pic:spPr>
                </pic:pic>
              </a:graphicData>
            </a:graphic>
          </wp:inline>
        </w:drawing>
      </w:r>
    </w:p>
    <w:p w14:paraId="577D697D" w14:textId="77777777" w:rsidR="00ED1585" w:rsidRDefault="00ED1585" w:rsidP="001F11D8">
      <w:pPr>
        <w:spacing w:after="0" w:line="240" w:lineRule="atLeast"/>
        <w:jc w:val="both"/>
        <w:rPr>
          <w:rFonts w:ascii="Arial" w:hAnsi="Arial" w:cs="Arial"/>
          <w:sz w:val="20"/>
          <w:szCs w:val="20"/>
        </w:rPr>
      </w:pPr>
    </w:p>
    <w:p w14:paraId="140990EB" w14:textId="77777777" w:rsidR="00232E1C" w:rsidRPr="00C27637" w:rsidRDefault="00232E1C" w:rsidP="001F11D8">
      <w:pPr>
        <w:spacing w:after="0" w:line="240" w:lineRule="atLeast"/>
        <w:jc w:val="both"/>
        <w:rPr>
          <w:rFonts w:ascii="Arial" w:hAnsi="Arial" w:cs="Arial"/>
          <w:sz w:val="20"/>
          <w:szCs w:val="20"/>
        </w:rPr>
      </w:pPr>
    </w:p>
    <w:p w14:paraId="1807B40A" w14:textId="360FC18B" w:rsidR="001F11D8" w:rsidRPr="00C27637" w:rsidRDefault="00914051" w:rsidP="001F11D8">
      <w:pPr>
        <w:spacing w:after="0" w:line="240" w:lineRule="atLeast"/>
        <w:jc w:val="both"/>
        <w:rPr>
          <w:rFonts w:ascii="Arial" w:hAnsi="Arial" w:cs="Arial"/>
          <w:sz w:val="20"/>
          <w:szCs w:val="20"/>
        </w:rPr>
      </w:pPr>
      <w:r w:rsidRPr="00C27637">
        <w:rPr>
          <w:rFonts w:ascii="Arial" w:hAnsi="Arial" w:cs="Arial"/>
          <w:sz w:val="20"/>
          <w:szCs w:val="20"/>
        </w:rPr>
        <w:t xml:space="preserve">Učinek nadzora je </w:t>
      </w:r>
      <w:r w:rsidR="009409F7" w:rsidRPr="00C27637">
        <w:rPr>
          <w:rFonts w:ascii="Arial" w:hAnsi="Arial" w:cs="Arial"/>
          <w:sz w:val="20"/>
          <w:szCs w:val="20"/>
        </w:rPr>
        <w:t>bil</w:t>
      </w:r>
      <w:r w:rsidRPr="00C27637">
        <w:rPr>
          <w:rFonts w:ascii="Arial" w:hAnsi="Arial" w:cs="Arial"/>
          <w:sz w:val="20"/>
          <w:szCs w:val="20"/>
        </w:rPr>
        <w:t xml:space="preserve"> zadovoljiv</w:t>
      </w:r>
      <w:r w:rsidR="00F1625C">
        <w:rPr>
          <w:rFonts w:ascii="Arial" w:hAnsi="Arial" w:cs="Arial"/>
          <w:sz w:val="20"/>
          <w:szCs w:val="20"/>
        </w:rPr>
        <w:t xml:space="preserve">. V </w:t>
      </w:r>
      <w:r w:rsidRPr="00C27637">
        <w:rPr>
          <w:rFonts w:ascii="Arial" w:hAnsi="Arial" w:cs="Arial"/>
          <w:sz w:val="20"/>
          <w:szCs w:val="20"/>
        </w:rPr>
        <w:t xml:space="preserve">večini občin, v katerih je bil nadzor </w:t>
      </w:r>
      <w:r w:rsidR="00F1625C" w:rsidRPr="00C27637">
        <w:rPr>
          <w:rFonts w:ascii="Arial" w:hAnsi="Arial" w:cs="Arial"/>
          <w:sz w:val="20"/>
          <w:szCs w:val="20"/>
        </w:rPr>
        <w:t xml:space="preserve">opravljen </w:t>
      </w:r>
      <w:r w:rsidRPr="00C27637">
        <w:rPr>
          <w:rFonts w:ascii="Arial" w:hAnsi="Arial" w:cs="Arial"/>
          <w:sz w:val="20"/>
          <w:szCs w:val="20"/>
        </w:rPr>
        <w:t>med letoma 2013 in 2016, so občine v celoti ali deloma uskladile predpise. V letu 20</w:t>
      </w:r>
      <w:r w:rsidR="00A35D94" w:rsidRPr="00C27637">
        <w:rPr>
          <w:rFonts w:ascii="Arial" w:hAnsi="Arial" w:cs="Arial"/>
          <w:sz w:val="20"/>
          <w:szCs w:val="20"/>
        </w:rPr>
        <w:t>17</w:t>
      </w:r>
      <w:r w:rsidRPr="00C27637">
        <w:rPr>
          <w:rFonts w:ascii="Arial" w:hAnsi="Arial" w:cs="Arial"/>
          <w:sz w:val="20"/>
          <w:szCs w:val="20"/>
        </w:rPr>
        <w:t xml:space="preserve"> </w:t>
      </w:r>
      <w:r w:rsidR="00A35D94" w:rsidRPr="00C27637">
        <w:rPr>
          <w:rFonts w:ascii="Arial" w:hAnsi="Arial" w:cs="Arial"/>
          <w:sz w:val="20"/>
          <w:szCs w:val="20"/>
        </w:rPr>
        <w:t xml:space="preserve">(izvedba nadzorov </w:t>
      </w:r>
      <w:r w:rsidR="004A2FF4" w:rsidRPr="00C27637">
        <w:rPr>
          <w:rFonts w:ascii="Arial" w:hAnsi="Arial" w:cs="Arial"/>
          <w:sz w:val="20"/>
          <w:szCs w:val="20"/>
        </w:rPr>
        <w:t xml:space="preserve">je bila </w:t>
      </w:r>
      <w:r w:rsidR="00A35D94" w:rsidRPr="00C27637">
        <w:rPr>
          <w:rFonts w:ascii="Arial" w:hAnsi="Arial" w:cs="Arial"/>
          <w:sz w:val="20"/>
          <w:szCs w:val="20"/>
        </w:rPr>
        <w:t xml:space="preserve">po programu za leto 2017 podaljšana še v januar 2018), pa je od pregledanih 70 občin </w:t>
      </w:r>
      <w:r w:rsidRPr="00C27637">
        <w:rPr>
          <w:rFonts w:ascii="Arial" w:hAnsi="Arial" w:cs="Arial"/>
          <w:sz w:val="20"/>
          <w:szCs w:val="20"/>
        </w:rPr>
        <w:t xml:space="preserve">do 31. </w:t>
      </w:r>
      <w:r w:rsidR="00A907C7" w:rsidRPr="00C27637">
        <w:rPr>
          <w:rFonts w:ascii="Arial" w:hAnsi="Arial" w:cs="Arial"/>
          <w:sz w:val="20"/>
          <w:szCs w:val="20"/>
        </w:rPr>
        <w:t>1</w:t>
      </w:r>
      <w:r w:rsidRPr="00C27637">
        <w:rPr>
          <w:rFonts w:ascii="Arial" w:hAnsi="Arial" w:cs="Arial"/>
          <w:sz w:val="20"/>
          <w:szCs w:val="20"/>
        </w:rPr>
        <w:t>. 20</w:t>
      </w:r>
      <w:r w:rsidR="00A35D94" w:rsidRPr="00C27637">
        <w:rPr>
          <w:rFonts w:ascii="Arial" w:hAnsi="Arial" w:cs="Arial"/>
          <w:sz w:val="20"/>
          <w:szCs w:val="20"/>
        </w:rPr>
        <w:t>18</w:t>
      </w:r>
      <w:r w:rsidRPr="00C27637">
        <w:rPr>
          <w:rFonts w:ascii="Arial" w:hAnsi="Arial" w:cs="Arial"/>
          <w:sz w:val="20"/>
          <w:szCs w:val="20"/>
        </w:rPr>
        <w:t xml:space="preserve"> osem občin v celoti </w:t>
      </w:r>
      <w:r w:rsidR="004B5D82">
        <w:rPr>
          <w:rFonts w:ascii="Arial" w:hAnsi="Arial" w:cs="Arial"/>
          <w:sz w:val="20"/>
          <w:szCs w:val="20"/>
        </w:rPr>
        <w:t xml:space="preserve">uskladilo predpise, </w:t>
      </w:r>
      <w:r w:rsidRPr="00C27637">
        <w:rPr>
          <w:rFonts w:ascii="Arial" w:hAnsi="Arial" w:cs="Arial"/>
          <w:sz w:val="20"/>
          <w:szCs w:val="20"/>
        </w:rPr>
        <w:t xml:space="preserve">sedem občin </w:t>
      </w:r>
      <w:r w:rsidR="00F1625C">
        <w:rPr>
          <w:rFonts w:ascii="Arial" w:hAnsi="Arial" w:cs="Arial"/>
          <w:sz w:val="20"/>
          <w:szCs w:val="20"/>
        </w:rPr>
        <w:t xml:space="preserve">pa </w:t>
      </w:r>
      <w:r w:rsidRPr="00C27637">
        <w:rPr>
          <w:rFonts w:ascii="Arial" w:hAnsi="Arial" w:cs="Arial"/>
          <w:sz w:val="20"/>
          <w:szCs w:val="20"/>
        </w:rPr>
        <w:t>deloma</w:t>
      </w:r>
      <w:r w:rsidR="009409F7" w:rsidRPr="00C27637">
        <w:rPr>
          <w:rFonts w:ascii="Arial" w:hAnsi="Arial" w:cs="Arial"/>
          <w:sz w:val="20"/>
          <w:szCs w:val="20"/>
        </w:rPr>
        <w:t xml:space="preserve">. Uskladitev splošnih aktov z opozorili MJU na dan </w:t>
      </w:r>
      <w:r w:rsidR="005D053A">
        <w:rPr>
          <w:rFonts w:ascii="Arial" w:hAnsi="Arial" w:cs="Arial"/>
          <w:sz w:val="20"/>
          <w:szCs w:val="20"/>
        </w:rPr>
        <w:br/>
      </w:r>
      <w:r w:rsidR="009409F7" w:rsidRPr="00C27637">
        <w:rPr>
          <w:rFonts w:ascii="Arial" w:hAnsi="Arial" w:cs="Arial"/>
          <w:sz w:val="20"/>
          <w:szCs w:val="20"/>
        </w:rPr>
        <w:t>31. 1. 2018</w:t>
      </w:r>
      <w:r w:rsidR="00A35D94" w:rsidRPr="00C27637">
        <w:rPr>
          <w:rFonts w:ascii="Arial" w:hAnsi="Arial" w:cs="Arial"/>
          <w:sz w:val="20"/>
          <w:szCs w:val="20"/>
        </w:rPr>
        <w:t xml:space="preserve"> prikazuje Graf 2</w:t>
      </w:r>
      <w:r w:rsidR="00F07A61" w:rsidRPr="00C27637">
        <w:rPr>
          <w:rFonts w:ascii="Arial" w:hAnsi="Arial" w:cs="Arial"/>
          <w:sz w:val="20"/>
          <w:szCs w:val="20"/>
        </w:rPr>
        <w:t>.</w:t>
      </w:r>
    </w:p>
    <w:p w14:paraId="0BA6AB62" w14:textId="77777777" w:rsidR="00232E1C" w:rsidRPr="00C27637" w:rsidRDefault="00232E1C" w:rsidP="001F11D8">
      <w:pPr>
        <w:spacing w:after="0" w:line="240" w:lineRule="atLeast"/>
        <w:jc w:val="both"/>
        <w:rPr>
          <w:rFonts w:ascii="Arial" w:hAnsi="Arial" w:cs="Arial"/>
          <w:sz w:val="20"/>
          <w:szCs w:val="20"/>
        </w:rPr>
      </w:pPr>
    </w:p>
    <w:p w14:paraId="04F48655" w14:textId="76468C8C" w:rsidR="00914051" w:rsidRPr="00C27637" w:rsidRDefault="00914051" w:rsidP="00914051">
      <w:pPr>
        <w:spacing w:line="240" w:lineRule="auto"/>
        <w:jc w:val="both"/>
        <w:rPr>
          <w:rFonts w:ascii="Arial" w:hAnsi="Arial" w:cs="Arial"/>
          <w:i/>
          <w:sz w:val="18"/>
          <w:szCs w:val="18"/>
          <w:lang w:eastAsia="sl-SI"/>
        </w:rPr>
      </w:pPr>
      <w:r w:rsidRPr="00C27637">
        <w:rPr>
          <w:rFonts w:ascii="Arial" w:hAnsi="Arial" w:cs="Arial"/>
          <w:sz w:val="18"/>
          <w:szCs w:val="18"/>
          <w:lang w:eastAsia="sl-SI"/>
        </w:rPr>
        <w:t>Graf 2:</w:t>
      </w:r>
      <w:r w:rsidRPr="00C27637">
        <w:rPr>
          <w:rFonts w:ascii="Arial" w:hAnsi="Arial" w:cs="Arial"/>
          <w:i/>
          <w:sz w:val="18"/>
          <w:szCs w:val="18"/>
          <w:lang w:eastAsia="sl-SI"/>
        </w:rPr>
        <w:t xml:space="preserve"> Uskladitev občinskih splošnih aktov z opozorili </w:t>
      </w:r>
      <w:r w:rsidRPr="00C27637">
        <w:rPr>
          <w:rFonts w:ascii="Arial" w:hAnsi="Arial" w:cs="Arial"/>
          <w:i/>
          <w:sz w:val="18"/>
          <w:szCs w:val="18"/>
        </w:rPr>
        <w:t>MJU</w:t>
      </w:r>
      <w:r w:rsidRPr="00C27637">
        <w:rPr>
          <w:rFonts w:ascii="Arial" w:hAnsi="Arial" w:cs="Arial"/>
          <w:sz w:val="18"/>
          <w:szCs w:val="18"/>
        </w:rPr>
        <w:t xml:space="preserve"> </w:t>
      </w:r>
      <w:r w:rsidRPr="00C27637">
        <w:rPr>
          <w:rFonts w:ascii="Arial" w:hAnsi="Arial" w:cs="Arial"/>
          <w:i/>
          <w:sz w:val="18"/>
          <w:szCs w:val="18"/>
          <w:lang w:eastAsia="sl-SI"/>
        </w:rPr>
        <w:t>od leta 2013 do leta 20</w:t>
      </w:r>
      <w:r w:rsidR="00015348" w:rsidRPr="00C27637">
        <w:rPr>
          <w:rFonts w:ascii="Arial" w:hAnsi="Arial" w:cs="Arial"/>
          <w:i/>
          <w:sz w:val="18"/>
          <w:szCs w:val="18"/>
          <w:lang w:eastAsia="sl-SI"/>
        </w:rPr>
        <w:t>17</w:t>
      </w:r>
      <w:r w:rsidRPr="00C27637">
        <w:rPr>
          <w:rFonts w:ascii="Arial" w:hAnsi="Arial" w:cs="Arial"/>
          <w:i/>
          <w:sz w:val="18"/>
          <w:szCs w:val="18"/>
          <w:lang w:eastAsia="sl-SI"/>
        </w:rPr>
        <w:t xml:space="preserve"> (stanje na dan 31. 1. 20</w:t>
      </w:r>
      <w:r w:rsidR="00A35D94" w:rsidRPr="00C27637">
        <w:rPr>
          <w:rFonts w:ascii="Arial" w:hAnsi="Arial" w:cs="Arial"/>
          <w:i/>
          <w:sz w:val="18"/>
          <w:szCs w:val="18"/>
          <w:lang w:eastAsia="sl-SI"/>
        </w:rPr>
        <w:t>18</w:t>
      </w:r>
      <w:r w:rsidRPr="00C27637">
        <w:rPr>
          <w:rFonts w:ascii="Arial" w:hAnsi="Arial" w:cs="Arial"/>
          <w:i/>
          <w:sz w:val="18"/>
          <w:szCs w:val="18"/>
          <w:lang w:eastAsia="sl-SI"/>
        </w:rPr>
        <w:t>).</w:t>
      </w:r>
    </w:p>
    <w:p w14:paraId="33D222C7" w14:textId="5446D230" w:rsidR="00914051" w:rsidRPr="00C27637" w:rsidRDefault="00914051" w:rsidP="00914051">
      <w:pPr>
        <w:spacing w:line="240" w:lineRule="auto"/>
        <w:rPr>
          <w:rFonts w:cs="Arial"/>
          <w:i/>
          <w:sz w:val="18"/>
          <w:szCs w:val="18"/>
          <w:lang w:eastAsia="sl-SI"/>
        </w:rPr>
      </w:pPr>
      <w:r w:rsidRPr="000E126C">
        <w:rPr>
          <w:noProof/>
          <w:sz w:val="18"/>
          <w:szCs w:val="18"/>
          <w:lang w:eastAsia="sl-SI"/>
        </w:rPr>
        <w:drawing>
          <wp:inline distT="0" distB="0" distL="0" distR="0" wp14:anchorId="2902EB12" wp14:editId="3D99FA83">
            <wp:extent cx="5448300" cy="2895600"/>
            <wp:effectExtent l="0" t="0" r="0" b="0"/>
            <wp:docPr id="3" name="Grafikon 3" descr="Grafični prikaz (stolpični prikaz) učinkov opravljenega strokovnega pregleda – koliko občin je po opravljenem pregledu predpise delno ali v celoti uskladilo do januarja 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EF5C6A">
        <w:rPr>
          <w:rFonts w:cs="Arial"/>
          <w:i/>
          <w:sz w:val="18"/>
          <w:szCs w:val="18"/>
          <w:lang w:eastAsia="sl-SI"/>
        </w:rPr>
        <w:t xml:space="preserve">                                                                          </w:t>
      </w:r>
      <w:r w:rsidRPr="00C27637">
        <w:rPr>
          <w:rFonts w:cs="Arial"/>
          <w:i/>
          <w:sz w:val="18"/>
          <w:szCs w:val="18"/>
          <w:lang w:eastAsia="sl-SI"/>
        </w:rPr>
        <w:t xml:space="preserve"> </w:t>
      </w:r>
    </w:p>
    <w:p w14:paraId="5B7E6E23" w14:textId="77777777" w:rsidR="00232E1C" w:rsidRDefault="00232E1C" w:rsidP="002C1167">
      <w:pPr>
        <w:spacing w:after="0" w:line="240" w:lineRule="atLeast"/>
        <w:jc w:val="both"/>
        <w:rPr>
          <w:rFonts w:ascii="Arial" w:hAnsi="Arial" w:cs="Arial"/>
          <w:sz w:val="20"/>
          <w:szCs w:val="20"/>
          <w:lang w:eastAsia="sl-SI"/>
        </w:rPr>
      </w:pPr>
    </w:p>
    <w:p w14:paraId="6B7C367A" w14:textId="3A2041A9" w:rsidR="00C72AFE" w:rsidRPr="00C27637" w:rsidRDefault="00C72AFE" w:rsidP="002C1167">
      <w:pPr>
        <w:spacing w:after="0" w:line="240" w:lineRule="atLeast"/>
        <w:jc w:val="both"/>
        <w:rPr>
          <w:rFonts w:ascii="Arial" w:hAnsi="Arial" w:cs="Arial"/>
          <w:sz w:val="20"/>
          <w:szCs w:val="20"/>
          <w:lang w:eastAsia="sl-SI"/>
        </w:rPr>
      </w:pPr>
      <w:r w:rsidRPr="00C27637">
        <w:rPr>
          <w:rFonts w:ascii="Arial" w:hAnsi="Arial" w:cs="Arial"/>
          <w:sz w:val="20"/>
          <w:szCs w:val="20"/>
          <w:lang w:eastAsia="sl-SI"/>
        </w:rPr>
        <w:lastRenderedPageBreak/>
        <w:t>Z leti od posameznega opravljenega nadzora se veča tudi odstotek občin, ki so svoje predpise uskladile</w:t>
      </w:r>
      <w:r w:rsidR="005D0DE1" w:rsidRPr="00C27637">
        <w:rPr>
          <w:rFonts w:ascii="Arial" w:hAnsi="Arial" w:cs="Arial"/>
          <w:sz w:val="20"/>
          <w:szCs w:val="20"/>
          <w:lang w:eastAsia="sl-SI"/>
        </w:rPr>
        <w:t xml:space="preserve">. Tako je v primerjavi s stanjem na dan 31. 1. 2018 iz Grafa 2, </w:t>
      </w:r>
      <w:r w:rsidR="00C573B6" w:rsidRPr="00C27637">
        <w:rPr>
          <w:rFonts w:ascii="Arial" w:hAnsi="Arial" w:cs="Arial"/>
          <w:sz w:val="20"/>
          <w:szCs w:val="20"/>
          <w:lang w:eastAsia="sl-SI"/>
        </w:rPr>
        <w:t xml:space="preserve">razviden </w:t>
      </w:r>
      <w:r w:rsidR="005D0DE1" w:rsidRPr="00C27637">
        <w:rPr>
          <w:rFonts w:ascii="Arial" w:hAnsi="Arial" w:cs="Arial"/>
          <w:sz w:val="20"/>
          <w:szCs w:val="20"/>
          <w:lang w:eastAsia="sl-SI"/>
        </w:rPr>
        <w:t>zelo opaz</w:t>
      </w:r>
      <w:r w:rsidR="00DA0353" w:rsidRPr="00C27637">
        <w:rPr>
          <w:rFonts w:ascii="Arial" w:hAnsi="Arial" w:cs="Arial"/>
          <w:sz w:val="20"/>
          <w:szCs w:val="20"/>
          <w:lang w:eastAsia="sl-SI"/>
        </w:rPr>
        <w:t>en porast usklajen</w:t>
      </w:r>
      <w:r w:rsidR="006F200F" w:rsidRPr="00C27637">
        <w:rPr>
          <w:rFonts w:ascii="Arial" w:hAnsi="Arial" w:cs="Arial"/>
          <w:sz w:val="20"/>
          <w:szCs w:val="20"/>
          <w:lang w:eastAsia="sl-SI"/>
        </w:rPr>
        <w:t>osti</w:t>
      </w:r>
      <w:r w:rsidR="00DA0353" w:rsidRPr="00C27637">
        <w:rPr>
          <w:rFonts w:ascii="Arial" w:hAnsi="Arial" w:cs="Arial"/>
          <w:sz w:val="20"/>
          <w:szCs w:val="20"/>
          <w:lang w:eastAsia="sl-SI"/>
        </w:rPr>
        <w:t xml:space="preserve"> predpisov</w:t>
      </w:r>
      <w:r w:rsidR="006F200F" w:rsidRPr="00C27637">
        <w:rPr>
          <w:rFonts w:ascii="Arial" w:hAnsi="Arial" w:cs="Arial"/>
          <w:sz w:val="20"/>
          <w:szCs w:val="20"/>
          <w:lang w:eastAsia="sl-SI"/>
        </w:rPr>
        <w:t xml:space="preserve"> s stanjem na dan 31. 1. 2020, kot prikazuje Graf 3.</w:t>
      </w:r>
      <w:r w:rsidR="00A677A4" w:rsidRPr="00C27637">
        <w:rPr>
          <w:rFonts w:ascii="Arial" w:hAnsi="Arial" w:cs="Arial"/>
          <w:sz w:val="20"/>
          <w:szCs w:val="20"/>
          <w:lang w:eastAsia="sl-SI"/>
        </w:rPr>
        <w:t xml:space="preserve"> V primerjavi s stanjem z dne 31. 1. 2018 se je na dan 31. 1. 2020</w:t>
      </w:r>
      <w:r w:rsidR="00036682" w:rsidRPr="00C27637">
        <w:rPr>
          <w:rFonts w:ascii="Arial" w:hAnsi="Arial" w:cs="Arial"/>
          <w:sz w:val="20"/>
          <w:szCs w:val="20"/>
          <w:lang w:eastAsia="sl-SI"/>
        </w:rPr>
        <w:t xml:space="preserve"> zvišal odstotek uskladitev splošnih aktov po posameznih letih</w:t>
      </w:r>
      <w:r w:rsidR="00CB7D45">
        <w:rPr>
          <w:rFonts w:ascii="Arial" w:hAnsi="Arial" w:cs="Arial"/>
          <w:sz w:val="20"/>
          <w:szCs w:val="20"/>
          <w:lang w:eastAsia="sl-SI"/>
        </w:rPr>
        <w:t xml:space="preserve"> in </w:t>
      </w:r>
      <w:r w:rsidR="00036682" w:rsidRPr="00C27637">
        <w:rPr>
          <w:rFonts w:ascii="Arial" w:hAnsi="Arial" w:cs="Arial"/>
          <w:sz w:val="20"/>
          <w:szCs w:val="20"/>
          <w:lang w:eastAsia="sl-SI"/>
        </w:rPr>
        <w:t xml:space="preserve">znižal </w:t>
      </w:r>
      <w:r w:rsidR="008A58A9" w:rsidRPr="00C27637">
        <w:rPr>
          <w:rFonts w:ascii="Arial" w:hAnsi="Arial" w:cs="Arial"/>
          <w:sz w:val="20"/>
          <w:szCs w:val="20"/>
          <w:lang w:eastAsia="sl-SI"/>
        </w:rPr>
        <w:t>odstotek v celoti neusklajenih aktov občin</w:t>
      </w:r>
      <w:r w:rsidR="00C573B6" w:rsidRPr="00C27637">
        <w:rPr>
          <w:rFonts w:ascii="Arial" w:hAnsi="Arial" w:cs="Arial"/>
          <w:sz w:val="20"/>
          <w:szCs w:val="20"/>
          <w:lang w:eastAsia="sl-SI"/>
        </w:rPr>
        <w:t xml:space="preserve">, npr. iz leta 2017 iz </w:t>
      </w:r>
      <w:r w:rsidR="0014173E" w:rsidRPr="00C27637">
        <w:rPr>
          <w:rFonts w:ascii="Arial" w:hAnsi="Arial" w:cs="Arial"/>
          <w:sz w:val="20"/>
          <w:szCs w:val="20"/>
          <w:lang w:eastAsia="sl-SI"/>
        </w:rPr>
        <w:t xml:space="preserve">predhodno </w:t>
      </w:r>
      <w:r w:rsidR="00C573B6" w:rsidRPr="00C27637">
        <w:rPr>
          <w:rFonts w:ascii="Arial" w:hAnsi="Arial" w:cs="Arial"/>
          <w:sz w:val="20"/>
          <w:szCs w:val="20"/>
          <w:lang w:eastAsia="sl-SI"/>
        </w:rPr>
        <w:t>79 % na 31 %</w:t>
      </w:r>
      <w:r w:rsidR="008A58A9" w:rsidRPr="00C27637">
        <w:rPr>
          <w:rFonts w:ascii="Arial" w:hAnsi="Arial" w:cs="Arial"/>
          <w:sz w:val="20"/>
          <w:szCs w:val="20"/>
          <w:lang w:eastAsia="sl-SI"/>
        </w:rPr>
        <w:t>.</w:t>
      </w:r>
    </w:p>
    <w:p w14:paraId="1C542017" w14:textId="77777777" w:rsidR="00232E1C" w:rsidRPr="00C27637" w:rsidRDefault="00232E1C" w:rsidP="002C1167">
      <w:pPr>
        <w:spacing w:after="0" w:line="240" w:lineRule="atLeast"/>
        <w:jc w:val="both"/>
        <w:rPr>
          <w:rFonts w:ascii="Arial" w:hAnsi="Arial" w:cs="Arial"/>
          <w:sz w:val="20"/>
          <w:szCs w:val="20"/>
          <w:lang w:eastAsia="sl-SI"/>
        </w:rPr>
      </w:pPr>
    </w:p>
    <w:p w14:paraId="49FA4C02" w14:textId="0A37F82A" w:rsidR="00D57821" w:rsidRPr="00C27637" w:rsidRDefault="00A901A3" w:rsidP="00CA4C1A">
      <w:pPr>
        <w:spacing w:line="240" w:lineRule="auto"/>
        <w:jc w:val="both"/>
        <w:rPr>
          <w:rFonts w:ascii="Arial" w:hAnsi="Arial" w:cs="Arial"/>
          <w:i/>
          <w:sz w:val="18"/>
          <w:szCs w:val="18"/>
          <w:lang w:eastAsia="sl-SI"/>
        </w:rPr>
      </w:pPr>
      <w:r w:rsidRPr="00C27637">
        <w:rPr>
          <w:rFonts w:ascii="Arial" w:hAnsi="Arial" w:cs="Arial"/>
          <w:sz w:val="18"/>
          <w:szCs w:val="18"/>
          <w:lang w:eastAsia="sl-SI"/>
        </w:rPr>
        <w:t>Graf 3:</w:t>
      </w:r>
      <w:r w:rsidRPr="00C27637">
        <w:rPr>
          <w:rFonts w:ascii="Arial" w:hAnsi="Arial" w:cs="Arial"/>
          <w:i/>
          <w:sz w:val="18"/>
          <w:szCs w:val="18"/>
          <w:lang w:eastAsia="sl-SI"/>
        </w:rPr>
        <w:t xml:space="preserve"> Uskladitev občinskih splošnih aktov z opozorili </w:t>
      </w:r>
      <w:r w:rsidRPr="00C27637">
        <w:rPr>
          <w:rFonts w:ascii="Arial" w:hAnsi="Arial" w:cs="Arial"/>
          <w:i/>
          <w:sz w:val="18"/>
          <w:szCs w:val="18"/>
        </w:rPr>
        <w:t>MJU</w:t>
      </w:r>
      <w:r w:rsidRPr="00C27637">
        <w:rPr>
          <w:rFonts w:ascii="Arial" w:hAnsi="Arial" w:cs="Arial"/>
          <w:sz w:val="18"/>
          <w:szCs w:val="18"/>
        </w:rPr>
        <w:t xml:space="preserve"> </w:t>
      </w:r>
      <w:r w:rsidRPr="00C27637">
        <w:rPr>
          <w:rFonts w:ascii="Arial" w:hAnsi="Arial" w:cs="Arial"/>
          <w:i/>
          <w:sz w:val="18"/>
          <w:szCs w:val="18"/>
          <w:lang w:eastAsia="sl-SI"/>
        </w:rPr>
        <w:t>od leta 2013 do leta 2020 (stanje na dan 31. 1. 2020).</w:t>
      </w:r>
    </w:p>
    <w:p w14:paraId="3A54E2AF" w14:textId="3C5A11A0" w:rsidR="00D57821" w:rsidRPr="00C27637" w:rsidRDefault="00D57821" w:rsidP="00D57821">
      <w:pPr>
        <w:spacing w:line="240" w:lineRule="auto"/>
        <w:jc w:val="both"/>
        <w:rPr>
          <w:rFonts w:ascii="Arial" w:hAnsi="Arial" w:cs="Arial"/>
          <w:i/>
          <w:sz w:val="18"/>
          <w:szCs w:val="18"/>
          <w:lang w:eastAsia="sl-SI"/>
        </w:rPr>
      </w:pPr>
      <w:r w:rsidRPr="000E126C">
        <w:rPr>
          <w:noProof/>
          <w:lang w:eastAsia="sl-SI"/>
        </w:rPr>
        <w:drawing>
          <wp:inline distT="0" distB="0" distL="0" distR="0" wp14:anchorId="3CB05601" wp14:editId="5F6E7D53">
            <wp:extent cx="5543550" cy="3086100"/>
            <wp:effectExtent l="0" t="0" r="0" b="0"/>
            <wp:docPr id="10" name="Grafikon 10" descr="Grafični prikaz (stolpični prikaz) učinkov opravljenega strokovnega pregleda, po posameznih obdobjih pregleda – koliko občin je po opravljenem pregledu predpise delno ali v celoti uskladilo do januarja 2020.">
              <a:extLst xmlns:a="http://schemas.openxmlformats.org/drawingml/2006/main">
                <a:ext uri="{FF2B5EF4-FFF2-40B4-BE49-F238E27FC236}">
                  <a16:creationId xmlns:a16="http://schemas.microsoft.com/office/drawing/2014/main" id="{843EEFC7-2ED5-4A69-A8B1-3B27DBC99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EBF4A59" w14:textId="77777777" w:rsidR="002C1167" w:rsidRDefault="002C1167" w:rsidP="0001020D">
      <w:pPr>
        <w:spacing w:after="0" w:line="240" w:lineRule="atLeast"/>
        <w:jc w:val="both"/>
        <w:rPr>
          <w:rFonts w:ascii="Arial" w:hAnsi="Arial" w:cs="Arial"/>
          <w:iCs/>
          <w:sz w:val="20"/>
          <w:szCs w:val="20"/>
          <w:lang w:eastAsia="sl-SI"/>
        </w:rPr>
      </w:pPr>
    </w:p>
    <w:p w14:paraId="625FD0FE" w14:textId="77777777" w:rsidR="00232E1C" w:rsidRPr="00C27637" w:rsidRDefault="00232E1C" w:rsidP="0001020D">
      <w:pPr>
        <w:spacing w:after="0" w:line="240" w:lineRule="atLeast"/>
        <w:jc w:val="both"/>
        <w:rPr>
          <w:rFonts w:ascii="Arial" w:hAnsi="Arial" w:cs="Arial"/>
          <w:iCs/>
          <w:sz w:val="20"/>
          <w:szCs w:val="20"/>
          <w:lang w:eastAsia="sl-SI"/>
        </w:rPr>
      </w:pPr>
    </w:p>
    <w:p w14:paraId="2CA52E10" w14:textId="0283CC69" w:rsidR="00A5291B" w:rsidRPr="00C27637" w:rsidRDefault="005311C1" w:rsidP="0001020D">
      <w:pPr>
        <w:spacing w:after="0" w:line="240" w:lineRule="atLeast"/>
        <w:jc w:val="both"/>
        <w:rPr>
          <w:rFonts w:ascii="Arial" w:hAnsi="Arial" w:cs="Arial"/>
          <w:sz w:val="20"/>
          <w:szCs w:val="20"/>
          <w:lang w:eastAsia="sl-SI"/>
        </w:rPr>
      </w:pPr>
      <w:r w:rsidRPr="00C27637">
        <w:rPr>
          <w:rFonts w:ascii="Arial" w:hAnsi="Arial" w:cs="Arial"/>
          <w:iCs/>
          <w:sz w:val="20"/>
          <w:szCs w:val="20"/>
          <w:lang w:eastAsia="sl-SI"/>
        </w:rPr>
        <w:t>Še večja razlika</w:t>
      </w:r>
      <w:r w:rsidRPr="00C27637">
        <w:rPr>
          <w:rFonts w:ascii="Arial" w:hAnsi="Arial" w:cs="Arial"/>
          <w:sz w:val="20"/>
          <w:szCs w:val="20"/>
          <w:lang w:eastAsia="sl-SI"/>
        </w:rPr>
        <w:t xml:space="preserve"> se pokaže pri uskladitvah občinskih splošnih aktov</w:t>
      </w:r>
      <w:r w:rsidR="00CA4C1A" w:rsidRPr="00C27637">
        <w:rPr>
          <w:rFonts w:ascii="Arial" w:hAnsi="Arial" w:cs="Arial"/>
          <w:sz w:val="20"/>
          <w:szCs w:val="20"/>
          <w:lang w:eastAsia="sl-SI"/>
        </w:rPr>
        <w:t xml:space="preserve">, če premerjamo stanje z dne </w:t>
      </w:r>
      <w:r w:rsidR="005D053A">
        <w:rPr>
          <w:rFonts w:ascii="Arial" w:hAnsi="Arial" w:cs="Arial"/>
          <w:sz w:val="20"/>
          <w:szCs w:val="20"/>
          <w:lang w:eastAsia="sl-SI"/>
        </w:rPr>
        <w:br/>
      </w:r>
      <w:r w:rsidR="00CA4C1A" w:rsidRPr="00C27637">
        <w:rPr>
          <w:rFonts w:ascii="Arial" w:hAnsi="Arial" w:cs="Arial"/>
          <w:sz w:val="20"/>
          <w:szCs w:val="20"/>
          <w:lang w:eastAsia="sl-SI"/>
        </w:rPr>
        <w:t>31. 1. 2018</w:t>
      </w:r>
      <w:r w:rsidR="00F309F6" w:rsidRPr="00C27637">
        <w:rPr>
          <w:rFonts w:ascii="Arial" w:hAnsi="Arial" w:cs="Arial"/>
          <w:sz w:val="20"/>
          <w:szCs w:val="20"/>
          <w:lang w:eastAsia="sl-SI"/>
        </w:rPr>
        <w:t xml:space="preserve"> iz Grafa 2</w:t>
      </w:r>
      <w:r w:rsidR="00CB6BE3" w:rsidRPr="00C27637">
        <w:rPr>
          <w:rFonts w:ascii="Arial" w:hAnsi="Arial" w:cs="Arial"/>
          <w:sz w:val="20"/>
          <w:szCs w:val="20"/>
          <w:lang w:eastAsia="sl-SI"/>
        </w:rPr>
        <w:t xml:space="preserve"> z zadnjim stanjem z dne 31. 8. 2020</w:t>
      </w:r>
      <w:r w:rsidR="00B77ECF" w:rsidRPr="00C27637">
        <w:rPr>
          <w:rFonts w:ascii="Arial" w:hAnsi="Arial" w:cs="Arial"/>
          <w:sz w:val="20"/>
          <w:szCs w:val="20"/>
          <w:lang w:eastAsia="sl-SI"/>
        </w:rPr>
        <w:t>, iz Grafa 4</w:t>
      </w:r>
      <w:r w:rsidR="00CB6BE3" w:rsidRPr="00C27637">
        <w:rPr>
          <w:rFonts w:ascii="Arial" w:hAnsi="Arial" w:cs="Arial"/>
          <w:sz w:val="20"/>
          <w:szCs w:val="20"/>
          <w:lang w:eastAsia="sl-SI"/>
        </w:rPr>
        <w:t xml:space="preserve">. Razvidno je, da </w:t>
      </w:r>
      <w:r w:rsidR="00B77ECF" w:rsidRPr="00C27637">
        <w:rPr>
          <w:rFonts w:ascii="Arial" w:hAnsi="Arial" w:cs="Arial"/>
          <w:sz w:val="20"/>
          <w:szCs w:val="20"/>
          <w:lang w:eastAsia="sl-SI"/>
        </w:rPr>
        <w:t>se je v vseh letih pomembno zvišal odstotek usklajenih predpisov ter</w:t>
      </w:r>
      <w:r w:rsidR="00067C7A" w:rsidRPr="00C27637">
        <w:rPr>
          <w:rFonts w:ascii="Arial" w:hAnsi="Arial" w:cs="Arial"/>
          <w:sz w:val="20"/>
          <w:szCs w:val="20"/>
          <w:lang w:eastAsia="sl-SI"/>
        </w:rPr>
        <w:t xml:space="preserve"> da je neusklajenih predpisov sorazmerno malo, kar</w:t>
      </w:r>
      <w:r w:rsidR="002A178D" w:rsidRPr="00C27637">
        <w:rPr>
          <w:rFonts w:ascii="Arial" w:hAnsi="Arial" w:cs="Arial"/>
          <w:sz w:val="20"/>
          <w:szCs w:val="20"/>
          <w:lang w:eastAsia="sl-SI"/>
        </w:rPr>
        <w:t xml:space="preserve"> </w:t>
      </w:r>
      <w:r w:rsidR="00574965" w:rsidRPr="00C27637">
        <w:rPr>
          <w:rFonts w:ascii="Arial" w:hAnsi="Arial" w:cs="Arial"/>
          <w:sz w:val="20"/>
          <w:szCs w:val="20"/>
          <w:lang w:eastAsia="sl-SI"/>
        </w:rPr>
        <w:t xml:space="preserve">je </w:t>
      </w:r>
      <w:r w:rsidR="001B0245">
        <w:rPr>
          <w:rFonts w:ascii="Arial" w:hAnsi="Arial" w:cs="Arial"/>
          <w:sz w:val="20"/>
          <w:szCs w:val="20"/>
          <w:lang w:eastAsia="sl-SI"/>
        </w:rPr>
        <w:t>temeljni</w:t>
      </w:r>
      <w:r w:rsidR="00574965" w:rsidRPr="00C27637">
        <w:rPr>
          <w:rFonts w:ascii="Arial" w:hAnsi="Arial" w:cs="Arial"/>
          <w:sz w:val="20"/>
          <w:szCs w:val="20"/>
          <w:lang w:eastAsia="sl-SI"/>
        </w:rPr>
        <w:t xml:space="preserve"> namen opravljenih nadzorov.</w:t>
      </w:r>
      <w:r w:rsidR="00067C7A" w:rsidRPr="00C27637">
        <w:rPr>
          <w:rFonts w:ascii="Arial" w:hAnsi="Arial" w:cs="Arial"/>
          <w:sz w:val="20"/>
          <w:szCs w:val="20"/>
          <w:lang w:eastAsia="sl-SI"/>
        </w:rPr>
        <w:t xml:space="preserve"> </w:t>
      </w:r>
    </w:p>
    <w:p w14:paraId="16456A47" w14:textId="77777777" w:rsidR="0001020D" w:rsidRPr="00C27637" w:rsidRDefault="0001020D" w:rsidP="0001020D">
      <w:pPr>
        <w:spacing w:after="0" w:line="240" w:lineRule="atLeast"/>
        <w:jc w:val="both"/>
        <w:rPr>
          <w:rFonts w:ascii="Arial" w:hAnsi="Arial" w:cs="Arial"/>
          <w:sz w:val="20"/>
          <w:szCs w:val="20"/>
          <w:lang w:eastAsia="sl-SI"/>
        </w:rPr>
      </w:pPr>
    </w:p>
    <w:p w14:paraId="3BBE5FFB" w14:textId="691098D3" w:rsidR="00E635CB" w:rsidRPr="00C27637" w:rsidRDefault="00E635CB" w:rsidP="003C406A">
      <w:pPr>
        <w:spacing w:line="240" w:lineRule="auto"/>
        <w:jc w:val="both"/>
        <w:rPr>
          <w:rFonts w:ascii="Arial" w:hAnsi="Arial" w:cs="Arial"/>
          <w:i/>
          <w:sz w:val="18"/>
          <w:szCs w:val="18"/>
          <w:lang w:eastAsia="sl-SI"/>
        </w:rPr>
      </w:pPr>
      <w:r w:rsidRPr="00C27637">
        <w:rPr>
          <w:rFonts w:ascii="Arial" w:hAnsi="Arial" w:cs="Arial"/>
          <w:sz w:val="18"/>
          <w:szCs w:val="18"/>
          <w:lang w:eastAsia="sl-SI"/>
        </w:rPr>
        <w:t>Graf 4:</w:t>
      </w:r>
      <w:r w:rsidRPr="00C27637">
        <w:rPr>
          <w:rFonts w:ascii="Arial" w:hAnsi="Arial" w:cs="Arial"/>
          <w:i/>
          <w:sz w:val="18"/>
          <w:szCs w:val="18"/>
          <w:lang w:eastAsia="sl-SI"/>
        </w:rPr>
        <w:t xml:space="preserve"> Uskladitev občinskih splošnih aktov z opozorili </w:t>
      </w:r>
      <w:r w:rsidRPr="00C27637">
        <w:rPr>
          <w:rFonts w:ascii="Arial" w:hAnsi="Arial" w:cs="Arial"/>
          <w:i/>
          <w:sz w:val="18"/>
          <w:szCs w:val="18"/>
        </w:rPr>
        <w:t>MJU</w:t>
      </w:r>
      <w:r w:rsidRPr="00C27637">
        <w:rPr>
          <w:rFonts w:ascii="Arial" w:hAnsi="Arial" w:cs="Arial"/>
          <w:sz w:val="18"/>
          <w:szCs w:val="18"/>
        </w:rPr>
        <w:t xml:space="preserve"> </w:t>
      </w:r>
      <w:r w:rsidRPr="00C27637">
        <w:rPr>
          <w:rFonts w:ascii="Arial" w:hAnsi="Arial" w:cs="Arial"/>
          <w:i/>
          <w:sz w:val="18"/>
          <w:szCs w:val="18"/>
          <w:lang w:eastAsia="sl-SI"/>
        </w:rPr>
        <w:t>od leta 2013 do leta 2020 (stanje na dan 31. 8. 2020).</w:t>
      </w:r>
    </w:p>
    <w:p w14:paraId="4FE7C701" w14:textId="38D2ADFF" w:rsidR="00E635CB" w:rsidRPr="00C27637" w:rsidRDefault="00E635CB" w:rsidP="00D57821">
      <w:pPr>
        <w:tabs>
          <w:tab w:val="left" w:pos="1701"/>
        </w:tabs>
        <w:spacing w:after="0" w:line="240" w:lineRule="auto"/>
        <w:rPr>
          <w:rFonts w:ascii="Arial" w:hAnsi="Arial" w:cs="Arial"/>
          <w:color w:val="FF0000"/>
          <w:sz w:val="20"/>
          <w:szCs w:val="20"/>
          <w:lang w:eastAsia="sl-SI"/>
        </w:rPr>
      </w:pPr>
      <w:r w:rsidRPr="000E126C">
        <w:rPr>
          <w:noProof/>
          <w:lang w:eastAsia="sl-SI"/>
        </w:rPr>
        <w:drawing>
          <wp:inline distT="0" distB="0" distL="0" distR="0" wp14:anchorId="0569D4B9" wp14:editId="090317B6">
            <wp:extent cx="5638800" cy="3105150"/>
            <wp:effectExtent l="0" t="0" r="0" b="0"/>
            <wp:docPr id="2" name="Grafikon 2" descr="Grafični prikaz (stolpični prikaz) učinkov opravljenega strokovnega pregleda po posameznih obdobjih pregleda – koliko občin je po opravljenem pregledu predpise delno ali v celoti uskladilo do avgusta 2018.">
              <a:extLst xmlns:a="http://schemas.openxmlformats.org/drawingml/2006/main">
                <a:ext uri="{FF2B5EF4-FFF2-40B4-BE49-F238E27FC236}">
                  <a16:creationId xmlns:a16="http://schemas.microsoft.com/office/drawing/2014/main" id="{E8A82741-0B5C-4216-BD1F-506C74119F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FE7863A" w14:textId="77777777" w:rsidR="004A2FF4" w:rsidRPr="00C27637" w:rsidRDefault="004A2FF4" w:rsidP="0001020D">
      <w:pPr>
        <w:tabs>
          <w:tab w:val="left" w:pos="1701"/>
        </w:tabs>
        <w:spacing w:after="0" w:line="240" w:lineRule="auto"/>
        <w:jc w:val="both"/>
        <w:rPr>
          <w:rFonts w:ascii="Arial" w:hAnsi="Arial" w:cs="Arial"/>
          <w:sz w:val="20"/>
          <w:szCs w:val="20"/>
          <w:lang w:eastAsia="sl-SI"/>
        </w:rPr>
      </w:pPr>
    </w:p>
    <w:p w14:paraId="74997841" w14:textId="77777777" w:rsidR="00232E1C" w:rsidRDefault="00232E1C" w:rsidP="0001020D">
      <w:pPr>
        <w:tabs>
          <w:tab w:val="left" w:pos="1701"/>
        </w:tabs>
        <w:spacing w:after="0" w:line="240" w:lineRule="auto"/>
        <w:jc w:val="both"/>
        <w:rPr>
          <w:rFonts w:ascii="Arial" w:hAnsi="Arial" w:cs="Arial"/>
          <w:sz w:val="20"/>
          <w:szCs w:val="20"/>
          <w:lang w:eastAsia="sl-SI"/>
        </w:rPr>
      </w:pPr>
    </w:p>
    <w:p w14:paraId="344BB22E" w14:textId="15458DB9" w:rsidR="00E635CB" w:rsidRPr="00C27637" w:rsidRDefault="000203EA" w:rsidP="0001020D">
      <w:pPr>
        <w:tabs>
          <w:tab w:val="left" w:pos="1701"/>
        </w:tabs>
        <w:spacing w:after="0" w:line="240" w:lineRule="auto"/>
        <w:jc w:val="both"/>
        <w:rPr>
          <w:rFonts w:ascii="Arial" w:hAnsi="Arial" w:cs="Arial"/>
          <w:color w:val="FF0000"/>
          <w:sz w:val="20"/>
          <w:szCs w:val="20"/>
          <w:lang w:eastAsia="sl-SI"/>
        </w:rPr>
      </w:pPr>
      <w:r w:rsidRPr="00C27637">
        <w:rPr>
          <w:rFonts w:ascii="Arial" w:hAnsi="Arial" w:cs="Arial"/>
          <w:sz w:val="20"/>
          <w:szCs w:val="20"/>
          <w:lang w:eastAsia="sl-SI"/>
        </w:rPr>
        <w:t xml:space="preserve">Število </w:t>
      </w:r>
      <w:r w:rsidR="00B636EC" w:rsidRPr="00C27637">
        <w:rPr>
          <w:rFonts w:ascii="Arial" w:hAnsi="Arial" w:cs="Arial"/>
          <w:sz w:val="20"/>
          <w:szCs w:val="20"/>
          <w:lang w:eastAsia="sl-SI"/>
        </w:rPr>
        <w:t xml:space="preserve">vseh </w:t>
      </w:r>
      <w:r w:rsidRPr="00C27637">
        <w:rPr>
          <w:rFonts w:ascii="Arial" w:hAnsi="Arial" w:cs="Arial"/>
          <w:sz w:val="20"/>
          <w:szCs w:val="20"/>
          <w:lang w:eastAsia="sl-SI"/>
        </w:rPr>
        <w:t>občin z uskla</w:t>
      </w:r>
      <w:r w:rsidR="001B0245">
        <w:rPr>
          <w:rFonts w:ascii="Arial" w:hAnsi="Arial" w:cs="Arial"/>
          <w:sz w:val="20"/>
          <w:szCs w:val="20"/>
          <w:lang w:eastAsia="sl-SI"/>
        </w:rPr>
        <w:t xml:space="preserve">jenimi splošnimi </w:t>
      </w:r>
      <w:r w:rsidRPr="00C27637">
        <w:rPr>
          <w:rFonts w:ascii="Arial" w:hAnsi="Arial" w:cs="Arial"/>
          <w:sz w:val="20"/>
          <w:szCs w:val="20"/>
          <w:lang w:eastAsia="sl-SI"/>
        </w:rPr>
        <w:t>akt</w:t>
      </w:r>
      <w:r w:rsidR="001B0245">
        <w:rPr>
          <w:rFonts w:ascii="Arial" w:hAnsi="Arial" w:cs="Arial"/>
          <w:sz w:val="20"/>
          <w:szCs w:val="20"/>
          <w:lang w:eastAsia="sl-SI"/>
        </w:rPr>
        <w:t>i</w:t>
      </w:r>
      <w:r w:rsidRPr="00C27637">
        <w:rPr>
          <w:rFonts w:ascii="Arial" w:hAnsi="Arial" w:cs="Arial"/>
          <w:sz w:val="20"/>
          <w:szCs w:val="20"/>
          <w:lang w:eastAsia="sl-SI"/>
        </w:rPr>
        <w:t xml:space="preserve"> </w:t>
      </w:r>
      <w:r w:rsidR="00B636EC" w:rsidRPr="00C27637">
        <w:rPr>
          <w:rFonts w:ascii="Arial" w:hAnsi="Arial" w:cs="Arial"/>
          <w:sz w:val="20"/>
          <w:szCs w:val="20"/>
          <w:lang w:eastAsia="sl-SI"/>
        </w:rPr>
        <w:t>prikazuje</w:t>
      </w:r>
      <w:r w:rsidRPr="00C27637">
        <w:rPr>
          <w:rFonts w:ascii="Arial" w:hAnsi="Arial" w:cs="Arial"/>
          <w:sz w:val="20"/>
          <w:szCs w:val="20"/>
          <w:lang w:eastAsia="sl-SI"/>
        </w:rPr>
        <w:t xml:space="preserve"> Graf 5.</w:t>
      </w:r>
      <w:r w:rsidR="001C338A" w:rsidRPr="00C27637">
        <w:rPr>
          <w:rFonts w:ascii="Arial" w:hAnsi="Arial" w:cs="Arial"/>
          <w:sz w:val="20"/>
          <w:szCs w:val="20"/>
          <w:lang w:eastAsia="sl-SI"/>
        </w:rPr>
        <w:t xml:space="preserve"> Iz grafa je razvidno, da</w:t>
      </w:r>
      <w:r w:rsidR="00F1583B" w:rsidRPr="00C27637">
        <w:rPr>
          <w:rFonts w:ascii="Arial" w:hAnsi="Arial" w:cs="Arial"/>
          <w:sz w:val="20"/>
          <w:szCs w:val="20"/>
          <w:lang w:eastAsia="sl-SI"/>
        </w:rPr>
        <w:t xml:space="preserve"> je do dne </w:t>
      </w:r>
      <w:r w:rsidR="005D053A">
        <w:rPr>
          <w:rFonts w:ascii="Arial" w:hAnsi="Arial" w:cs="Arial"/>
          <w:sz w:val="20"/>
          <w:szCs w:val="20"/>
          <w:lang w:eastAsia="sl-SI"/>
        </w:rPr>
        <w:br/>
      </w:r>
      <w:r w:rsidR="00F1583B" w:rsidRPr="00C27637">
        <w:rPr>
          <w:rFonts w:ascii="Arial" w:hAnsi="Arial" w:cs="Arial"/>
          <w:sz w:val="20"/>
          <w:szCs w:val="20"/>
          <w:lang w:eastAsia="sl-SI"/>
        </w:rPr>
        <w:t xml:space="preserve">31. 8. 2020 od 212 slovenskih občin splošne akte uskladilo 152 občin, v 39 občinah so </w:t>
      </w:r>
      <w:r w:rsidR="0025630C">
        <w:rPr>
          <w:rFonts w:ascii="Arial" w:hAnsi="Arial" w:cs="Arial"/>
          <w:sz w:val="20"/>
          <w:szCs w:val="20"/>
          <w:lang w:eastAsia="sl-SI"/>
        </w:rPr>
        <w:t>splošni akti</w:t>
      </w:r>
      <w:r w:rsidR="00F1583B" w:rsidRPr="00C27637">
        <w:rPr>
          <w:rFonts w:ascii="Arial" w:hAnsi="Arial" w:cs="Arial"/>
          <w:sz w:val="20"/>
          <w:szCs w:val="20"/>
          <w:lang w:eastAsia="sl-SI"/>
        </w:rPr>
        <w:t xml:space="preserve"> del</w:t>
      </w:r>
      <w:r w:rsidR="009D394D" w:rsidRPr="00C27637">
        <w:rPr>
          <w:rFonts w:ascii="Arial" w:hAnsi="Arial" w:cs="Arial"/>
          <w:sz w:val="20"/>
          <w:szCs w:val="20"/>
          <w:lang w:eastAsia="sl-SI"/>
        </w:rPr>
        <w:t>oma usklajeni</w:t>
      </w:r>
      <w:r w:rsidR="00871B6C" w:rsidRPr="00C27637">
        <w:rPr>
          <w:rFonts w:ascii="Arial" w:hAnsi="Arial" w:cs="Arial"/>
          <w:sz w:val="20"/>
          <w:szCs w:val="20"/>
          <w:lang w:eastAsia="sl-SI"/>
        </w:rPr>
        <w:t xml:space="preserve"> (usklajen najmanj en </w:t>
      </w:r>
      <w:r w:rsidR="0049602D" w:rsidRPr="00C27637">
        <w:rPr>
          <w:rFonts w:ascii="Arial" w:hAnsi="Arial" w:cs="Arial"/>
          <w:sz w:val="20"/>
          <w:szCs w:val="20"/>
          <w:lang w:eastAsia="sl-SI"/>
        </w:rPr>
        <w:t>od treh</w:t>
      </w:r>
      <w:r w:rsidR="001B0245">
        <w:rPr>
          <w:rFonts w:ascii="Arial" w:hAnsi="Arial" w:cs="Arial"/>
          <w:sz w:val="20"/>
          <w:szCs w:val="20"/>
          <w:lang w:eastAsia="sl-SI"/>
        </w:rPr>
        <w:t xml:space="preserve"> splošnih aktov</w:t>
      </w:r>
      <w:r w:rsidR="00871B6C" w:rsidRPr="00C27637">
        <w:rPr>
          <w:rFonts w:ascii="Arial" w:hAnsi="Arial" w:cs="Arial"/>
          <w:sz w:val="20"/>
          <w:szCs w:val="20"/>
          <w:lang w:eastAsia="sl-SI"/>
        </w:rPr>
        <w:t>)</w:t>
      </w:r>
      <w:r w:rsidR="009D394D" w:rsidRPr="00C27637">
        <w:rPr>
          <w:rFonts w:ascii="Arial" w:hAnsi="Arial" w:cs="Arial"/>
          <w:sz w:val="20"/>
          <w:szCs w:val="20"/>
          <w:lang w:eastAsia="sl-SI"/>
        </w:rPr>
        <w:t xml:space="preserve">, v 21 občinah pa </w:t>
      </w:r>
      <w:r w:rsidR="0025630C">
        <w:rPr>
          <w:rFonts w:ascii="Arial" w:hAnsi="Arial" w:cs="Arial"/>
          <w:sz w:val="20"/>
          <w:szCs w:val="20"/>
          <w:lang w:eastAsia="sl-SI"/>
        </w:rPr>
        <w:t xml:space="preserve">splošni akti </w:t>
      </w:r>
      <w:r w:rsidR="009D394D" w:rsidRPr="00C27637">
        <w:rPr>
          <w:rFonts w:ascii="Arial" w:hAnsi="Arial" w:cs="Arial"/>
          <w:sz w:val="20"/>
          <w:szCs w:val="20"/>
          <w:lang w:eastAsia="sl-SI"/>
        </w:rPr>
        <w:t>še niso usklajeni.</w:t>
      </w:r>
      <w:r w:rsidR="00EF5C6A">
        <w:rPr>
          <w:rFonts w:ascii="Arial" w:hAnsi="Arial" w:cs="Arial"/>
          <w:sz w:val="20"/>
          <w:szCs w:val="20"/>
          <w:lang w:eastAsia="sl-SI"/>
        </w:rPr>
        <w:t xml:space="preserve"> </w:t>
      </w:r>
    </w:p>
    <w:p w14:paraId="3D04C80E" w14:textId="77777777" w:rsidR="00906DE3" w:rsidRPr="00C27637" w:rsidRDefault="00906DE3" w:rsidP="00906DE3">
      <w:pPr>
        <w:tabs>
          <w:tab w:val="left" w:pos="1701"/>
        </w:tabs>
        <w:spacing w:after="0" w:line="240" w:lineRule="auto"/>
        <w:rPr>
          <w:rFonts w:ascii="Arial" w:hAnsi="Arial" w:cs="Arial"/>
          <w:color w:val="FF0000"/>
          <w:sz w:val="18"/>
          <w:szCs w:val="18"/>
          <w:lang w:eastAsia="sl-SI"/>
        </w:rPr>
      </w:pPr>
    </w:p>
    <w:p w14:paraId="56558C10" w14:textId="117E92E7" w:rsidR="00E635CB" w:rsidRPr="00C27637" w:rsidRDefault="00906DE3" w:rsidP="000C2CCF">
      <w:pPr>
        <w:tabs>
          <w:tab w:val="left" w:pos="1701"/>
        </w:tabs>
        <w:spacing w:after="0" w:line="240" w:lineRule="auto"/>
        <w:jc w:val="both"/>
      </w:pPr>
      <w:r w:rsidRPr="00C27637">
        <w:rPr>
          <w:rFonts w:ascii="Arial" w:hAnsi="Arial" w:cs="Arial"/>
          <w:sz w:val="18"/>
          <w:szCs w:val="18"/>
          <w:lang w:eastAsia="sl-SI"/>
        </w:rPr>
        <w:t>Graf 5:</w:t>
      </w:r>
      <w:r w:rsidRPr="00C27637">
        <w:rPr>
          <w:rFonts w:ascii="Arial" w:hAnsi="Arial" w:cs="Arial"/>
          <w:i/>
          <w:sz w:val="18"/>
          <w:szCs w:val="18"/>
          <w:lang w:eastAsia="sl-SI"/>
        </w:rPr>
        <w:t xml:space="preserve"> Uskladitev vseh občinskih splošnih aktov z opozorili </w:t>
      </w:r>
      <w:r w:rsidRPr="00C27637">
        <w:rPr>
          <w:rFonts w:ascii="Arial" w:hAnsi="Arial" w:cs="Arial"/>
          <w:i/>
          <w:sz w:val="18"/>
          <w:szCs w:val="18"/>
        </w:rPr>
        <w:t>MJU</w:t>
      </w:r>
      <w:r w:rsidRPr="00C27637">
        <w:rPr>
          <w:rFonts w:ascii="Arial" w:hAnsi="Arial" w:cs="Arial"/>
          <w:sz w:val="18"/>
          <w:szCs w:val="18"/>
        </w:rPr>
        <w:t xml:space="preserve"> </w:t>
      </w:r>
      <w:r w:rsidRPr="00C27637">
        <w:rPr>
          <w:rFonts w:ascii="Arial" w:hAnsi="Arial" w:cs="Arial"/>
          <w:i/>
          <w:sz w:val="18"/>
          <w:szCs w:val="18"/>
          <w:lang w:eastAsia="sl-SI"/>
        </w:rPr>
        <w:t xml:space="preserve">od leta 2013 do leta 2020 po številu občin (stanje na dan 31. </w:t>
      </w:r>
      <w:r w:rsidR="001C338A" w:rsidRPr="00C27637">
        <w:rPr>
          <w:rFonts w:ascii="Arial" w:hAnsi="Arial" w:cs="Arial"/>
          <w:i/>
          <w:sz w:val="18"/>
          <w:szCs w:val="18"/>
          <w:lang w:eastAsia="sl-SI"/>
        </w:rPr>
        <w:t>8</w:t>
      </w:r>
      <w:r w:rsidRPr="00C27637">
        <w:rPr>
          <w:rFonts w:ascii="Arial" w:hAnsi="Arial" w:cs="Arial"/>
          <w:i/>
          <w:sz w:val="18"/>
          <w:szCs w:val="18"/>
          <w:lang w:eastAsia="sl-SI"/>
        </w:rPr>
        <w:t>. 2020).</w:t>
      </w:r>
    </w:p>
    <w:p w14:paraId="6BC7B5B4" w14:textId="7E1F5AB6" w:rsidR="00B636EC" w:rsidRPr="00C27637" w:rsidRDefault="00B636EC" w:rsidP="00D57821">
      <w:pPr>
        <w:tabs>
          <w:tab w:val="left" w:pos="1701"/>
        </w:tabs>
        <w:spacing w:after="0" w:line="240" w:lineRule="auto"/>
        <w:rPr>
          <w:rFonts w:ascii="Arial" w:hAnsi="Arial" w:cs="Arial"/>
          <w:color w:val="FF0000"/>
          <w:sz w:val="20"/>
          <w:szCs w:val="20"/>
          <w:lang w:eastAsia="sl-SI"/>
        </w:rPr>
      </w:pPr>
    </w:p>
    <w:p w14:paraId="13E7E9F0" w14:textId="20049CFE" w:rsidR="00323759" w:rsidRPr="00C27637" w:rsidRDefault="00323759" w:rsidP="00D57821">
      <w:pPr>
        <w:tabs>
          <w:tab w:val="left" w:pos="1701"/>
        </w:tabs>
        <w:spacing w:after="0" w:line="240" w:lineRule="auto"/>
        <w:rPr>
          <w:rFonts w:ascii="Arial" w:hAnsi="Arial" w:cs="Arial"/>
          <w:color w:val="FF0000"/>
          <w:sz w:val="20"/>
          <w:szCs w:val="20"/>
          <w:lang w:eastAsia="sl-SI"/>
        </w:rPr>
      </w:pPr>
      <w:r w:rsidRPr="000E126C">
        <w:rPr>
          <w:noProof/>
          <w:lang w:eastAsia="sl-SI"/>
        </w:rPr>
        <w:drawing>
          <wp:inline distT="0" distB="0" distL="0" distR="0" wp14:anchorId="6C0787F3" wp14:editId="06B77F14">
            <wp:extent cx="5267325" cy="3190875"/>
            <wp:effectExtent l="0" t="0" r="9525" b="9525"/>
            <wp:docPr id="7" name="Grafikon 7" descr="Grafični prikaz (tortni prikaz) učinkov opravljenega strokovnega pregleda v celoti, za vsa obdobja skupa – koliko občin je po opravljenem pregledu predpise delno ali v celoti uskladilo do avgusta 2018.">
              <a:extLst xmlns:a="http://schemas.openxmlformats.org/drawingml/2006/main">
                <a:ext uri="{FF2B5EF4-FFF2-40B4-BE49-F238E27FC236}">
                  <a16:creationId xmlns:a16="http://schemas.microsoft.com/office/drawing/2014/main" id="{68CCBC86-58D9-45A4-8D3B-C63C55611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3AC841E" w14:textId="6C556829" w:rsidR="00323759" w:rsidRPr="005D053A" w:rsidRDefault="00323759" w:rsidP="00D57821">
      <w:pPr>
        <w:tabs>
          <w:tab w:val="left" w:pos="1701"/>
        </w:tabs>
        <w:spacing w:after="0" w:line="240" w:lineRule="auto"/>
        <w:rPr>
          <w:rFonts w:ascii="Arial" w:hAnsi="Arial" w:cs="Arial"/>
          <w:sz w:val="20"/>
          <w:szCs w:val="20"/>
          <w:lang w:eastAsia="sl-SI"/>
        </w:rPr>
      </w:pPr>
    </w:p>
    <w:p w14:paraId="2389D100" w14:textId="5E5D5D10" w:rsidR="00323759" w:rsidRPr="005D053A" w:rsidRDefault="00323759" w:rsidP="00D57821">
      <w:pPr>
        <w:tabs>
          <w:tab w:val="left" w:pos="1701"/>
        </w:tabs>
        <w:spacing w:after="0" w:line="240" w:lineRule="auto"/>
        <w:rPr>
          <w:rFonts w:ascii="Arial" w:hAnsi="Arial" w:cs="Arial"/>
          <w:sz w:val="20"/>
          <w:szCs w:val="20"/>
          <w:lang w:eastAsia="sl-SI"/>
        </w:rPr>
      </w:pPr>
    </w:p>
    <w:p w14:paraId="0C966758" w14:textId="61AB199A" w:rsidR="00914051" w:rsidRPr="00C27637" w:rsidRDefault="00914051" w:rsidP="00410871">
      <w:pPr>
        <w:pStyle w:val="datumtevilka"/>
        <w:rPr>
          <w:rFonts w:cs="Arial"/>
          <w:b/>
        </w:rPr>
      </w:pPr>
      <w:r w:rsidRPr="00C27637">
        <w:rPr>
          <w:rFonts w:cs="Arial"/>
          <w:b/>
        </w:rPr>
        <w:t xml:space="preserve">2. </w:t>
      </w:r>
      <w:r w:rsidR="0025630C">
        <w:rPr>
          <w:rFonts w:cs="Arial"/>
          <w:b/>
        </w:rPr>
        <w:t>Najpogosteje u</w:t>
      </w:r>
      <w:r w:rsidRPr="00C27637">
        <w:rPr>
          <w:rFonts w:cs="Arial"/>
          <w:b/>
        </w:rPr>
        <w:t>gotov</w:t>
      </w:r>
      <w:r w:rsidR="0025630C">
        <w:rPr>
          <w:rFonts w:cs="Arial"/>
          <w:b/>
        </w:rPr>
        <w:t>ljene</w:t>
      </w:r>
      <w:r w:rsidRPr="00C27637">
        <w:rPr>
          <w:rFonts w:cs="Arial"/>
          <w:b/>
        </w:rPr>
        <w:t xml:space="preserve"> napak</w:t>
      </w:r>
      <w:r w:rsidR="0025630C">
        <w:rPr>
          <w:rFonts w:cs="Arial"/>
          <w:b/>
        </w:rPr>
        <w:t>e</w:t>
      </w:r>
      <w:r w:rsidRPr="00C27637">
        <w:rPr>
          <w:rFonts w:cs="Arial"/>
          <w:b/>
        </w:rPr>
        <w:t xml:space="preserve"> </w:t>
      </w:r>
    </w:p>
    <w:p w14:paraId="4CEB0BE2" w14:textId="77777777" w:rsidR="00216C73" w:rsidRPr="00C27637" w:rsidRDefault="00216C73" w:rsidP="00410871">
      <w:pPr>
        <w:autoSpaceDE w:val="0"/>
        <w:autoSpaceDN w:val="0"/>
        <w:adjustRightInd w:val="0"/>
        <w:spacing w:after="0" w:line="240" w:lineRule="exact"/>
        <w:jc w:val="both"/>
        <w:rPr>
          <w:rFonts w:ascii="Arial" w:hAnsi="Arial" w:cs="Arial"/>
          <w:bCs/>
          <w:sz w:val="20"/>
          <w:szCs w:val="20"/>
        </w:rPr>
      </w:pPr>
    </w:p>
    <w:p w14:paraId="043BAD9D" w14:textId="4999F105" w:rsidR="004A2FF4" w:rsidRPr="00C27637" w:rsidRDefault="00216C73" w:rsidP="00410871">
      <w:pPr>
        <w:autoSpaceDE w:val="0"/>
        <w:autoSpaceDN w:val="0"/>
        <w:adjustRightInd w:val="0"/>
        <w:spacing w:after="0" w:line="240" w:lineRule="exact"/>
        <w:jc w:val="both"/>
        <w:rPr>
          <w:rFonts w:ascii="Arial" w:hAnsi="Arial" w:cs="Arial"/>
          <w:sz w:val="20"/>
          <w:szCs w:val="20"/>
        </w:rPr>
      </w:pPr>
      <w:r w:rsidRPr="00C27637">
        <w:rPr>
          <w:rFonts w:ascii="Arial" w:hAnsi="Arial" w:cs="Arial"/>
          <w:bCs/>
          <w:sz w:val="20"/>
          <w:szCs w:val="20"/>
        </w:rPr>
        <w:t>Pri pregledu statutov občin je MJU ugotovilo, da</w:t>
      </w:r>
      <w:r w:rsidR="00E54239" w:rsidRPr="00C27637">
        <w:rPr>
          <w:rFonts w:ascii="Arial" w:hAnsi="Arial" w:cs="Arial"/>
          <w:bCs/>
          <w:sz w:val="20"/>
          <w:szCs w:val="20"/>
        </w:rPr>
        <w:t xml:space="preserve"> so s</w:t>
      </w:r>
      <w:r w:rsidR="00914051" w:rsidRPr="00C27637">
        <w:rPr>
          <w:rFonts w:ascii="Arial" w:hAnsi="Arial" w:cs="Arial"/>
          <w:sz w:val="20"/>
          <w:szCs w:val="20"/>
        </w:rPr>
        <w:t xml:space="preserve">tatuti občin običajno v neskladju z ustavo in zakoni </w:t>
      </w:r>
      <w:r w:rsidR="004A2FF4" w:rsidRPr="00C27637">
        <w:rPr>
          <w:rFonts w:ascii="Arial" w:hAnsi="Arial" w:cs="Arial"/>
          <w:sz w:val="20"/>
          <w:szCs w:val="20"/>
        </w:rPr>
        <w:t>zaradi</w:t>
      </w:r>
      <w:r w:rsidR="000E3BB3" w:rsidRPr="00C27637">
        <w:rPr>
          <w:rFonts w:ascii="Arial" w:hAnsi="Arial" w:cs="Arial"/>
          <w:sz w:val="20"/>
          <w:szCs w:val="20"/>
        </w:rPr>
        <w:t xml:space="preserve"> sprememb zakono</w:t>
      </w:r>
      <w:r w:rsidR="004A2FF4" w:rsidRPr="00C27637">
        <w:rPr>
          <w:rFonts w:ascii="Arial" w:hAnsi="Arial" w:cs="Arial"/>
          <w:sz w:val="20"/>
          <w:szCs w:val="20"/>
        </w:rPr>
        <w:t>v, ki jim niso sledile spremembe občinskih aktov</w:t>
      </w:r>
      <w:r w:rsidR="00625525" w:rsidRPr="00C27637">
        <w:rPr>
          <w:rFonts w:ascii="Arial" w:hAnsi="Arial" w:cs="Arial"/>
          <w:sz w:val="20"/>
          <w:szCs w:val="20"/>
        </w:rPr>
        <w:t>.</w:t>
      </w:r>
      <w:r w:rsidR="004A2FF4" w:rsidRPr="00C27637">
        <w:rPr>
          <w:rFonts w:ascii="Arial" w:hAnsi="Arial" w:cs="Arial"/>
          <w:sz w:val="20"/>
          <w:szCs w:val="20"/>
        </w:rPr>
        <w:t xml:space="preserve"> </w:t>
      </w:r>
      <w:r w:rsidR="00625525" w:rsidRPr="00C27637">
        <w:rPr>
          <w:rFonts w:ascii="Arial" w:hAnsi="Arial" w:cs="Arial"/>
          <w:sz w:val="20"/>
          <w:szCs w:val="20"/>
        </w:rPr>
        <w:t xml:space="preserve">Velikokrat se </w:t>
      </w:r>
      <w:r w:rsidR="004A2FF4" w:rsidRPr="00C27637">
        <w:rPr>
          <w:rFonts w:ascii="Arial" w:hAnsi="Arial" w:cs="Arial"/>
          <w:sz w:val="20"/>
          <w:szCs w:val="20"/>
        </w:rPr>
        <w:t xml:space="preserve">namreč </w:t>
      </w:r>
      <w:r w:rsidR="00625525" w:rsidRPr="00C27637">
        <w:rPr>
          <w:rFonts w:ascii="Arial" w:hAnsi="Arial" w:cs="Arial"/>
          <w:sz w:val="20"/>
          <w:szCs w:val="20"/>
        </w:rPr>
        <w:t>v statute</w:t>
      </w:r>
      <w:r w:rsidR="00EF5C6A">
        <w:rPr>
          <w:rFonts w:ascii="Arial" w:hAnsi="Arial" w:cs="Arial"/>
          <w:sz w:val="20"/>
          <w:szCs w:val="20"/>
        </w:rPr>
        <w:t xml:space="preserve"> </w:t>
      </w:r>
      <w:r w:rsidR="00914051" w:rsidRPr="00C27637">
        <w:rPr>
          <w:rFonts w:ascii="Arial" w:hAnsi="Arial" w:cs="Arial"/>
          <w:sz w:val="20"/>
          <w:szCs w:val="20"/>
        </w:rPr>
        <w:t>prepis</w:t>
      </w:r>
      <w:r w:rsidR="00625525" w:rsidRPr="00C27637">
        <w:rPr>
          <w:rFonts w:ascii="Arial" w:hAnsi="Arial" w:cs="Arial"/>
          <w:sz w:val="20"/>
          <w:szCs w:val="20"/>
        </w:rPr>
        <w:t>uje</w:t>
      </w:r>
      <w:r w:rsidR="0025630C">
        <w:rPr>
          <w:rFonts w:ascii="Arial" w:hAnsi="Arial" w:cs="Arial"/>
          <w:sz w:val="20"/>
          <w:szCs w:val="20"/>
        </w:rPr>
        <w:t>jo</w:t>
      </w:r>
      <w:r w:rsidR="00914051" w:rsidRPr="00C27637">
        <w:rPr>
          <w:rFonts w:ascii="Arial" w:hAnsi="Arial" w:cs="Arial"/>
          <w:sz w:val="20"/>
          <w:szCs w:val="20"/>
        </w:rPr>
        <w:t xml:space="preserve"> določb</w:t>
      </w:r>
      <w:r w:rsidR="00625525" w:rsidRPr="00C27637">
        <w:rPr>
          <w:rFonts w:ascii="Arial" w:hAnsi="Arial" w:cs="Arial"/>
          <w:sz w:val="20"/>
          <w:szCs w:val="20"/>
        </w:rPr>
        <w:t>e</w:t>
      </w:r>
      <w:r w:rsidR="00914051" w:rsidRPr="00C27637">
        <w:rPr>
          <w:rFonts w:ascii="Arial" w:hAnsi="Arial" w:cs="Arial"/>
          <w:sz w:val="20"/>
          <w:szCs w:val="20"/>
        </w:rPr>
        <w:t xml:space="preserve"> zakona, ki se uporabljajo neposredno</w:t>
      </w:r>
      <w:r w:rsidR="00625525" w:rsidRPr="00C27637">
        <w:rPr>
          <w:rFonts w:ascii="Arial" w:hAnsi="Arial" w:cs="Arial"/>
          <w:sz w:val="20"/>
          <w:szCs w:val="20"/>
        </w:rPr>
        <w:t xml:space="preserve">, zato </w:t>
      </w:r>
      <w:r w:rsidR="005A544C">
        <w:rPr>
          <w:rFonts w:ascii="Arial" w:hAnsi="Arial" w:cs="Arial"/>
          <w:sz w:val="20"/>
          <w:szCs w:val="20"/>
        </w:rPr>
        <w:t xml:space="preserve">pride do </w:t>
      </w:r>
      <w:r w:rsidR="00914051" w:rsidRPr="00C27637">
        <w:rPr>
          <w:rFonts w:ascii="Arial" w:hAnsi="Arial" w:cs="Arial"/>
          <w:sz w:val="20"/>
          <w:szCs w:val="20"/>
        </w:rPr>
        <w:t>neskladnost</w:t>
      </w:r>
      <w:r w:rsidR="005A544C">
        <w:rPr>
          <w:rFonts w:ascii="Arial" w:hAnsi="Arial" w:cs="Arial"/>
          <w:sz w:val="20"/>
          <w:szCs w:val="20"/>
        </w:rPr>
        <w:t>i</w:t>
      </w:r>
      <w:r w:rsidR="00914051" w:rsidRPr="00C27637">
        <w:rPr>
          <w:rFonts w:ascii="Arial" w:hAnsi="Arial" w:cs="Arial"/>
          <w:sz w:val="20"/>
          <w:szCs w:val="20"/>
        </w:rPr>
        <w:t xml:space="preserve"> </w:t>
      </w:r>
      <w:r w:rsidR="00625525" w:rsidRPr="00C27637">
        <w:rPr>
          <w:rFonts w:ascii="Arial" w:hAnsi="Arial" w:cs="Arial"/>
          <w:sz w:val="20"/>
          <w:szCs w:val="20"/>
        </w:rPr>
        <w:t xml:space="preserve">statuta </w:t>
      </w:r>
      <w:r w:rsidR="005A544C">
        <w:rPr>
          <w:rFonts w:ascii="Arial" w:hAnsi="Arial" w:cs="Arial"/>
          <w:sz w:val="20"/>
          <w:szCs w:val="20"/>
        </w:rPr>
        <w:t>z z</w:t>
      </w:r>
      <w:r w:rsidR="00914051" w:rsidRPr="00C27637">
        <w:rPr>
          <w:rFonts w:ascii="Arial" w:hAnsi="Arial" w:cs="Arial"/>
          <w:sz w:val="20"/>
          <w:szCs w:val="20"/>
        </w:rPr>
        <w:t>akono</w:t>
      </w:r>
      <w:r w:rsidR="005A544C">
        <w:rPr>
          <w:rFonts w:ascii="Arial" w:hAnsi="Arial" w:cs="Arial"/>
          <w:sz w:val="20"/>
          <w:szCs w:val="20"/>
        </w:rPr>
        <w:t>m</w:t>
      </w:r>
      <w:r w:rsidR="00625525" w:rsidRPr="00C27637">
        <w:rPr>
          <w:rFonts w:ascii="Arial" w:hAnsi="Arial" w:cs="Arial"/>
          <w:sz w:val="20"/>
          <w:szCs w:val="20"/>
        </w:rPr>
        <w:t>.</w:t>
      </w:r>
      <w:r w:rsidR="00AA1E0C" w:rsidRPr="00C27637">
        <w:rPr>
          <w:rFonts w:ascii="Arial" w:hAnsi="Arial" w:cs="Arial"/>
          <w:sz w:val="20"/>
          <w:szCs w:val="20"/>
        </w:rPr>
        <w:t xml:space="preserve"> </w:t>
      </w:r>
      <w:r w:rsidR="003936AF">
        <w:rPr>
          <w:rFonts w:ascii="Arial" w:hAnsi="Arial" w:cs="Arial"/>
          <w:sz w:val="20"/>
          <w:szCs w:val="20"/>
        </w:rPr>
        <w:t>V</w:t>
      </w:r>
      <w:r w:rsidR="00AA1E0C" w:rsidRPr="00C27637">
        <w:rPr>
          <w:rFonts w:ascii="Arial" w:hAnsi="Arial" w:cs="Arial"/>
          <w:sz w:val="20"/>
          <w:szCs w:val="20"/>
        </w:rPr>
        <w:t xml:space="preserve"> statutih </w:t>
      </w:r>
      <w:r w:rsidR="003936AF">
        <w:rPr>
          <w:rFonts w:ascii="Arial" w:hAnsi="Arial" w:cs="Arial"/>
          <w:sz w:val="20"/>
          <w:szCs w:val="20"/>
        </w:rPr>
        <w:t xml:space="preserve">je </w:t>
      </w:r>
      <w:r w:rsidR="00914051" w:rsidRPr="00C27637">
        <w:rPr>
          <w:rFonts w:ascii="Arial" w:hAnsi="Arial" w:cs="Arial"/>
          <w:sz w:val="20"/>
          <w:szCs w:val="20"/>
        </w:rPr>
        <w:t>pomanjkljiva</w:t>
      </w:r>
      <w:r w:rsidR="003936AF">
        <w:rPr>
          <w:rFonts w:ascii="Arial" w:hAnsi="Arial" w:cs="Arial"/>
          <w:sz w:val="20"/>
          <w:szCs w:val="20"/>
        </w:rPr>
        <w:t xml:space="preserve"> tudi</w:t>
      </w:r>
      <w:r w:rsidR="00914051" w:rsidRPr="00C27637">
        <w:rPr>
          <w:rFonts w:ascii="Arial" w:hAnsi="Arial" w:cs="Arial"/>
          <w:sz w:val="20"/>
          <w:szCs w:val="20"/>
        </w:rPr>
        <w:t xml:space="preserve"> konkretizacija določb zakona</w:t>
      </w:r>
      <w:r w:rsidR="00AA1E0C" w:rsidRPr="00C27637">
        <w:rPr>
          <w:rFonts w:ascii="Arial" w:hAnsi="Arial" w:cs="Arial"/>
          <w:sz w:val="20"/>
          <w:szCs w:val="20"/>
        </w:rPr>
        <w:t xml:space="preserve">, kar ima za posledico </w:t>
      </w:r>
      <w:r w:rsidR="00914051" w:rsidRPr="00C27637">
        <w:rPr>
          <w:rFonts w:ascii="Arial" w:hAnsi="Arial" w:cs="Arial"/>
          <w:sz w:val="20"/>
          <w:szCs w:val="20"/>
        </w:rPr>
        <w:t>pravne praznine</w:t>
      </w:r>
      <w:r w:rsidR="003936AF">
        <w:rPr>
          <w:rFonts w:ascii="Arial" w:hAnsi="Arial" w:cs="Arial"/>
          <w:sz w:val="20"/>
          <w:szCs w:val="20"/>
        </w:rPr>
        <w:t xml:space="preserve">. Poleg tega </w:t>
      </w:r>
      <w:r w:rsidR="00AA1E0C" w:rsidRPr="00C27637">
        <w:rPr>
          <w:rFonts w:ascii="Arial" w:hAnsi="Arial" w:cs="Arial"/>
          <w:sz w:val="20"/>
          <w:szCs w:val="20"/>
        </w:rPr>
        <w:t xml:space="preserve">se </w:t>
      </w:r>
      <w:r w:rsidR="003936AF">
        <w:rPr>
          <w:rFonts w:ascii="Arial" w:hAnsi="Arial" w:cs="Arial"/>
          <w:sz w:val="20"/>
          <w:szCs w:val="20"/>
        </w:rPr>
        <w:t xml:space="preserve">pri sprejemanju ali dopolnitvah statuta občine </w:t>
      </w:r>
      <w:r w:rsidR="00914051" w:rsidRPr="00C27637">
        <w:rPr>
          <w:rFonts w:ascii="Arial" w:hAnsi="Arial" w:cs="Arial"/>
          <w:sz w:val="20"/>
          <w:szCs w:val="20"/>
        </w:rPr>
        <w:t>ne</w:t>
      </w:r>
      <w:r w:rsidR="00AA1E0C" w:rsidRPr="00C27637">
        <w:rPr>
          <w:rFonts w:ascii="Arial" w:hAnsi="Arial" w:cs="Arial"/>
          <w:sz w:val="20"/>
          <w:szCs w:val="20"/>
        </w:rPr>
        <w:t xml:space="preserve"> </w:t>
      </w:r>
      <w:r w:rsidR="00914051" w:rsidRPr="00C27637">
        <w:rPr>
          <w:rFonts w:ascii="Arial" w:hAnsi="Arial" w:cs="Arial"/>
          <w:sz w:val="20"/>
          <w:szCs w:val="20"/>
        </w:rPr>
        <w:t>upošteva razvoja pravne ureditve delovanja organov javne uprave</w:t>
      </w:r>
      <w:r w:rsidR="00AA1E0C" w:rsidRPr="00C27637">
        <w:rPr>
          <w:rFonts w:ascii="Arial" w:hAnsi="Arial" w:cs="Arial"/>
          <w:sz w:val="20"/>
          <w:szCs w:val="20"/>
        </w:rPr>
        <w:t xml:space="preserve">, npr. </w:t>
      </w:r>
      <w:r w:rsidR="00914051" w:rsidRPr="00C27637">
        <w:rPr>
          <w:rFonts w:ascii="Arial" w:hAnsi="Arial" w:cs="Arial"/>
          <w:sz w:val="20"/>
          <w:szCs w:val="20"/>
        </w:rPr>
        <w:t>dostop do informacij, sodelovanje javnosti, integriteta</w:t>
      </w:r>
      <w:r w:rsidR="00AA1E0C" w:rsidRPr="00C27637">
        <w:rPr>
          <w:rFonts w:ascii="Arial" w:hAnsi="Arial" w:cs="Arial"/>
          <w:sz w:val="20"/>
          <w:szCs w:val="20"/>
        </w:rPr>
        <w:t xml:space="preserve"> ipd.</w:t>
      </w:r>
      <w:r w:rsidR="004A2FF4" w:rsidRPr="00C27637">
        <w:rPr>
          <w:rFonts w:ascii="Arial" w:hAnsi="Arial" w:cs="Arial"/>
          <w:sz w:val="20"/>
          <w:szCs w:val="20"/>
        </w:rPr>
        <w:t xml:space="preserve"> MJU je bilo posebej pozorno na morebitno neskladje pri tistih določbah Z</w:t>
      </w:r>
      <w:r w:rsidR="00B77BAC">
        <w:rPr>
          <w:rFonts w:ascii="Arial" w:hAnsi="Arial" w:cs="Arial"/>
          <w:sz w:val="20"/>
          <w:szCs w:val="20"/>
        </w:rPr>
        <w:t>LS</w:t>
      </w:r>
      <w:r w:rsidR="004A2FF4" w:rsidRPr="00C27637">
        <w:rPr>
          <w:rFonts w:ascii="Arial" w:hAnsi="Arial" w:cs="Arial"/>
          <w:sz w:val="20"/>
          <w:szCs w:val="20"/>
        </w:rPr>
        <w:t>, ki se neposredno uporabljajo</w:t>
      </w:r>
      <w:r w:rsidR="00C0576B" w:rsidRPr="00C27637">
        <w:rPr>
          <w:rFonts w:ascii="Arial" w:hAnsi="Arial" w:cs="Arial"/>
          <w:sz w:val="20"/>
          <w:szCs w:val="20"/>
        </w:rPr>
        <w:t>:</w:t>
      </w:r>
      <w:r w:rsidR="004A2FF4" w:rsidRPr="00C27637">
        <w:rPr>
          <w:rFonts w:ascii="Arial" w:hAnsi="Arial" w:cs="Arial"/>
          <w:sz w:val="20"/>
          <w:szCs w:val="20"/>
        </w:rPr>
        <w:t xml:space="preserve"> občinski referendum</w:t>
      </w:r>
      <w:r w:rsidR="005B4A6B" w:rsidRPr="00C27637">
        <w:rPr>
          <w:rFonts w:ascii="Arial" w:hAnsi="Arial" w:cs="Arial"/>
          <w:sz w:val="20"/>
          <w:szCs w:val="20"/>
        </w:rPr>
        <w:t xml:space="preserve"> (48. člen)</w:t>
      </w:r>
      <w:r w:rsidR="004A2FF4" w:rsidRPr="00C27637">
        <w:rPr>
          <w:rFonts w:ascii="Arial" w:hAnsi="Arial" w:cs="Arial"/>
          <w:sz w:val="20"/>
          <w:szCs w:val="20"/>
        </w:rPr>
        <w:t>, določbe o nadzornem odboru</w:t>
      </w:r>
      <w:r w:rsidR="005B4A6B" w:rsidRPr="00C27637">
        <w:rPr>
          <w:rFonts w:ascii="Arial" w:hAnsi="Arial" w:cs="Arial"/>
          <w:sz w:val="20"/>
          <w:szCs w:val="20"/>
        </w:rPr>
        <w:t xml:space="preserve"> (32. in 32.a člen)</w:t>
      </w:r>
      <w:r w:rsidR="004A2FF4" w:rsidRPr="00C27637">
        <w:rPr>
          <w:rFonts w:ascii="Arial" w:hAnsi="Arial" w:cs="Arial"/>
          <w:sz w:val="20"/>
          <w:szCs w:val="20"/>
        </w:rPr>
        <w:t xml:space="preserve">, </w:t>
      </w:r>
      <w:r w:rsidR="00232E1C">
        <w:rPr>
          <w:rFonts w:ascii="Arial" w:hAnsi="Arial" w:cs="Arial"/>
          <w:sz w:val="20"/>
          <w:szCs w:val="20"/>
        </w:rPr>
        <w:t>podžupan (33.</w:t>
      </w:r>
      <w:r w:rsidR="005B4A6B" w:rsidRPr="00C27637">
        <w:rPr>
          <w:rFonts w:ascii="Arial" w:hAnsi="Arial" w:cs="Arial"/>
          <w:sz w:val="20"/>
          <w:szCs w:val="20"/>
        </w:rPr>
        <w:t xml:space="preserve">a člen), </w:t>
      </w:r>
      <w:r w:rsidR="004A2FF4" w:rsidRPr="00C27637">
        <w:rPr>
          <w:rFonts w:ascii="Arial" w:hAnsi="Arial" w:cs="Arial"/>
          <w:sz w:val="20"/>
          <w:szCs w:val="20"/>
        </w:rPr>
        <w:t>sklepčnost in odločanje občinskega sveta</w:t>
      </w:r>
      <w:r w:rsidR="005B4A6B" w:rsidRPr="00C27637">
        <w:rPr>
          <w:rFonts w:ascii="Arial" w:hAnsi="Arial" w:cs="Arial"/>
          <w:sz w:val="20"/>
          <w:szCs w:val="20"/>
        </w:rPr>
        <w:t xml:space="preserve"> (35., 36. in 64. člen)</w:t>
      </w:r>
      <w:r w:rsidR="004A2FF4" w:rsidRPr="00C27637">
        <w:rPr>
          <w:rFonts w:ascii="Arial" w:hAnsi="Arial" w:cs="Arial"/>
          <w:sz w:val="20"/>
          <w:szCs w:val="20"/>
        </w:rPr>
        <w:t xml:space="preserve">, </w:t>
      </w:r>
      <w:r w:rsidR="005B4A6B" w:rsidRPr="00C27637">
        <w:rPr>
          <w:rFonts w:ascii="Arial" w:hAnsi="Arial" w:cs="Arial"/>
          <w:sz w:val="20"/>
          <w:szCs w:val="20"/>
        </w:rPr>
        <w:t>nezdružljivost občinskih funkcionarjev (37.a in 37.b člen).</w:t>
      </w:r>
      <w:r w:rsidR="00EF5C6A">
        <w:rPr>
          <w:rFonts w:ascii="Arial" w:hAnsi="Arial" w:cs="Arial"/>
          <w:sz w:val="20"/>
          <w:szCs w:val="20"/>
        </w:rPr>
        <w:t xml:space="preserve"> </w:t>
      </w:r>
      <w:r w:rsidR="00C0576B" w:rsidRPr="00C27637">
        <w:rPr>
          <w:rFonts w:ascii="Arial" w:hAnsi="Arial" w:cs="Arial"/>
          <w:sz w:val="20"/>
          <w:szCs w:val="20"/>
        </w:rPr>
        <w:t>MJU je preverjal</w:t>
      </w:r>
      <w:r w:rsidR="007259B9">
        <w:rPr>
          <w:rFonts w:ascii="Arial" w:hAnsi="Arial" w:cs="Arial"/>
          <w:sz w:val="20"/>
          <w:szCs w:val="20"/>
        </w:rPr>
        <w:t>o</w:t>
      </w:r>
      <w:r w:rsidR="00C0576B" w:rsidRPr="00C27637">
        <w:rPr>
          <w:rFonts w:ascii="Arial" w:hAnsi="Arial" w:cs="Arial"/>
          <w:sz w:val="20"/>
          <w:szCs w:val="20"/>
        </w:rPr>
        <w:t xml:space="preserve"> tudi skladnost določb statuta s 154. členom Ustave RS, ki ureja določitev uradnega glasila občine.</w:t>
      </w:r>
    </w:p>
    <w:p w14:paraId="6CD8D374" w14:textId="77777777" w:rsidR="004A2FF4" w:rsidRPr="000E126C" w:rsidRDefault="004A2FF4" w:rsidP="00410871">
      <w:pPr>
        <w:autoSpaceDE w:val="0"/>
        <w:autoSpaceDN w:val="0"/>
        <w:adjustRightInd w:val="0"/>
        <w:spacing w:after="0" w:line="240" w:lineRule="exact"/>
        <w:jc w:val="both"/>
        <w:rPr>
          <w:rFonts w:ascii="Arial" w:hAnsi="Arial" w:cs="Arial"/>
          <w:sz w:val="20"/>
          <w:szCs w:val="20"/>
        </w:rPr>
      </w:pPr>
    </w:p>
    <w:p w14:paraId="37DF3DA9" w14:textId="0050E942" w:rsidR="00914051" w:rsidRPr="00C27637" w:rsidRDefault="00AA1E0C" w:rsidP="00EF5C6A">
      <w:pPr>
        <w:autoSpaceDE w:val="0"/>
        <w:autoSpaceDN w:val="0"/>
        <w:adjustRightInd w:val="0"/>
        <w:spacing w:line="240" w:lineRule="exact"/>
        <w:jc w:val="both"/>
        <w:rPr>
          <w:rFonts w:ascii="Arial" w:hAnsi="Arial" w:cs="Arial"/>
          <w:sz w:val="20"/>
          <w:szCs w:val="20"/>
        </w:rPr>
      </w:pPr>
      <w:r w:rsidRPr="00C27637">
        <w:rPr>
          <w:rFonts w:ascii="Arial" w:hAnsi="Arial" w:cs="Arial"/>
          <w:bCs/>
          <w:sz w:val="20"/>
          <w:szCs w:val="20"/>
        </w:rPr>
        <w:t>Pri pregledu poslovnikov občinskih svetov je MJU ugotovilo, da so</w:t>
      </w:r>
      <w:r w:rsidR="003445C5" w:rsidRPr="00C27637">
        <w:rPr>
          <w:rFonts w:ascii="Arial" w:hAnsi="Arial" w:cs="Arial"/>
          <w:bCs/>
          <w:sz w:val="20"/>
          <w:szCs w:val="20"/>
        </w:rPr>
        <w:t xml:space="preserve"> </w:t>
      </w:r>
      <w:r w:rsidR="00EF5C6A">
        <w:rPr>
          <w:rFonts w:ascii="Arial" w:hAnsi="Arial" w:cs="Arial"/>
          <w:bCs/>
          <w:sz w:val="20"/>
          <w:szCs w:val="20"/>
        </w:rPr>
        <w:t>občinski sveti pri sprejemanju poslovnikov vanj prepisovali določbe zakona, po spremembi teh določba zakona pa niso uskladili poslovnika.</w:t>
      </w:r>
      <w:r w:rsidR="00E345CA" w:rsidRPr="00C27637">
        <w:rPr>
          <w:rFonts w:ascii="Arial" w:hAnsi="Arial" w:cs="Arial"/>
          <w:sz w:val="20"/>
          <w:szCs w:val="20"/>
        </w:rPr>
        <w:t xml:space="preserve"> Pri tem gre </w:t>
      </w:r>
      <w:r w:rsidR="00EF5C6A">
        <w:rPr>
          <w:rFonts w:ascii="Arial" w:hAnsi="Arial" w:cs="Arial"/>
          <w:sz w:val="20"/>
          <w:szCs w:val="20"/>
        </w:rPr>
        <w:t xml:space="preserve">tako </w:t>
      </w:r>
      <w:r w:rsidR="00E345CA" w:rsidRPr="00C27637">
        <w:rPr>
          <w:rFonts w:ascii="Arial" w:hAnsi="Arial" w:cs="Arial"/>
          <w:sz w:val="20"/>
          <w:szCs w:val="20"/>
        </w:rPr>
        <w:t>za</w:t>
      </w:r>
      <w:r w:rsidR="00914051" w:rsidRPr="00C27637">
        <w:rPr>
          <w:rFonts w:ascii="Arial" w:hAnsi="Arial" w:cs="Arial"/>
          <w:sz w:val="20"/>
          <w:szCs w:val="20"/>
        </w:rPr>
        <w:t xml:space="preserve"> ne</w:t>
      </w:r>
      <w:r w:rsidR="0025630C">
        <w:rPr>
          <w:rFonts w:ascii="Arial" w:hAnsi="Arial" w:cs="Arial"/>
          <w:sz w:val="20"/>
          <w:szCs w:val="20"/>
        </w:rPr>
        <w:t>usklajenost</w:t>
      </w:r>
      <w:r w:rsidR="00914051" w:rsidRPr="00C27637">
        <w:rPr>
          <w:rFonts w:ascii="Arial" w:hAnsi="Arial" w:cs="Arial"/>
          <w:sz w:val="20"/>
          <w:szCs w:val="20"/>
        </w:rPr>
        <w:t xml:space="preserve"> zaradi spreminjanja zakonov, </w:t>
      </w:r>
      <w:r w:rsidR="00EF5C6A">
        <w:rPr>
          <w:rFonts w:ascii="Arial" w:hAnsi="Arial" w:cs="Arial"/>
          <w:sz w:val="20"/>
          <w:szCs w:val="20"/>
        </w:rPr>
        <w:t xml:space="preserve">kot tudi </w:t>
      </w:r>
      <w:r w:rsidR="00914051" w:rsidRPr="00C27637">
        <w:rPr>
          <w:rFonts w:ascii="Arial" w:hAnsi="Arial" w:cs="Arial"/>
          <w:sz w:val="20"/>
          <w:szCs w:val="20"/>
        </w:rPr>
        <w:t>podvajanje določb</w:t>
      </w:r>
      <w:r w:rsidR="00E345CA" w:rsidRPr="00C27637">
        <w:rPr>
          <w:rFonts w:ascii="Arial" w:hAnsi="Arial" w:cs="Arial"/>
          <w:sz w:val="20"/>
          <w:szCs w:val="20"/>
        </w:rPr>
        <w:t>, ki so</w:t>
      </w:r>
      <w:r w:rsidR="00914051" w:rsidRPr="00C27637">
        <w:rPr>
          <w:rFonts w:ascii="Arial" w:hAnsi="Arial" w:cs="Arial"/>
          <w:sz w:val="20"/>
          <w:szCs w:val="20"/>
        </w:rPr>
        <w:t xml:space="preserve"> že vsebovan</w:t>
      </w:r>
      <w:r w:rsidR="00E345CA" w:rsidRPr="00C27637">
        <w:rPr>
          <w:rFonts w:ascii="Arial" w:hAnsi="Arial" w:cs="Arial"/>
          <w:sz w:val="20"/>
          <w:szCs w:val="20"/>
        </w:rPr>
        <w:t>e</w:t>
      </w:r>
      <w:r w:rsidR="00914051" w:rsidRPr="00C27637">
        <w:rPr>
          <w:rFonts w:ascii="Arial" w:hAnsi="Arial" w:cs="Arial"/>
          <w:sz w:val="20"/>
          <w:szCs w:val="20"/>
        </w:rPr>
        <w:t xml:space="preserve"> v </w:t>
      </w:r>
      <w:r w:rsidR="00EF5C6A">
        <w:rPr>
          <w:rFonts w:ascii="Arial" w:hAnsi="Arial" w:cs="Arial"/>
          <w:sz w:val="20"/>
          <w:szCs w:val="20"/>
        </w:rPr>
        <w:t xml:space="preserve">zakonu ali </w:t>
      </w:r>
      <w:r w:rsidR="00914051" w:rsidRPr="00C27637">
        <w:rPr>
          <w:rFonts w:ascii="Arial" w:hAnsi="Arial" w:cs="Arial"/>
          <w:sz w:val="20"/>
          <w:szCs w:val="20"/>
        </w:rPr>
        <w:t>statutu</w:t>
      </w:r>
      <w:r w:rsidR="00E345CA" w:rsidRPr="00C27637">
        <w:rPr>
          <w:rFonts w:ascii="Arial" w:hAnsi="Arial" w:cs="Arial"/>
          <w:sz w:val="20"/>
          <w:szCs w:val="20"/>
        </w:rPr>
        <w:t xml:space="preserve"> </w:t>
      </w:r>
      <w:r w:rsidR="00EF5C6A">
        <w:rPr>
          <w:rFonts w:ascii="Arial" w:hAnsi="Arial" w:cs="Arial"/>
          <w:sz w:val="20"/>
          <w:szCs w:val="20"/>
        </w:rPr>
        <w:t xml:space="preserve">občine. </w:t>
      </w:r>
      <w:r w:rsidR="0091009F" w:rsidRPr="00C27637">
        <w:rPr>
          <w:rFonts w:ascii="Arial" w:hAnsi="Arial" w:cs="Arial"/>
          <w:sz w:val="20"/>
          <w:szCs w:val="20"/>
        </w:rPr>
        <w:t>Ugotovl</w:t>
      </w:r>
      <w:r w:rsidR="00B6352A" w:rsidRPr="00C27637">
        <w:rPr>
          <w:rFonts w:ascii="Arial" w:hAnsi="Arial" w:cs="Arial"/>
          <w:sz w:val="20"/>
          <w:szCs w:val="20"/>
        </w:rPr>
        <w:t>jen</w:t>
      </w:r>
      <w:r w:rsidR="0091009F" w:rsidRPr="00C27637">
        <w:rPr>
          <w:rFonts w:ascii="Arial" w:hAnsi="Arial" w:cs="Arial"/>
          <w:sz w:val="20"/>
          <w:szCs w:val="20"/>
        </w:rPr>
        <w:t>o je</w:t>
      </w:r>
      <w:r w:rsidR="00B6352A" w:rsidRPr="00C27637">
        <w:rPr>
          <w:rFonts w:ascii="Arial" w:hAnsi="Arial" w:cs="Arial"/>
          <w:sz w:val="20"/>
          <w:szCs w:val="20"/>
        </w:rPr>
        <w:t xml:space="preserve"> bilo tudi</w:t>
      </w:r>
      <w:r w:rsidR="0091009F" w:rsidRPr="00C27637">
        <w:rPr>
          <w:rFonts w:ascii="Arial" w:hAnsi="Arial" w:cs="Arial"/>
          <w:sz w:val="20"/>
          <w:szCs w:val="20"/>
        </w:rPr>
        <w:t>, da</w:t>
      </w:r>
      <w:r w:rsidR="00025BF5" w:rsidRPr="00C27637">
        <w:rPr>
          <w:rFonts w:ascii="Arial" w:hAnsi="Arial" w:cs="Arial"/>
          <w:sz w:val="20"/>
          <w:szCs w:val="20"/>
        </w:rPr>
        <w:t xml:space="preserve"> je v poslovnikih občinskih svetov </w:t>
      </w:r>
      <w:r w:rsidR="0091009F" w:rsidRPr="00C27637">
        <w:rPr>
          <w:rFonts w:ascii="Arial" w:hAnsi="Arial" w:cs="Arial"/>
          <w:sz w:val="20"/>
          <w:szCs w:val="20"/>
        </w:rPr>
        <w:t xml:space="preserve">pomanjkljiva konkretizacija določb </w:t>
      </w:r>
      <w:r w:rsidR="00025BF5" w:rsidRPr="00C27637">
        <w:rPr>
          <w:rFonts w:ascii="Arial" w:hAnsi="Arial" w:cs="Arial"/>
          <w:sz w:val="20"/>
          <w:szCs w:val="20"/>
        </w:rPr>
        <w:t xml:space="preserve">iz </w:t>
      </w:r>
      <w:r w:rsidR="0091009F" w:rsidRPr="00C27637">
        <w:rPr>
          <w:rFonts w:ascii="Arial" w:hAnsi="Arial" w:cs="Arial"/>
          <w:sz w:val="20"/>
          <w:szCs w:val="20"/>
        </w:rPr>
        <w:t>zakona</w:t>
      </w:r>
      <w:r w:rsidR="00025BF5" w:rsidRPr="00C27637">
        <w:rPr>
          <w:rFonts w:ascii="Arial" w:hAnsi="Arial" w:cs="Arial"/>
          <w:sz w:val="20"/>
          <w:szCs w:val="20"/>
        </w:rPr>
        <w:t xml:space="preserve"> in statuta</w:t>
      </w:r>
      <w:r w:rsidR="0091009F" w:rsidRPr="00C27637">
        <w:rPr>
          <w:rFonts w:ascii="Arial" w:hAnsi="Arial" w:cs="Arial"/>
          <w:sz w:val="20"/>
          <w:szCs w:val="20"/>
        </w:rPr>
        <w:t>, kar ima za posledico pravne praznine</w:t>
      </w:r>
      <w:r w:rsidR="00ED4957" w:rsidRPr="00C27637">
        <w:rPr>
          <w:rFonts w:ascii="Arial" w:hAnsi="Arial" w:cs="Arial"/>
          <w:sz w:val="20"/>
          <w:szCs w:val="20"/>
        </w:rPr>
        <w:t xml:space="preserve"> ter</w:t>
      </w:r>
      <w:r w:rsidR="00186054" w:rsidRPr="00C27637">
        <w:rPr>
          <w:rFonts w:ascii="Arial" w:hAnsi="Arial" w:cs="Arial"/>
          <w:sz w:val="20"/>
          <w:szCs w:val="20"/>
        </w:rPr>
        <w:t xml:space="preserve"> da se </w:t>
      </w:r>
      <w:r w:rsidR="00914051" w:rsidRPr="00C27637">
        <w:rPr>
          <w:rFonts w:ascii="Arial" w:hAnsi="Arial" w:cs="Arial"/>
          <w:sz w:val="20"/>
          <w:szCs w:val="20"/>
        </w:rPr>
        <w:t>neusklajeno oz</w:t>
      </w:r>
      <w:r w:rsidR="00186054" w:rsidRPr="00C27637">
        <w:rPr>
          <w:rFonts w:ascii="Arial" w:hAnsi="Arial" w:cs="Arial"/>
          <w:sz w:val="20"/>
          <w:szCs w:val="20"/>
        </w:rPr>
        <w:t>.</w:t>
      </w:r>
      <w:r w:rsidR="00914051" w:rsidRPr="00C27637">
        <w:rPr>
          <w:rFonts w:ascii="Arial" w:hAnsi="Arial" w:cs="Arial"/>
          <w:sz w:val="20"/>
          <w:szCs w:val="20"/>
        </w:rPr>
        <w:t xml:space="preserve"> napačno določa določb</w:t>
      </w:r>
      <w:r w:rsidR="00186054" w:rsidRPr="00C27637">
        <w:rPr>
          <w:rFonts w:ascii="Arial" w:hAnsi="Arial" w:cs="Arial"/>
          <w:sz w:val="20"/>
          <w:szCs w:val="20"/>
        </w:rPr>
        <w:t>e</w:t>
      </w:r>
      <w:r w:rsidR="00914051" w:rsidRPr="00C27637">
        <w:rPr>
          <w:rFonts w:ascii="Arial" w:hAnsi="Arial" w:cs="Arial"/>
          <w:sz w:val="20"/>
          <w:szCs w:val="20"/>
        </w:rPr>
        <w:t xml:space="preserve"> o dostopu do informacij javnega značaja</w:t>
      </w:r>
      <w:r w:rsidR="00186054" w:rsidRPr="00C27637">
        <w:rPr>
          <w:rFonts w:ascii="Arial" w:hAnsi="Arial" w:cs="Arial"/>
          <w:sz w:val="20"/>
          <w:szCs w:val="20"/>
        </w:rPr>
        <w:t>,</w:t>
      </w:r>
      <w:r w:rsidR="00914051" w:rsidRPr="00C27637">
        <w:rPr>
          <w:rFonts w:ascii="Arial" w:hAnsi="Arial" w:cs="Arial"/>
          <w:sz w:val="20"/>
          <w:szCs w:val="20"/>
        </w:rPr>
        <w:t xml:space="preserve"> </w:t>
      </w:r>
      <w:r w:rsidR="00186054" w:rsidRPr="00C27637">
        <w:rPr>
          <w:rFonts w:ascii="Arial" w:hAnsi="Arial" w:cs="Arial"/>
          <w:sz w:val="20"/>
          <w:szCs w:val="20"/>
        </w:rPr>
        <w:t xml:space="preserve">glede zahteve za </w:t>
      </w:r>
      <w:r w:rsidR="00914051" w:rsidRPr="00C27637">
        <w:rPr>
          <w:rFonts w:ascii="Arial" w:hAnsi="Arial" w:cs="Arial"/>
          <w:sz w:val="20"/>
          <w:szCs w:val="20"/>
        </w:rPr>
        <w:t>izkazovanje pravnega interesa stranke</w:t>
      </w:r>
      <w:r w:rsidR="00ED4957" w:rsidRPr="00C27637">
        <w:rPr>
          <w:rFonts w:ascii="Arial" w:hAnsi="Arial" w:cs="Arial"/>
          <w:sz w:val="20"/>
          <w:szCs w:val="20"/>
        </w:rPr>
        <w:t>. Nadalje</w:t>
      </w:r>
      <w:r w:rsidR="00F15939">
        <w:rPr>
          <w:rFonts w:ascii="Arial" w:hAnsi="Arial" w:cs="Arial"/>
          <w:sz w:val="20"/>
          <w:szCs w:val="20"/>
        </w:rPr>
        <w:t>,</w:t>
      </w:r>
      <w:r w:rsidR="00B6352A" w:rsidRPr="00C27637">
        <w:rPr>
          <w:rFonts w:ascii="Arial" w:hAnsi="Arial" w:cs="Arial"/>
          <w:sz w:val="20"/>
          <w:szCs w:val="20"/>
        </w:rPr>
        <w:t xml:space="preserve"> poslovniki niso vsebovali določb o sodelovanju </w:t>
      </w:r>
      <w:r w:rsidR="00914051" w:rsidRPr="00C27637">
        <w:rPr>
          <w:rFonts w:ascii="Arial" w:hAnsi="Arial" w:cs="Arial"/>
          <w:sz w:val="20"/>
          <w:szCs w:val="20"/>
        </w:rPr>
        <w:t>javnosti</w:t>
      </w:r>
      <w:r w:rsidR="00186054" w:rsidRPr="00C27637">
        <w:rPr>
          <w:rFonts w:ascii="Arial" w:hAnsi="Arial" w:cs="Arial"/>
          <w:sz w:val="20"/>
          <w:szCs w:val="20"/>
        </w:rPr>
        <w:t xml:space="preserve"> </w:t>
      </w:r>
      <w:r w:rsidR="00914051" w:rsidRPr="00C27637">
        <w:rPr>
          <w:rFonts w:ascii="Arial" w:hAnsi="Arial" w:cs="Arial"/>
          <w:sz w:val="20"/>
          <w:szCs w:val="20"/>
        </w:rPr>
        <w:t>že v prvi fazi priprave predpisov</w:t>
      </w:r>
      <w:r w:rsidR="00186054" w:rsidRPr="00C27637">
        <w:rPr>
          <w:rFonts w:ascii="Arial" w:hAnsi="Arial" w:cs="Arial"/>
          <w:sz w:val="20"/>
          <w:szCs w:val="20"/>
        </w:rPr>
        <w:t xml:space="preserve">, </w:t>
      </w:r>
      <w:r w:rsidR="00914051" w:rsidRPr="00C27637">
        <w:rPr>
          <w:rFonts w:ascii="Arial" w:hAnsi="Arial" w:cs="Arial"/>
          <w:sz w:val="20"/>
          <w:szCs w:val="20"/>
        </w:rPr>
        <w:t>vs</w:t>
      </w:r>
      <w:r w:rsidR="00186054" w:rsidRPr="00C27637">
        <w:rPr>
          <w:rFonts w:ascii="Arial" w:hAnsi="Arial" w:cs="Arial"/>
          <w:sz w:val="20"/>
          <w:szCs w:val="20"/>
        </w:rPr>
        <w:t>i</w:t>
      </w:r>
      <w:r w:rsidR="00914051" w:rsidRPr="00C27637">
        <w:rPr>
          <w:rFonts w:ascii="Arial" w:hAnsi="Arial" w:cs="Arial"/>
          <w:sz w:val="20"/>
          <w:szCs w:val="20"/>
        </w:rPr>
        <w:t xml:space="preserve"> predlog</w:t>
      </w:r>
      <w:r w:rsidR="00186054" w:rsidRPr="00C27637">
        <w:rPr>
          <w:rFonts w:ascii="Arial" w:hAnsi="Arial" w:cs="Arial"/>
          <w:sz w:val="20"/>
          <w:szCs w:val="20"/>
        </w:rPr>
        <w:t>i</w:t>
      </w:r>
      <w:r w:rsidR="00914051" w:rsidRPr="00C27637">
        <w:rPr>
          <w:rFonts w:ascii="Arial" w:hAnsi="Arial" w:cs="Arial"/>
          <w:sz w:val="20"/>
          <w:szCs w:val="20"/>
        </w:rPr>
        <w:t xml:space="preserve"> </w:t>
      </w:r>
      <w:r w:rsidR="003936AF">
        <w:rPr>
          <w:rFonts w:ascii="Arial" w:hAnsi="Arial" w:cs="Arial"/>
          <w:sz w:val="20"/>
          <w:szCs w:val="20"/>
        </w:rPr>
        <w:t>splošnih aktov</w:t>
      </w:r>
      <w:r w:rsidR="00186054" w:rsidRPr="00C27637">
        <w:rPr>
          <w:rFonts w:ascii="Arial" w:hAnsi="Arial" w:cs="Arial"/>
          <w:sz w:val="20"/>
          <w:szCs w:val="20"/>
        </w:rPr>
        <w:t xml:space="preserve"> </w:t>
      </w:r>
      <w:r w:rsidR="003936AF">
        <w:rPr>
          <w:rFonts w:ascii="Arial" w:hAnsi="Arial" w:cs="Arial"/>
          <w:sz w:val="20"/>
          <w:szCs w:val="20"/>
        </w:rPr>
        <w:t xml:space="preserve">v času priprave </w:t>
      </w:r>
      <w:r w:rsidR="00186054" w:rsidRPr="00C27637">
        <w:rPr>
          <w:rFonts w:ascii="Arial" w:hAnsi="Arial" w:cs="Arial"/>
          <w:sz w:val="20"/>
          <w:szCs w:val="20"/>
        </w:rPr>
        <w:t>n</w:t>
      </w:r>
      <w:r w:rsidR="003936AF">
        <w:rPr>
          <w:rFonts w:ascii="Arial" w:hAnsi="Arial" w:cs="Arial"/>
          <w:sz w:val="20"/>
          <w:szCs w:val="20"/>
        </w:rPr>
        <w:t>iso bili</w:t>
      </w:r>
      <w:r w:rsidR="00186054" w:rsidRPr="00C27637">
        <w:rPr>
          <w:rFonts w:ascii="Arial" w:hAnsi="Arial" w:cs="Arial"/>
          <w:sz w:val="20"/>
          <w:szCs w:val="20"/>
        </w:rPr>
        <w:t xml:space="preserve"> objavlj</w:t>
      </w:r>
      <w:r w:rsidR="003936AF">
        <w:rPr>
          <w:rFonts w:ascii="Arial" w:hAnsi="Arial" w:cs="Arial"/>
          <w:sz w:val="20"/>
          <w:szCs w:val="20"/>
        </w:rPr>
        <w:t xml:space="preserve">eni, včasih pa so bili </w:t>
      </w:r>
      <w:r w:rsidR="00914051" w:rsidRPr="00C27637">
        <w:rPr>
          <w:rFonts w:ascii="Arial" w:hAnsi="Arial" w:cs="Arial"/>
          <w:sz w:val="20"/>
          <w:szCs w:val="20"/>
        </w:rPr>
        <w:t>napačno določ</w:t>
      </w:r>
      <w:r w:rsidR="003936AF">
        <w:rPr>
          <w:rFonts w:ascii="Arial" w:hAnsi="Arial" w:cs="Arial"/>
          <w:sz w:val="20"/>
          <w:szCs w:val="20"/>
        </w:rPr>
        <w:t>ene</w:t>
      </w:r>
      <w:r w:rsidR="00914051" w:rsidRPr="00C27637">
        <w:rPr>
          <w:rFonts w:ascii="Arial" w:hAnsi="Arial" w:cs="Arial"/>
          <w:sz w:val="20"/>
          <w:szCs w:val="20"/>
        </w:rPr>
        <w:t xml:space="preserve"> pristojnosti posameznih organov občine (župan</w:t>
      </w:r>
      <w:r w:rsidR="00186054" w:rsidRPr="00C27637">
        <w:rPr>
          <w:rFonts w:ascii="Arial" w:hAnsi="Arial" w:cs="Arial"/>
          <w:sz w:val="20"/>
          <w:szCs w:val="20"/>
        </w:rPr>
        <w:t>a</w:t>
      </w:r>
      <w:r w:rsidR="00914051" w:rsidRPr="00C27637">
        <w:rPr>
          <w:rFonts w:ascii="Arial" w:hAnsi="Arial" w:cs="Arial"/>
          <w:sz w:val="20"/>
          <w:szCs w:val="20"/>
        </w:rPr>
        <w:t>, občinsk</w:t>
      </w:r>
      <w:r w:rsidR="00186054" w:rsidRPr="00C27637">
        <w:rPr>
          <w:rFonts w:ascii="Arial" w:hAnsi="Arial" w:cs="Arial"/>
          <w:sz w:val="20"/>
          <w:szCs w:val="20"/>
        </w:rPr>
        <w:t>ega</w:t>
      </w:r>
      <w:r w:rsidR="00914051" w:rsidRPr="00C27637">
        <w:rPr>
          <w:rFonts w:ascii="Arial" w:hAnsi="Arial" w:cs="Arial"/>
          <w:sz w:val="20"/>
          <w:szCs w:val="20"/>
        </w:rPr>
        <w:t xml:space="preserve"> svet</w:t>
      </w:r>
      <w:r w:rsidR="00186054" w:rsidRPr="00C27637">
        <w:rPr>
          <w:rFonts w:ascii="Arial" w:hAnsi="Arial" w:cs="Arial"/>
          <w:sz w:val="20"/>
          <w:szCs w:val="20"/>
        </w:rPr>
        <w:t>a</w:t>
      </w:r>
      <w:r w:rsidR="00914051" w:rsidRPr="00C27637">
        <w:rPr>
          <w:rFonts w:ascii="Arial" w:hAnsi="Arial" w:cs="Arial"/>
          <w:sz w:val="20"/>
          <w:szCs w:val="20"/>
        </w:rPr>
        <w:t xml:space="preserve"> in nadzorn</w:t>
      </w:r>
      <w:r w:rsidR="00186054" w:rsidRPr="00C27637">
        <w:rPr>
          <w:rFonts w:ascii="Arial" w:hAnsi="Arial" w:cs="Arial"/>
          <w:sz w:val="20"/>
          <w:szCs w:val="20"/>
        </w:rPr>
        <w:t>ega</w:t>
      </w:r>
      <w:r w:rsidR="00914051" w:rsidRPr="00C27637">
        <w:rPr>
          <w:rFonts w:ascii="Arial" w:hAnsi="Arial" w:cs="Arial"/>
          <w:sz w:val="20"/>
          <w:szCs w:val="20"/>
        </w:rPr>
        <w:t xml:space="preserve"> odbor</w:t>
      </w:r>
      <w:r w:rsidR="00186054" w:rsidRPr="00C27637">
        <w:rPr>
          <w:rFonts w:ascii="Arial" w:hAnsi="Arial" w:cs="Arial"/>
          <w:sz w:val="20"/>
          <w:szCs w:val="20"/>
        </w:rPr>
        <w:t>a</w:t>
      </w:r>
      <w:r w:rsidR="00B6352A" w:rsidRPr="00C27637">
        <w:rPr>
          <w:rFonts w:ascii="Arial" w:hAnsi="Arial" w:cs="Arial"/>
          <w:sz w:val="20"/>
          <w:szCs w:val="20"/>
        </w:rPr>
        <w:t>)</w:t>
      </w:r>
      <w:r w:rsidR="00186054" w:rsidRPr="00C27637">
        <w:rPr>
          <w:rFonts w:ascii="Arial" w:hAnsi="Arial" w:cs="Arial"/>
          <w:sz w:val="20"/>
          <w:szCs w:val="20"/>
        </w:rPr>
        <w:t>.</w:t>
      </w:r>
      <w:r w:rsidR="00914051" w:rsidRPr="00C27637">
        <w:rPr>
          <w:rFonts w:ascii="Arial" w:hAnsi="Arial" w:cs="Arial"/>
          <w:sz w:val="20"/>
          <w:szCs w:val="20"/>
        </w:rPr>
        <w:t xml:space="preserve"> </w:t>
      </w:r>
      <w:r w:rsidR="00ED4957" w:rsidRPr="00C27637">
        <w:rPr>
          <w:rFonts w:ascii="Arial" w:hAnsi="Arial" w:cs="Arial"/>
          <w:sz w:val="20"/>
          <w:szCs w:val="20"/>
        </w:rPr>
        <w:t xml:space="preserve">Posebna ugotovitev </w:t>
      </w:r>
      <w:r w:rsidR="003B7EAB" w:rsidRPr="00C27637">
        <w:rPr>
          <w:rFonts w:ascii="Arial" w:hAnsi="Arial" w:cs="Arial"/>
          <w:sz w:val="20"/>
          <w:szCs w:val="20"/>
        </w:rPr>
        <w:t xml:space="preserve">MJU </w:t>
      </w:r>
      <w:r w:rsidR="00ED4957" w:rsidRPr="00C27637">
        <w:rPr>
          <w:rFonts w:ascii="Arial" w:hAnsi="Arial" w:cs="Arial"/>
          <w:sz w:val="20"/>
          <w:szCs w:val="20"/>
        </w:rPr>
        <w:t xml:space="preserve">se je velikokrat nanašala tudi na </w:t>
      </w:r>
      <w:r w:rsidR="00914051" w:rsidRPr="00C27637">
        <w:rPr>
          <w:rFonts w:ascii="Arial" w:hAnsi="Arial" w:cs="Arial"/>
          <w:sz w:val="20"/>
          <w:szCs w:val="20"/>
        </w:rPr>
        <w:t>(ne)upoštevanje določb Zakona o integriteti in preprečevanju korupcije.</w:t>
      </w:r>
    </w:p>
    <w:p w14:paraId="4C185517" w14:textId="4CA9689E" w:rsidR="00914051" w:rsidRPr="00C27637" w:rsidRDefault="003B7EAB" w:rsidP="00410871">
      <w:pPr>
        <w:autoSpaceDE w:val="0"/>
        <w:autoSpaceDN w:val="0"/>
        <w:adjustRightInd w:val="0"/>
        <w:spacing w:after="0" w:line="240" w:lineRule="exact"/>
        <w:jc w:val="both"/>
        <w:rPr>
          <w:rFonts w:ascii="Arial" w:hAnsi="Arial" w:cs="Arial"/>
          <w:sz w:val="20"/>
          <w:szCs w:val="20"/>
        </w:rPr>
      </w:pPr>
      <w:r w:rsidRPr="00C27637">
        <w:rPr>
          <w:rFonts w:ascii="Arial" w:hAnsi="Arial" w:cs="Arial"/>
          <w:bCs/>
          <w:sz w:val="20"/>
          <w:szCs w:val="20"/>
        </w:rPr>
        <w:lastRenderedPageBreak/>
        <w:t xml:space="preserve">Pri pregledu poslovnikov nadzornih odborov občin je MJU ugotovilo, da so le-ti </w:t>
      </w:r>
      <w:r w:rsidRPr="00C27637">
        <w:rPr>
          <w:rFonts w:ascii="Arial" w:hAnsi="Arial" w:cs="Arial"/>
          <w:sz w:val="20"/>
          <w:szCs w:val="20"/>
        </w:rPr>
        <w:t xml:space="preserve">običajno v neskladju z ustavo in zakoni </w:t>
      </w:r>
      <w:r w:rsidR="00231A53" w:rsidRPr="00C27637">
        <w:rPr>
          <w:rFonts w:ascii="Arial" w:hAnsi="Arial" w:cs="Arial"/>
          <w:sz w:val="20"/>
          <w:szCs w:val="20"/>
        </w:rPr>
        <w:t xml:space="preserve">ter </w:t>
      </w:r>
      <w:r w:rsidR="0092276E" w:rsidRPr="00C27637">
        <w:rPr>
          <w:rFonts w:ascii="Arial" w:hAnsi="Arial" w:cs="Arial"/>
          <w:sz w:val="20"/>
          <w:szCs w:val="20"/>
        </w:rPr>
        <w:t xml:space="preserve">da </w:t>
      </w:r>
      <w:r w:rsidR="00914051" w:rsidRPr="00C27637">
        <w:rPr>
          <w:rFonts w:ascii="Arial" w:hAnsi="Arial" w:cs="Arial"/>
          <w:sz w:val="20"/>
          <w:szCs w:val="20"/>
        </w:rPr>
        <w:t>poslovnik nadzornega odbora ni objavljen v občinskem uradnem glasilu</w:t>
      </w:r>
      <w:r w:rsidR="0092276E" w:rsidRPr="00C27637">
        <w:rPr>
          <w:rFonts w:ascii="Arial" w:hAnsi="Arial" w:cs="Arial"/>
          <w:sz w:val="20"/>
          <w:szCs w:val="20"/>
        </w:rPr>
        <w:t xml:space="preserve"> </w:t>
      </w:r>
      <w:r w:rsidR="00231A53" w:rsidRPr="00C27637">
        <w:rPr>
          <w:rFonts w:ascii="Arial" w:hAnsi="Arial" w:cs="Arial"/>
          <w:sz w:val="20"/>
          <w:szCs w:val="20"/>
        </w:rPr>
        <w:t>in</w:t>
      </w:r>
      <w:r w:rsidR="0092276E" w:rsidRPr="00C27637">
        <w:rPr>
          <w:rFonts w:ascii="Arial" w:hAnsi="Arial" w:cs="Arial"/>
          <w:sz w:val="20"/>
          <w:szCs w:val="20"/>
        </w:rPr>
        <w:t xml:space="preserve"> da so </w:t>
      </w:r>
      <w:r w:rsidR="00914051" w:rsidRPr="00C27637">
        <w:rPr>
          <w:rFonts w:ascii="Arial" w:hAnsi="Arial" w:cs="Arial"/>
          <w:sz w:val="20"/>
          <w:szCs w:val="20"/>
        </w:rPr>
        <w:t xml:space="preserve">neusklajeni </w:t>
      </w:r>
      <w:r w:rsidR="00D03930" w:rsidRPr="00C27637">
        <w:rPr>
          <w:rFonts w:ascii="Arial" w:hAnsi="Arial" w:cs="Arial"/>
          <w:sz w:val="20"/>
          <w:szCs w:val="20"/>
        </w:rPr>
        <w:t>oz. v njih niso upoštevane določbe i</w:t>
      </w:r>
      <w:r w:rsidR="00914051" w:rsidRPr="00C27637">
        <w:rPr>
          <w:rFonts w:ascii="Arial" w:hAnsi="Arial" w:cs="Arial"/>
          <w:sz w:val="20"/>
          <w:szCs w:val="20"/>
        </w:rPr>
        <w:t>z Pravilnika o obveznih sestavinah poročila nadzornega odbora občine</w:t>
      </w:r>
      <w:r w:rsidR="0092276E" w:rsidRPr="00C27637">
        <w:rPr>
          <w:rFonts w:ascii="Arial" w:hAnsi="Arial" w:cs="Arial"/>
          <w:sz w:val="20"/>
          <w:szCs w:val="20"/>
        </w:rPr>
        <w:t>.</w:t>
      </w:r>
      <w:r w:rsidR="00914051" w:rsidRPr="00C27637">
        <w:rPr>
          <w:rFonts w:ascii="Arial" w:hAnsi="Arial" w:cs="Arial"/>
          <w:sz w:val="20"/>
          <w:szCs w:val="20"/>
        </w:rPr>
        <w:t xml:space="preserve"> </w:t>
      </w:r>
      <w:r w:rsidR="005161D8" w:rsidRPr="00C27637">
        <w:rPr>
          <w:rFonts w:ascii="Arial" w:hAnsi="Arial" w:cs="Arial"/>
          <w:sz w:val="20"/>
          <w:szCs w:val="20"/>
        </w:rPr>
        <w:t xml:space="preserve">MJU je </w:t>
      </w:r>
      <w:r w:rsidR="00B55791">
        <w:rPr>
          <w:rFonts w:ascii="Arial" w:hAnsi="Arial" w:cs="Arial"/>
          <w:sz w:val="20"/>
          <w:szCs w:val="20"/>
        </w:rPr>
        <w:t>še</w:t>
      </w:r>
      <w:r w:rsidR="005161D8" w:rsidRPr="00C27637">
        <w:rPr>
          <w:rFonts w:ascii="Arial" w:hAnsi="Arial" w:cs="Arial"/>
          <w:sz w:val="20"/>
          <w:szCs w:val="20"/>
        </w:rPr>
        <w:t xml:space="preserve"> ugotovilo, da se v poslovnik </w:t>
      </w:r>
      <w:r w:rsidR="00914051" w:rsidRPr="00C27637">
        <w:rPr>
          <w:rFonts w:ascii="Arial" w:hAnsi="Arial" w:cs="Arial"/>
          <w:sz w:val="20"/>
          <w:szCs w:val="20"/>
        </w:rPr>
        <w:t>prepis</w:t>
      </w:r>
      <w:r w:rsidR="005161D8" w:rsidRPr="00C27637">
        <w:rPr>
          <w:rFonts w:ascii="Arial" w:hAnsi="Arial" w:cs="Arial"/>
          <w:sz w:val="20"/>
          <w:szCs w:val="20"/>
        </w:rPr>
        <w:t>ujejo</w:t>
      </w:r>
      <w:r w:rsidR="00914051" w:rsidRPr="00C27637">
        <w:rPr>
          <w:rFonts w:ascii="Arial" w:hAnsi="Arial" w:cs="Arial"/>
          <w:sz w:val="20"/>
          <w:szCs w:val="20"/>
        </w:rPr>
        <w:t xml:space="preserve"> določb</w:t>
      </w:r>
      <w:r w:rsidR="005161D8" w:rsidRPr="00C27637">
        <w:rPr>
          <w:rFonts w:ascii="Arial" w:hAnsi="Arial" w:cs="Arial"/>
          <w:sz w:val="20"/>
          <w:szCs w:val="20"/>
        </w:rPr>
        <w:t>e</w:t>
      </w:r>
      <w:r w:rsidR="00914051" w:rsidRPr="00C27637">
        <w:rPr>
          <w:rFonts w:ascii="Arial" w:hAnsi="Arial" w:cs="Arial"/>
          <w:sz w:val="20"/>
          <w:szCs w:val="20"/>
        </w:rPr>
        <w:t xml:space="preserve"> iz zakonov</w:t>
      </w:r>
      <w:r w:rsidR="005161D8" w:rsidRPr="00C27637">
        <w:rPr>
          <w:rFonts w:ascii="Arial" w:hAnsi="Arial" w:cs="Arial"/>
          <w:sz w:val="20"/>
          <w:szCs w:val="20"/>
        </w:rPr>
        <w:t xml:space="preserve"> in</w:t>
      </w:r>
      <w:r w:rsidR="00914051" w:rsidRPr="00C27637">
        <w:rPr>
          <w:rFonts w:ascii="Arial" w:hAnsi="Arial" w:cs="Arial"/>
          <w:sz w:val="20"/>
          <w:szCs w:val="20"/>
        </w:rPr>
        <w:t xml:space="preserve"> statuta</w:t>
      </w:r>
      <w:r w:rsidR="005161D8" w:rsidRPr="00C27637">
        <w:rPr>
          <w:rFonts w:ascii="Arial" w:hAnsi="Arial" w:cs="Arial"/>
          <w:sz w:val="20"/>
          <w:szCs w:val="20"/>
        </w:rPr>
        <w:t xml:space="preserve">, kar posledično pomeni </w:t>
      </w:r>
      <w:r w:rsidR="00914051" w:rsidRPr="00C27637">
        <w:rPr>
          <w:rFonts w:ascii="Arial" w:hAnsi="Arial" w:cs="Arial"/>
          <w:sz w:val="20"/>
          <w:szCs w:val="20"/>
        </w:rPr>
        <w:t>neskladnost zaradi spreminjanja zakonov</w:t>
      </w:r>
      <w:r w:rsidR="005161D8" w:rsidRPr="00C27637">
        <w:rPr>
          <w:rFonts w:ascii="Arial" w:hAnsi="Arial" w:cs="Arial"/>
          <w:sz w:val="20"/>
          <w:szCs w:val="20"/>
        </w:rPr>
        <w:t xml:space="preserve"> in</w:t>
      </w:r>
      <w:r w:rsidR="00914051" w:rsidRPr="00C27637">
        <w:rPr>
          <w:rFonts w:ascii="Arial" w:hAnsi="Arial" w:cs="Arial"/>
          <w:sz w:val="20"/>
          <w:szCs w:val="20"/>
        </w:rPr>
        <w:t xml:space="preserve"> podvajanje določb že vsebovanih v statutu ali v pravilniku</w:t>
      </w:r>
      <w:r w:rsidR="005161D8" w:rsidRPr="00C27637">
        <w:rPr>
          <w:rFonts w:ascii="Arial" w:hAnsi="Arial" w:cs="Arial"/>
          <w:sz w:val="20"/>
          <w:szCs w:val="20"/>
        </w:rPr>
        <w:t>.</w:t>
      </w:r>
      <w:r w:rsidR="008B4229" w:rsidRPr="00C27637">
        <w:rPr>
          <w:rFonts w:ascii="Arial" w:hAnsi="Arial" w:cs="Arial"/>
          <w:sz w:val="20"/>
          <w:szCs w:val="20"/>
        </w:rPr>
        <w:t xml:space="preserve"> V velikem številu pregledanih poslovnikov nadzornih odborov je </w:t>
      </w:r>
      <w:r w:rsidR="00B6352A" w:rsidRPr="00C27637">
        <w:rPr>
          <w:rFonts w:ascii="Arial" w:hAnsi="Arial" w:cs="Arial"/>
          <w:sz w:val="20"/>
          <w:szCs w:val="20"/>
        </w:rPr>
        <w:t xml:space="preserve">bilo </w:t>
      </w:r>
      <w:r w:rsidR="008B4229" w:rsidRPr="00C27637">
        <w:rPr>
          <w:rFonts w:ascii="Arial" w:hAnsi="Arial" w:cs="Arial"/>
          <w:sz w:val="20"/>
          <w:szCs w:val="20"/>
        </w:rPr>
        <w:t>ugotovl</w:t>
      </w:r>
      <w:r w:rsidR="00B6352A" w:rsidRPr="00C27637">
        <w:rPr>
          <w:rFonts w:ascii="Arial" w:hAnsi="Arial" w:cs="Arial"/>
          <w:sz w:val="20"/>
          <w:szCs w:val="20"/>
        </w:rPr>
        <w:t>jen</w:t>
      </w:r>
      <w:r w:rsidR="008B4229" w:rsidRPr="00C27637">
        <w:rPr>
          <w:rFonts w:ascii="Arial" w:hAnsi="Arial" w:cs="Arial"/>
          <w:sz w:val="20"/>
          <w:szCs w:val="20"/>
        </w:rPr>
        <w:t xml:space="preserve">o, da je v njih </w:t>
      </w:r>
      <w:r w:rsidR="00914051" w:rsidRPr="00C27637">
        <w:rPr>
          <w:rFonts w:ascii="Arial" w:hAnsi="Arial" w:cs="Arial"/>
          <w:sz w:val="20"/>
          <w:szCs w:val="20"/>
        </w:rPr>
        <w:t>pomanjkljiva konkretizacija postopkov nadzora</w:t>
      </w:r>
      <w:r w:rsidR="008B4229" w:rsidRPr="00C27637">
        <w:rPr>
          <w:rFonts w:ascii="Arial" w:hAnsi="Arial" w:cs="Arial"/>
          <w:sz w:val="20"/>
          <w:szCs w:val="20"/>
        </w:rPr>
        <w:t xml:space="preserve"> ter</w:t>
      </w:r>
      <w:r w:rsidR="00914051" w:rsidRPr="00C27637">
        <w:rPr>
          <w:rFonts w:ascii="Arial" w:hAnsi="Arial" w:cs="Arial"/>
          <w:sz w:val="20"/>
          <w:szCs w:val="20"/>
        </w:rPr>
        <w:t xml:space="preserve"> določb o delu nadzornega odbora (pravne praznine),</w:t>
      </w:r>
      <w:r w:rsidR="008B4229" w:rsidRPr="00C27637">
        <w:rPr>
          <w:rFonts w:ascii="Arial" w:hAnsi="Arial" w:cs="Arial"/>
          <w:b/>
          <w:sz w:val="20"/>
          <w:szCs w:val="20"/>
        </w:rPr>
        <w:t xml:space="preserve"> </w:t>
      </w:r>
      <w:r w:rsidR="008B4229" w:rsidRPr="00C27637">
        <w:rPr>
          <w:rFonts w:ascii="Arial" w:hAnsi="Arial" w:cs="Arial"/>
          <w:bCs/>
          <w:sz w:val="20"/>
          <w:szCs w:val="20"/>
        </w:rPr>
        <w:t xml:space="preserve">nadalje </w:t>
      </w:r>
      <w:r w:rsidR="00914051" w:rsidRPr="00C27637">
        <w:rPr>
          <w:rFonts w:ascii="Arial" w:hAnsi="Arial" w:cs="Arial"/>
          <w:sz w:val="20"/>
          <w:szCs w:val="20"/>
        </w:rPr>
        <w:t>napačno določanje pristojnosti o delu nadzornega odbora (</w:t>
      </w:r>
      <w:r w:rsidR="008B4229" w:rsidRPr="00C27637">
        <w:rPr>
          <w:rFonts w:ascii="Arial" w:hAnsi="Arial" w:cs="Arial"/>
          <w:sz w:val="20"/>
          <w:szCs w:val="20"/>
        </w:rPr>
        <w:t xml:space="preserve">kot npr. zadolžitve za </w:t>
      </w:r>
      <w:r w:rsidR="00914051" w:rsidRPr="00C27637">
        <w:rPr>
          <w:rFonts w:ascii="Arial" w:hAnsi="Arial" w:cs="Arial"/>
          <w:sz w:val="20"/>
          <w:szCs w:val="20"/>
        </w:rPr>
        <w:t>pregled celotnih proračunov občine oz</w:t>
      </w:r>
      <w:r w:rsidR="008B4229" w:rsidRPr="00C27637">
        <w:rPr>
          <w:rFonts w:ascii="Arial" w:hAnsi="Arial" w:cs="Arial"/>
          <w:sz w:val="20"/>
          <w:szCs w:val="20"/>
        </w:rPr>
        <w:t>.</w:t>
      </w:r>
      <w:r w:rsidR="00914051" w:rsidRPr="00C27637">
        <w:rPr>
          <w:rFonts w:ascii="Arial" w:hAnsi="Arial" w:cs="Arial"/>
          <w:sz w:val="20"/>
          <w:szCs w:val="20"/>
        </w:rPr>
        <w:t xml:space="preserve"> javnih podjetij, zavodov in podobno) ter organov občine do nadzornega odbora</w:t>
      </w:r>
      <w:r w:rsidR="008B4229" w:rsidRPr="00C27637">
        <w:rPr>
          <w:rFonts w:ascii="Arial" w:hAnsi="Arial" w:cs="Arial"/>
          <w:sz w:val="20"/>
          <w:szCs w:val="20"/>
        </w:rPr>
        <w:t xml:space="preserve">, npr. </w:t>
      </w:r>
      <w:r w:rsidR="00914051" w:rsidRPr="00C27637">
        <w:rPr>
          <w:rFonts w:ascii="Arial" w:hAnsi="Arial" w:cs="Arial"/>
          <w:sz w:val="20"/>
          <w:szCs w:val="20"/>
        </w:rPr>
        <w:t>nalaganje dela nadzornemu odboru s strani župana in občinskega sveta</w:t>
      </w:r>
      <w:r w:rsidR="008B4229" w:rsidRPr="00C27637">
        <w:rPr>
          <w:rFonts w:ascii="Arial" w:hAnsi="Arial" w:cs="Arial"/>
          <w:sz w:val="20"/>
          <w:szCs w:val="20"/>
        </w:rPr>
        <w:t>.</w:t>
      </w:r>
      <w:r w:rsidR="00914051" w:rsidRPr="00C27637">
        <w:rPr>
          <w:rFonts w:ascii="Arial" w:hAnsi="Arial" w:cs="Arial"/>
          <w:sz w:val="20"/>
          <w:szCs w:val="20"/>
        </w:rPr>
        <w:t xml:space="preserve"> </w:t>
      </w:r>
      <w:r w:rsidR="008B4229" w:rsidRPr="00C27637">
        <w:rPr>
          <w:rFonts w:ascii="Arial" w:hAnsi="Arial" w:cs="Arial"/>
          <w:sz w:val="20"/>
          <w:szCs w:val="20"/>
        </w:rPr>
        <w:t xml:space="preserve">Podobno kot pri poslovnikih občinskih svetov, se je posebna ugotovitev MJU nanašala na </w:t>
      </w:r>
      <w:r w:rsidR="00914051" w:rsidRPr="00C27637">
        <w:rPr>
          <w:rFonts w:ascii="Arial" w:hAnsi="Arial" w:cs="Arial"/>
          <w:sz w:val="20"/>
          <w:szCs w:val="20"/>
        </w:rPr>
        <w:t>neupoštevanje določb Zakona o integriteti in preprečevanju korupcije</w:t>
      </w:r>
      <w:r w:rsidR="008B4229" w:rsidRPr="00C27637">
        <w:rPr>
          <w:rFonts w:ascii="Arial" w:hAnsi="Arial" w:cs="Arial"/>
          <w:sz w:val="20"/>
          <w:szCs w:val="20"/>
        </w:rPr>
        <w:t xml:space="preserve">, med drugim glede </w:t>
      </w:r>
      <w:r w:rsidR="00914051" w:rsidRPr="00C27637">
        <w:rPr>
          <w:rFonts w:ascii="Arial" w:hAnsi="Arial" w:cs="Arial"/>
          <w:sz w:val="20"/>
          <w:szCs w:val="20"/>
        </w:rPr>
        <w:t>izogibanj</w:t>
      </w:r>
      <w:r w:rsidR="008B4229" w:rsidRPr="00C27637">
        <w:rPr>
          <w:rFonts w:ascii="Arial" w:hAnsi="Arial" w:cs="Arial"/>
          <w:sz w:val="20"/>
          <w:szCs w:val="20"/>
        </w:rPr>
        <w:t>a</w:t>
      </w:r>
      <w:r w:rsidR="00914051" w:rsidRPr="00C27637">
        <w:rPr>
          <w:rFonts w:ascii="Arial" w:hAnsi="Arial" w:cs="Arial"/>
          <w:sz w:val="20"/>
          <w:szCs w:val="20"/>
        </w:rPr>
        <w:t xml:space="preserve"> konfliktu interesov</w:t>
      </w:r>
      <w:r w:rsidR="008B4229" w:rsidRPr="00C27637">
        <w:rPr>
          <w:rFonts w:ascii="Arial" w:hAnsi="Arial" w:cs="Arial"/>
          <w:sz w:val="20"/>
          <w:szCs w:val="20"/>
        </w:rPr>
        <w:t xml:space="preserve"> ter</w:t>
      </w:r>
      <w:r w:rsidR="008B4229" w:rsidRPr="00C27637">
        <w:rPr>
          <w:rFonts w:ascii="Arial" w:hAnsi="Arial" w:cs="Arial"/>
          <w:b/>
          <w:sz w:val="20"/>
          <w:szCs w:val="20"/>
        </w:rPr>
        <w:t xml:space="preserve"> </w:t>
      </w:r>
      <w:r w:rsidR="008B4229" w:rsidRPr="00C27637">
        <w:rPr>
          <w:rFonts w:ascii="Arial" w:hAnsi="Arial" w:cs="Arial"/>
          <w:bCs/>
          <w:sz w:val="20"/>
          <w:szCs w:val="20"/>
        </w:rPr>
        <w:t xml:space="preserve">na </w:t>
      </w:r>
      <w:r w:rsidR="00914051" w:rsidRPr="00C27637">
        <w:rPr>
          <w:rFonts w:ascii="Arial" w:hAnsi="Arial" w:cs="Arial"/>
          <w:sz w:val="20"/>
          <w:szCs w:val="20"/>
        </w:rPr>
        <w:t>podajanje informacij javnega značaja</w:t>
      </w:r>
      <w:r w:rsidR="00B6352A" w:rsidRPr="00C27637">
        <w:rPr>
          <w:rFonts w:ascii="Arial" w:hAnsi="Arial" w:cs="Arial"/>
          <w:sz w:val="20"/>
          <w:szCs w:val="20"/>
        </w:rPr>
        <w:t xml:space="preserve">, </w:t>
      </w:r>
      <w:r w:rsidR="008B4229" w:rsidRPr="00C27637">
        <w:rPr>
          <w:rFonts w:ascii="Arial" w:hAnsi="Arial" w:cs="Arial"/>
          <w:sz w:val="20"/>
          <w:szCs w:val="20"/>
        </w:rPr>
        <w:t xml:space="preserve">predvsem v smislu </w:t>
      </w:r>
      <w:r w:rsidR="00914051" w:rsidRPr="00C27637">
        <w:rPr>
          <w:rFonts w:ascii="Arial" w:hAnsi="Arial" w:cs="Arial"/>
          <w:sz w:val="20"/>
          <w:szCs w:val="20"/>
        </w:rPr>
        <w:t>poročil</w:t>
      </w:r>
      <w:r w:rsidR="008B4229" w:rsidRPr="00C27637">
        <w:rPr>
          <w:rFonts w:ascii="Arial" w:hAnsi="Arial" w:cs="Arial"/>
          <w:sz w:val="20"/>
          <w:szCs w:val="20"/>
        </w:rPr>
        <w:t>a</w:t>
      </w:r>
      <w:r w:rsidR="00914051" w:rsidRPr="00C27637">
        <w:rPr>
          <w:rFonts w:ascii="Arial" w:hAnsi="Arial" w:cs="Arial"/>
          <w:sz w:val="20"/>
          <w:szCs w:val="20"/>
        </w:rPr>
        <w:t xml:space="preserve"> s priporočili in predlogi kot dokončn</w:t>
      </w:r>
      <w:r w:rsidR="008B4229" w:rsidRPr="00C27637">
        <w:rPr>
          <w:rFonts w:ascii="Arial" w:hAnsi="Arial" w:cs="Arial"/>
          <w:sz w:val="20"/>
          <w:szCs w:val="20"/>
        </w:rPr>
        <w:t>ega</w:t>
      </w:r>
      <w:r w:rsidR="00914051" w:rsidRPr="00C27637">
        <w:rPr>
          <w:rFonts w:ascii="Arial" w:hAnsi="Arial" w:cs="Arial"/>
          <w:sz w:val="20"/>
          <w:szCs w:val="20"/>
        </w:rPr>
        <w:t xml:space="preserve"> akt</w:t>
      </w:r>
      <w:r w:rsidR="008B4229" w:rsidRPr="00C27637">
        <w:rPr>
          <w:rFonts w:ascii="Arial" w:hAnsi="Arial" w:cs="Arial"/>
          <w:sz w:val="20"/>
          <w:szCs w:val="20"/>
        </w:rPr>
        <w:t>a</w:t>
      </w:r>
      <w:r w:rsidR="00914051" w:rsidRPr="00C27637">
        <w:rPr>
          <w:rFonts w:ascii="Arial" w:hAnsi="Arial" w:cs="Arial"/>
          <w:sz w:val="20"/>
          <w:szCs w:val="20"/>
        </w:rPr>
        <w:t xml:space="preserve"> nadzornega odbora.</w:t>
      </w:r>
    </w:p>
    <w:p w14:paraId="5C852CD2" w14:textId="77777777" w:rsidR="00914051" w:rsidRPr="00C27637" w:rsidRDefault="00914051" w:rsidP="00410871">
      <w:pPr>
        <w:pStyle w:val="podpisi"/>
        <w:spacing w:line="240" w:lineRule="exact"/>
        <w:jc w:val="both"/>
        <w:outlineLvl w:val="2"/>
        <w:rPr>
          <w:rFonts w:cs="Arial"/>
          <w:b/>
          <w:szCs w:val="20"/>
          <w:lang w:val="sl-SI"/>
        </w:rPr>
      </w:pPr>
    </w:p>
    <w:p w14:paraId="7C15497B" w14:textId="77777777" w:rsidR="00914051" w:rsidRPr="00C27637" w:rsidRDefault="00914051" w:rsidP="00410871">
      <w:pPr>
        <w:pStyle w:val="podpisi"/>
        <w:spacing w:line="240" w:lineRule="exact"/>
        <w:jc w:val="both"/>
        <w:outlineLvl w:val="2"/>
        <w:rPr>
          <w:rFonts w:cs="Arial"/>
          <w:b/>
          <w:szCs w:val="20"/>
          <w:lang w:val="sl-SI"/>
        </w:rPr>
      </w:pPr>
      <w:r w:rsidRPr="00C27637">
        <w:rPr>
          <w:rFonts w:cs="Arial"/>
          <w:b/>
          <w:szCs w:val="20"/>
          <w:lang w:val="sl-SI"/>
        </w:rPr>
        <w:t xml:space="preserve">3. Učinki nadzora </w:t>
      </w:r>
    </w:p>
    <w:p w14:paraId="57B0E1AD" w14:textId="77777777" w:rsidR="00914051" w:rsidRPr="00C27637" w:rsidRDefault="00914051" w:rsidP="00410871">
      <w:pPr>
        <w:pStyle w:val="podpisi"/>
        <w:spacing w:line="240" w:lineRule="exact"/>
        <w:jc w:val="both"/>
        <w:rPr>
          <w:rFonts w:cs="Arial"/>
          <w:b/>
          <w:szCs w:val="20"/>
          <w:lang w:val="sl-SI"/>
        </w:rPr>
      </w:pPr>
    </w:p>
    <w:p w14:paraId="0C591DAD" w14:textId="19090E50" w:rsidR="00914051" w:rsidRPr="00C27637" w:rsidRDefault="00914051" w:rsidP="00410871">
      <w:pPr>
        <w:spacing w:after="0"/>
        <w:jc w:val="both"/>
        <w:rPr>
          <w:rFonts w:ascii="Arial" w:hAnsi="Arial" w:cs="Arial"/>
          <w:sz w:val="20"/>
          <w:szCs w:val="20"/>
        </w:rPr>
      </w:pPr>
      <w:r w:rsidRPr="00C27637">
        <w:rPr>
          <w:rFonts w:ascii="Arial" w:hAnsi="Arial" w:cs="Arial"/>
          <w:sz w:val="20"/>
          <w:szCs w:val="20"/>
        </w:rPr>
        <w:t xml:space="preserve">Učinki nadzora so </w:t>
      </w:r>
      <w:r w:rsidR="003343A1" w:rsidRPr="00C27637">
        <w:rPr>
          <w:rFonts w:ascii="Arial" w:hAnsi="Arial" w:cs="Arial"/>
          <w:sz w:val="20"/>
          <w:szCs w:val="20"/>
        </w:rPr>
        <w:t xml:space="preserve">skladnost občinskih predpisov s </w:t>
      </w:r>
      <w:r w:rsidR="00F15939">
        <w:rPr>
          <w:rFonts w:ascii="Arial" w:hAnsi="Arial" w:cs="Arial"/>
          <w:sz w:val="20"/>
          <w:szCs w:val="20"/>
        </w:rPr>
        <w:t>področno</w:t>
      </w:r>
      <w:r w:rsidR="003343A1" w:rsidRPr="00C27637">
        <w:rPr>
          <w:rFonts w:ascii="Arial" w:hAnsi="Arial" w:cs="Arial"/>
          <w:sz w:val="20"/>
          <w:szCs w:val="20"/>
        </w:rPr>
        <w:t xml:space="preserve"> zakonodajo, </w:t>
      </w:r>
      <w:r w:rsidRPr="00C27637">
        <w:rPr>
          <w:rFonts w:ascii="Arial" w:hAnsi="Arial" w:cs="Arial"/>
          <w:sz w:val="20"/>
          <w:szCs w:val="20"/>
        </w:rPr>
        <w:t>boljši predpisi</w:t>
      </w:r>
      <w:r w:rsidR="00AB13B2" w:rsidRPr="00C27637">
        <w:rPr>
          <w:rFonts w:ascii="Arial" w:hAnsi="Arial" w:cs="Arial"/>
          <w:sz w:val="20"/>
          <w:szCs w:val="20"/>
        </w:rPr>
        <w:t xml:space="preserve"> in zmanjšanje administrativnih bremen.</w:t>
      </w:r>
      <w:r w:rsidRPr="00C27637">
        <w:rPr>
          <w:rFonts w:ascii="Arial" w:hAnsi="Arial" w:cs="Arial"/>
          <w:sz w:val="20"/>
          <w:szCs w:val="20"/>
        </w:rPr>
        <w:t xml:space="preserve"> Vsem občinam, v katerih je bil nadzor opravljen med letoma 2013 do 2017, so bila izdana pisna opozorila</w:t>
      </w:r>
      <w:r w:rsidR="00E072C1" w:rsidRPr="00C27637">
        <w:rPr>
          <w:rFonts w:ascii="Arial" w:hAnsi="Arial" w:cs="Arial"/>
          <w:sz w:val="20"/>
          <w:szCs w:val="20"/>
        </w:rPr>
        <w:t>, nekaterim občinam tudi večkrat</w:t>
      </w:r>
      <w:r w:rsidRPr="00C27637">
        <w:rPr>
          <w:rFonts w:ascii="Arial" w:hAnsi="Arial" w:cs="Arial"/>
          <w:sz w:val="20"/>
          <w:szCs w:val="20"/>
        </w:rPr>
        <w:t>. Uspešno končan postopek nadzorstva pomeni, da so usklajeni in v uradnih glasilih občin objavljeni statut občine, poslovnik občinskega sveta in poslovnik nadzornega odbora. Posamezna občina je opravila uskladitev vseh treh predpisov v povprečju v dvanajstih mesecih. Takšen rok je sprejemljiv, če upoštevamo, da občinski svet sprejema statut občine z dvotretjinsko večino glasov vseh članov in poslovnik občinskega sveta z dvotretjinsko večino glasov navzočih članov.</w:t>
      </w:r>
    </w:p>
    <w:p w14:paraId="174BFCDF" w14:textId="77777777" w:rsidR="00C27637" w:rsidRPr="00C27637" w:rsidRDefault="00C27637" w:rsidP="00410871">
      <w:pPr>
        <w:spacing w:after="0"/>
        <w:jc w:val="both"/>
        <w:rPr>
          <w:rFonts w:ascii="Arial" w:hAnsi="Arial" w:cs="Arial"/>
          <w:sz w:val="20"/>
          <w:szCs w:val="20"/>
        </w:rPr>
      </w:pPr>
    </w:p>
    <w:p w14:paraId="51D435C3" w14:textId="0214C8B2" w:rsidR="00914051" w:rsidRPr="00C27637" w:rsidRDefault="00914051" w:rsidP="00914051">
      <w:pPr>
        <w:pStyle w:val="podpisi"/>
        <w:spacing w:line="240" w:lineRule="exact"/>
        <w:jc w:val="both"/>
        <w:rPr>
          <w:rFonts w:cs="Arial"/>
          <w:szCs w:val="20"/>
          <w:lang w:val="sl-SI"/>
        </w:rPr>
      </w:pPr>
      <w:r w:rsidRPr="00A27643">
        <w:rPr>
          <w:rFonts w:cs="Arial"/>
          <w:szCs w:val="20"/>
          <w:lang w:val="sl-SI"/>
        </w:rPr>
        <w:t xml:space="preserve">Pripravo z zakonodajo skladnih občinskih predpisov spremljajo </w:t>
      </w:r>
      <w:r w:rsidR="00C27637" w:rsidRPr="00A27643">
        <w:rPr>
          <w:rFonts w:cs="Arial"/>
          <w:szCs w:val="20"/>
          <w:lang w:val="sl-SI"/>
        </w:rPr>
        <w:t>javni uslužbenci</w:t>
      </w:r>
      <w:r w:rsidRPr="00A27643">
        <w:rPr>
          <w:rFonts w:cs="Arial"/>
          <w:szCs w:val="20"/>
          <w:lang w:val="sl-SI"/>
        </w:rPr>
        <w:t xml:space="preserve"> MJU</w:t>
      </w:r>
      <w:r w:rsidR="00E0795D">
        <w:rPr>
          <w:rFonts w:cs="Arial"/>
          <w:szCs w:val="20"/>
          <w:lang w:val="sl-SI"/>
        </w:rPr>
        <w:t>, o tem se vodi poseb</w:t>
      </w:r>
      <w:r w:rsidR="00E45C6D">
        <w:rPr>
          <w:rFonts w:cs="Arial"/>
          <w:szCs w:val="20"/>
          <w:lang w:val="sl-SI"/>
        </w:rPr>
        <w:t>en</w:t>
      </w:r>
      <w:r w:rsidR="00E0795D">
        <w:rPr>
          <w:rFonts w:cs="Arial"/>
          <w:szCs w:val="20"/>
          <w:lang w:val="sl-SI"/>
        </w:rPr>
        <w:t xml:space="preserve"> </w:t>
      </w:r>
      <w:r w:rsidR="00E45C6D">
        <w:rPr>
          <w:rFonts w:cs="Arial"/>
          <w:szCs w:val="20"/>
          <w:lang w:val="sl-SI"/>
        </w:rPr>
        <w:t>seznam</w:t>
      </w:r>
      <w:r w:rsidRPr="00A27643">
        <w:rPr>
          <w:rFonts w:cs="Arial"/>
          <w:szCs w:val="20"/>
          <w:lang w:val="sl-SI"/>
        </w:rPr>
        <w:t xml:space="preserve">. </w:t>
      </w:r>
      <w:r w:rsidR="001B6F97">
        <w:rPr>
          <w:rFonts w:cs="Arial"/>
          <w:szCs w:val="20"/>
          <w:lang w:val="sl-SI"/>
        </w:rPr>
        <w:t>Č</w:t>
      </w:r>
      <w:r w:rsidRPr="00A27643">
        <w:rPr>
          <w:rFonts w:cs="Arial"/>
          <w:szCs w:val="20"/>
          <w:lang w:val="sl-SI"/>
        </w:rPr>
        <w:t>e občin</w:t>
      </w:r>
      <w:r w:rsidR="003A0B16" w:rsidRPr="00A27643">
        <w:rPr>
          <w:rFonts w:cs="Arial"/>
          <w:szCs w:val="20"/>
          <w:lang w:val="sl-SI"/>
        </w:rPr>
        <w:t>e</w:t>
      </w:r>
      <w:r w:rsidRPr="00A27643">
        <w:rPr>
          <w:rFonts w:cs="Arial"/>
          <w:szCs w:val="20"/>
          <w:lang w:val="sl-SI"/>
        </w:rPr>
        <w:t xml:space="preserve"> tudi po enem letu n</w:t>
      </w:r>
      <w:r w:rsidR="003A0B16" w:rsidRPr="00A27643">
        <w:rPr>
          <w:rFonts w:cs="Arial"/>
          <w:szCs w:val="20"/>
          <w:lang w:val="sl-SI"/>
        </w:rPr>
        <w:t>iso</w:t>
      </w:r>
      <w:r w:rsidRPr="00A27643">
        <w:rPr>
          <w:rFonts w:cs="Arial"/>
          <w:szCs w:val="20"/>
          <w:lang w:val="sl-SI"/>
        </w:rPr>
        <w:t xml:space="preserve"> uspe</w:t>
      </w:r>
      <w:r w:rsidR="003A0B16" w:rsidRPr="00A27643">
        <w:rPr>
          <w:rFonts w:cs="Arial"/>
          <w:szCs w:val="20"/>
          <w:lang w:val="sl-SI"/>
        </w:rPr>
        <w:t>le</w:t>
      </w:r>
      <w:r w:rsidRPr="00A27643">
        <w:rPr>
          <w:rFonts w:cs="Arial"/>
          <w:szCs w:val="20"/>
          <w:lang w:val="sl-SI"/>
        </w:rPr>
        <w:t xml:space="preserve"> uskladiti svojih predpisov, j</w:t>
      </w:r>
      <w:r w:rsidR="00820A57" w:rsidRPr="00A27643">
        <w:rPr>
          <w:rFonts w:cs="Arial"/>
          <w:szCs w:val="20"/>
          <w:lang w:val="sl-SI"/>
        </w:rPr>
        <w:t>ih</w:t>
      </w:r>
      <w:r w:rsidRPr="00A27643">
        <w:rPr>
          <w:rFonts w:cs="Arial"/>
          <w:szCs w:val="20"/>
          <w:lang w:val="sl-SI"/>
        </w:rPr>
        <w:t xml:space="preserve"> </w:t>
      </w:r>
      <w:r w:rsidR="00820A57" w:rsidRPr="00A27643">
        <w:rPr>
          <w:rFonts w:cs="Arial"/>
          <w:szCs w:val="20"/>
          <w:lang w:val="sl-SI"/>
        </w:rPr>
        <w:t xml:space="preserve">je </w:t>
      </w:r>
      <w:r w:rsidRPr="00A27643">
        <w:rPr>
          <w:rFonts w:cs="Arial"/>
          <w:szCs w:val="20"/>
          <w:lang w:val="sl-SI"/>
        </w:rPr>
        <w:t>MJU na to ponovno opozori</w:t>
      </w:r>
      <w:r w:rsidR="00820A57" w:rsidRPr="00A27643">
        <w:rPr>
          <w:rFonts w:cs="Arial"/>
          <w:szCs w:val="20"/>
          <w:lang w:val="sl-SI"/>
        </w:rPr>
        <w:t>lo</w:t>
      </w:r>
      <w:r w:rsidRPr="00A27643">
        <w:rPr>
          <w:rFonts w:cs="Arial"/>
          <w:szCs w:val="20"/>
          <w:lang w:val="sl-SI"/>
        </w:rPr>
        <w:t>.</w:t>
      </w:r>
      <w:r w:rsidR="00D36160" w:rsidRPr="00A27643">
        <w:rPr>
          <w:rFonts w:cs="Arial"/>
          <w:szCs w:val="20"/>
          <w:lang w:val="sl-SI"/>
        </w:rPr>
        <w:t xml:space="preserve"> To je </w:t>
      </w:r>
      <w:r w:rsidR="0010317E">
        <w:rPr>
          <w:rFonts w:cs="Arial"/>
          <w:szCs w:val="20"/>
          <w:lang w:val="sl-SI"/>
        </w:rPr>
        <w:t>MJU</w:t>
      </w:r>
      <w:r w:rsidR="00D36160" w:rsidRPr="00A27643">
        <w:rPr>
          <w:rFonts w:cs="Arial"/>
          <w:szCs w:val="20"/>
          <w:lang w:val="sl-SI"/>
        </w:rPr>
        <w:t xml:space="preserve"> storilo poleti 2017 in ponovno s pisno urgenco junija in julija leta 2020.</w:t>
      </w:r>
      <w:r w:rsidR="00C27637" w:rsidRPr="00A27643">
        <w:rPr>
          <w:rFonts w:cs="Arial"/>
          <w:szCs w:val="20"/>
          <w:lang w:val="sl-SI"/>
        </w:rPr>
        <w:t xml:space="preserve"> </w:t>
      </w:r>
      <w:r w:rsidR="00E13B02">
        <w:rPr>
          <w:rFonts w:cs="Arial"/>
          <w:szCs w:val="20"/>
          <w:lang w:val="sl-SI"/>
        </w:rPr>
        <w:t>MJU</w:t>
      </w:r>
      <w:r w:rsidR="00C27637" w:rsidRPr="00A27643">
        <w:rPr>
          <w:rFonts w:cs="Arial"/>
          <w:szCs w:val="20"/>
          <w:lang w:val="sl-SI"/>
        </w:rPr>
        <w:t xml:space="preserve"> </w:t>
      </w:r>
      <w:r w:rsidR="001B6F97">
        <w:rPr>
          <w:rFonts w:cs="Arial"/>
          <w:szCs w:val="20"/>
          <w:lang w:val="sl-SI"/>
        </w:rPr>
        <w:t xml:space="preserve">bo tudi v prihodnje </w:t>
      </w:r>
      <w:r w:rsidR="00C27637" w:rsidRPr="00A27643">
        <w:rPr>
          <w:rFonts w:cs="Arial"/>
          <w:szCs w:val="20"/>
          <w:lang w:val="sl-SI"/>
        </w:rPr>
        <w:t xml:space="preserve">spremljalo napredek </w:t>
      </w:r>
      <w:r w:rsidR="001B6F97">
        <w:rPr>
          <w:rFonts w:cs="Arial"/>
          <w:szCs w:val="20"/>
          <w:lang w:val="sl-SI"/>
        </w:rPr>
        <w:t>občin pri odpravi</w:t>
      </w:r>
      <w:r w:rsidR="00C27637" w:rsidRPr="00A27643">
        <w:rPr>
          <w:rFonts w:cs="Arial"/>
          <w:szCs w:val="20"/>
          <w:lang w:val="sl-SI"/>
        </w:rPr>
        <w:t xml:space="preserve"> neskladja med občinskim predpisom in zakonom. </w:t>
      </w:r>
    </w:p>
    <w:p w14:paraId="551F515B" w14:textId="77777777" w:rsidR="00914051" w:rsidRPr="00C27637" w:rsidRDefault="00914051" w:rsidP="00914051">
      <w:pPr>
        <w:pStyle w:val="podpisi"/>
        <w:spacing w:line="240" w:lineRule="exact"/>
        <w:jc w:val="both"/>
        <w:rPr>
          <w:rFonts w:cs="Arial"/>
          <w:szCs w:val="20"/>
          <w:lang w:val="sl-SI"/>
        </w:rPr>
      </w:pPr>
    </w:p>
    <w:p w14:paraId="2D80EFE5" w14:textId="77777777" w:rsidR="00914051" w:rsidRPr="00C27637" w:rsidRDefault="00914051" w:rsidP="00914051">
      <w:pPr>
        <w:autoSpaceDE w:val="0"/>
        <w:autoSpaceDN w:val="0"/>
        <w:adjustRightInd w:val="0"/>
        <w:spacing w:line="240" w:lineRule="exact"/>
        <w:jc w:val="both"/>
        <w:rPr>
          <w:rFonts w:ascii="Arial" w:hAnsi="Arial" w:cs="Arial"/>
          <w:b/>
          <w:sz w:val="20"/>
          <w:szCs w:val="20"/>
        </w:rPr>
      </w:pPr>
      <w:r w:rsidRPr="00C27637">
        <w:rPr>
          <w:rFonts w:ascii="Arial" w:hAnsi="Arial" w:cs="Arial"/>
          <w:b/>
          <w:sz w:val="20"/>
          <w:szCs w:val="20"/>
        </w:rPr>
        <w:t>4. Druge ugotovitve in priporočila občinam</w:t>
      </w:r>
    </w:p>
    <w:p w14:paraId="220A6CB3" w14:textId="01929CF2" w:rsidR="00C27637" w:rsidRDefault="00914051" w:rsidP="00914051">
      <w:pPr>
        <w:autoSpaceDE w:val="0"/>
        <w:autoSpaceDN w:val="0"/>
        <w:adjustRightInd w:val="0"/>
        <w:spacing w:line="240" w:lineRule="exact"/>
        <w:jc w:val="both"/>
        <w:rPr>
          <w:rFonts w:ascii="Arial" w:hAnsi="Arial" w:cs="Arial"/>
          <w:iCs/>
          <w:sz w:val="20"/>
          <w:szCs w:val="20"/>
          <w:lang w:eastAsia="sl-SI"/>
        </w:rPr>
      </w:pPr>
      <w:r w:rsidRPr="00C27637">
        <w:rPr>
          <w:rFonts w:ascii="Arial" w:hAnsi="Arial" w:cs="Arial"/>
          <w:iCs/>
          <w:sz w:val="20"/>
          <w:szCs w:val="20"/>
          <w:lang w:eastAsia="sl-SI"/>
        </w:rPr>
        <w:t xml:space="preserve">Predstavniki </w:t>
      </w:r>
      <w:r w:rsidR="00AE73D7">
        <w:rPr>
          <w:rFonts w:ascii="Arial" w:hAnsi="Arial" w:cs="Arial"/>
          <w:iCs/>
          <w:sz w:val="20"/>
          <w:szCs w:val="20"/>
          <w:lang w:eastAsia="sl-SI"/>
        </w:rPr>
        <w:t>MJU</w:t>
      </w:r>
      <w:r w:rsidRPr="00C27637">
        <w:rPr>
          <w:rFonts w:ascii="Arial" w:hAnsi="Arial" w:cs="Arial"/>
          <w:iCs/>
          <w:sz w:val="20"/>
          <w:szCs w:val="20"/>
          <w:lang w:eastAsia="sl-SI"/>
        </w:rPr>
        <w:t xml:space="preserve"> </w:t>
      </w:r>
      <w:r w:rsidR="00444FE9" w:rsidRPr="00C27637">
        <w:rPr>
          <w:rFonts w:ascii="Arial" w:hAnsi="Arial" w:cs="Arial"/>
          <w:iCs/>
          <w:sz w:val="20"/>
          <w:szCs w:val="20"/>
          <w:lang w:eastAsia="sl-SI"/>
        </w:rPr>
        <w:t xml:space="preserve">so </w:t>
      </w:r>
      <w:r w:rsidRPr="00C27637">
        <w:rPr>
          <w:rFonts w:ascii="Arial" w:hAnsi="Arial" w:cs="Arial"/>
          <w:iCs/>
          <w:sz w:val="20"/>
          <w:szCs w:val="20"/>
          <w:lang w:eastAsia="sl-SI"/>
        </w:rPr>
        <w:t>na delovnih obiskih predstavnike občin opozori</w:t>
      </w:r>
      <w:r w:rsidR="00444FE9" w:rsidRPr="00C27637">
        <w:rPr>
          <w:rFonts w:ascii="Arial" w:hAnsi="Arial" w:cs="Arial"/>
          <w:iCs/>
          <w:sz w:val="20"/>
          <w:szCs w:val="20"/>
          <w:lang w:eastAsia="sl-SI"/>
        </w:rPr>
        <w:t>li</w:t>
      </w:r>
      <w:r w:rsidRPr="00C27637">
        <w:rPr>
          <w:rFonts w:ascii="Arial" w:hAnsi="Arial" w:cs="Arial"/>
          <w:iCs/>
          <w:sz w:val="20"/>
          <w:szCs w:val="20"/>
          <w:lang w:eastAsia="sl-SI"/>
        </w:rPr>
        <w:t xml:space="preserve">, da je </w:t>
      </w:r>
      <w:r w:rsidRPr="00C27637">
        <w:rPr>
          <w:rFonts w:ascii="Arial" w:hAnsi="Arial" w:cs="Arial"/>
          <w:bCs/>
          <w:iCs/>
          <w:sz w:val="20"/>
          <w:szCs w:val="20"/>
          <w:lang w:eastAsia="sl-SI"/>
        </w:rPr>
        <w:t>občinski proračun</w:t>
      </w:r>
      <w:r w:rsidRPr="00C27637">
        <w:rPr>
          <w:rFonts w:ascii="Arial" w:hAnsi="Arial" w:cs="Arial"/>
          <w:iCs/>
          <w:sz w:val="20"/>
          <w:szCs w:val="20"/>
          <w:lang w:eastAsia="sl-SI"/>
        </w:rPr>
        <w:t xml:space="preserve"> najpomembnejši programski akt občine in da se njegova vsebina neposredno ali posredno nanaša na prav vse prebivalce</w:t>
      </w:r>
      <w:r w:rsidR="00E13B02">
        <w:rPr>
          <w:rFonts w:ascii="Arial" w:hAnsi="Arial" w:cs="Arial"/>
          <w:iCs/>
          <w:sz w:val="20"/>
          <w:szCs w:val="20"/>
          <w:lang w:eastAsia="sl-SI"/>
        </w:rPr>
        <w:t xml:space="preserve"> te občine</w:t>
      </w:r>
      <w:r w:rsidRPr="00C27637">
        <w:rPr>
          <w:rFonts w:ascii="Arial" w:hAnsi="Arial" w:cs="Arial"/>
          <w:iCs/>
          <w:sz w:val="20"/>
          <w:szCs w:val="20"/>
          <w:lang w:eastAsia="sl-SI"/>
        </w:rPr>
        <w:t>. V skladu z načelom transparentnosti in v skladu z Zakonom o dostopu do informacij javnega značaja mora biti proračun enostavno dostopen tako v času priprave, kot po njegovem sprejemu na občinskem svetu. Predstavnik</w:t>
      </w:r>
      <w:r w:rsidR="00444FE9" w:rsidRPr="00C27637">
        <w:rPr>
          <w:rFonts w:ascii="Arial" w:hAnsi="Arial" w:cs="Arial"/>
          <w:iCs/>
          <w:sz w:val="20"/>
          <w:szCs w:val="20"/>
          <w:lang w:eastAsia="sl-SI"/>
        </w:rPr>
        <w:t>i</w:t>
      </w:r>
      <w:r w:rsidRPr="00C27637">
        <w:rPr>
          <w:rFonts w:ascii="Arial" w:hAnsi="Arial" w:cs="Arial"/>
          <w:iCs/>
          <w:sz w:val="20"/>
          <w:szCs w:val="20"/>
          <w:lang w:eastAsia="sl-SI"/>
        </w:rPr>
        <w:t xml:space="preserve"> občin </w:t>
      </w:r>
      <w:r w:rsidR="00444FE9" w:rsidRPr="00C27637">
        <w:rPr>
          <w:rFonts w:ascii="Arial" w:hAnsi="Arial" w:cs="Arial"/>
          <w:iCs/>
          <w:sz w:val="20"/>
          <w:szCs w:val="20"/>
          <w:lang w:eastAsia="sl-SI"/>
        </w:rPr>
        <w:t>so bili seznanjeni in</w:t>
      </w:r>
      <w:r w:rsidRPr="00C27637">
        <w:rPr>
          <w:rFonts w:ascii="Arial" w:hAnsi="Arial" w:cs="Arial"/>
          <w:iCs/>
          <w:sz w:val="20"/>
          <w:szCs w:val="20"/>
          <w:lang w:eastAsia="sl-SI"/>
        </w:rPr>
        <w:t xml:space="preserve"> opozor</w:t>
      </w:r>
      <w:r w:rsidR="00444FE9" w:rsidRPr="00C27637">
        <w:rPr>
          <w:rFonts w:ascii="Arial" w:hAnsi="Arial" w:cs="Arial"/>
          <w:iCs/>
          <w:sz w:val="20"/>
          <w:szCs w:val="20"/>
          <w:lang w:eastAsia="sl-SI"/>
        </w:rPr>
        <w:t>jeni</w:t>
      </w:r>
      <w:r w:rsidRPr="00C27637">
        <w:rPr>
          <w:rFonts w:ascii="Arial" w:hAnsi="Arial" w:cs="Arial"/>
          <w:iCs/>
          <w:sz w:val="20"/>
          <w:szCs w:val="20"/>
          <w:lang w:eastAsia="sl-SI"/>
        </w:rPr>
        <w:t>, da nekatere mednarodne organizacije ocenjujejo javne oblasti tudi na podlagi enostavne javne dostopnosti njihovih proračunskih dokumentov ter transparentnosti delovanja lokalnih oblasti navzven do svojih prebivalcev. Opomn</w:t>
      </w:r>
      <w:r w:rsidR="00444FE9" w:rsidRPr="00C27637">
        <w:rPr>
          <w:rFonts w:ascii="Arial" w:hAnsi="Arial" w:cs="Arial"/>
          <w:iCs/>
          <w:sz w:val="20"/>
          <w:szCs w:val="20"/>
          <w:lang w:eastAsia="sl-SI"/>
        </w:rPr>
        <w:t>jeni so bili</w:t>
      </w:r>
      <w:r w:rsidRPr="00C27637">
        <w:rPr>
          <w:rFonts w:ascii="Arial" w:hAnsi="Arial" w:cs="Arial"/>
          <w:iCs/>
          <w:sz w:val="20"/>
          <w:szCs w:val="20"/>
          <w:lang w:eastAsia="sl-SI"/>
        </w:rPr>
        <w:t xml:space="preserve"> </w:t>
      </w:r>
      <w:r w:rsidR="00444FE9" w:rsidRPr="00C27637">
        <w:rPr>
          <w:rFonts w:ascii="Arial" w:hAnsi="Arial" w:cs="Arial"/>
          <w:iCs/>
          <w:sz w:val="20"/>
          <w:szCs w:val="20"/>
          <w:lang w:eastAsia="sl-SI"/>
        </w:rPr>
        <w:t>glede</w:t>
      </w:r>
      <w:r w:rsidRPr="00C27637">
        <w:rPr>
          <w:rFonts w:ascii="Arial" w:hAnsi="Arial" w:cs="Arial"/>
          <w:iCs/>
          <w:sz w:val="20"/>
          <w:szCs w:val="20"/>
          <w:lang w:eastAsia="sl-SI"/>
        </w:rPr>
        <w:t xml:space="preserve"> javn</w:t>
      </w:r>
      <w:r w:rsidR="00444FE9" w:rsidRPr="00C27637">
        <w:rPr>
          <w:rFonts w:ascii="Arial" w:hAnsi="Arial" w:cs="Arial"/>
          <w:iCs/>
          <w:sz w:val="20"/>
          <w:szCs w:val="20"/>
          <w:lang w:eastAsia="sl-SI"/>
        </w:rPr>
        <w:t>e</w:t>
      </w:r>
      <w:r w:rsidRPr="00C27637">
        <w:rPr>
          <w:rFonts w:ascii="Arial" w:hAnsi="Arial" w:cs="Arial"/>
          <w:iCs/>
          <w:sz w:val="20"/>
          <w:szCs w:val="20"/>
          <w:lang w:eastAsia="sl-SI"/>
        </w:rPr>
        <w:t xml:space="preserve"> objav</w:t>
      </w:r>
      <w:r w:rsidR="00444FE9" w:rsidRPr="00C27637">
        <w:rPr>
          <w:rFonts w:ascii="Arial" w:hAnsi="Arial" w:cs="Arial"/>
          <w:iCs/>
          <w:sz w:val="20"/>
          <w:szCs w:val="20"/>
          <w:lang w:eastAsia="sl-SI"/>
        </w:rPr>
        <w:t>e</w:t>
      </w:r>
      <w:r w:rsidRPr="00C27637">
        <w:rPr>
          <w:rFonts w:ascii="Arial" w:hAnsi="Arial" w:cs="Arial"/>
          <w:iCs/>
          <w:sz w:val="20"/>
          <w:szCs w:val="20"/>
          <w:lang w:eastAsia="sl-SI"/>
        </w:rPr>
        <w:t xml:space="preserve"> pomembnejših vsebin občine na spletnih straneh vključno s temeljnimi občinskimi splošnimi akti ter enostavnost in preglednost dokumentov oziroma informacij, ki se tičejo lokalnega prebivalstva. V razgovoru s predstavniki občin </w:t>
      </w:r>
      <w:r w:rsidR="00444FE9" w:rsidRPr="00C27637">
        <w:rPr>
          <w:rFonts w:ascii="Arial" w:hAnsi="Arial" w:cs="Arial"/>
          <w:iCs/>
          <w:sz w:val="20"/>
          <w:szCs w:val="20"/>
          <w:lang w:eastAsia="sl-SI"/>
        </w:rPr>
        <w:t xml:space="preserve">so </w:t>
      </w:r>
      <w:r w:rsidR="00804F07" w:rsidRPr="00C27637">
        <w:rPr>
          <w:rFonts w:ascii="Arial" w:hAnsi="Arial" w:cs="Arial"/>
          <w:iCs/>
          <w:sz w:val="20"/>
          <w:szCs w:val="20"/>
          <w:lang w:eastAsia="sl-SI"/>
        </w:rPr>
        <w:t>skupaj</w:t>
      </w:r>
      <w:r w:rsidR="00444FE9" w:rsidRPr="00C27637">
        <w:rPr>
          <w:rFonts w:ascii="Arial" w:hAnsi="Arial" w:cs="Arial"/>
          <w:iCs/>
          <w:sz w:val="20"/>
          <w:szCs w:val="20"/>
          <w:lang w:eastAsia="sl-SI"/>
        </w:rPr>
        <w:t xml:space="preserve"> </w:t>
      </w:r>
      <w:r w:rsidRPr="00C27637">
        <w:rPr>
          <w:rFonts w:ascii="Arial" w:hAnsi="Arial" w:cs="Arial"/>
          <w:iCs/>
          <w:sz w:val="20"/>
          <w:szCs w:val="20"/>
          <w:lang w:eastAsia="sl-SI"/>
        </w:rPr>
        <w:t>i</w:t>
      </w:r>
      <w:r w:rsidR="00444FE9" w:rsidRPr="00C27637">
        <w:rPr>
          <w:rFonts w:ascii="Arial" w:hAnsi="Arial" w:cs="Arial"/>
          <w:iCs/>
          <w:sz w:val="20"/>
          <w:szCs w:val="20"/>
          <w:lang w:eastAsia="sl-SI"/>
        </w:rPr>
        <w:t>skali</w:t>
      </w:r>
      <w:r w:rsidRPr="00C27637">
        <w:rPr>
          <w:rFonts w:ascii="Arial" w:hAnsi="Arial" w:cs="Arial"/>
          <w:iCs/>
          <w:sz w:val="20"/>
          <w:szCs w:val="20"/>
          <w:lang w:eastAsia="sl-SI"/>
        </w:rPr>
        <w:t xml:space="preserve"> morebitne primere dobrih praks na njihovem območju, ki so uporabni za širšo promocijo in predstavitev na ravni države. </w:t>
      </w:r>
      <w:r w:rsidR="00804F07" w:rsidRPr="00C27637">
        <w:rPr>
          <w:rFonts w:ascii="Arial" w:hAnsi="Arial" w:cs="Arial"/>
          <w:iCs/>
          <w:sz w:val="20"/>
          <w:szCs w:val="20"/>
          <w:lang w:eastAsia="sl-SI"/>
        </w:rPr>
        <w:t xml:space="preserve">Predstavniki </w:t>
      </w:r>
      <w:r w:rsidR="00F057D7">
        <w:rPr>
          <w:rFonts w:ascii="Arial" w:hAnsi="Arial" w:cs="Arial"/>
          <w:iCs/>
          <w:sz w:val="20"/>
          <w:szCs w:val="20"/>
          <w:lang w:eastAsia="sl-SI"/>
        </w:rPr>
        <w:t>MJU</w:t>
      </w:r>
      <w:r w:rsidR="00804F07" w:rsidRPr="00C27637">
        <w:rPr>
          <w:rFonts w:ascii="Arial" w:hAnsi="Arial" w:cs="Arial"/>
          <w:iCs/>
          <w:sz w:val="20"/>
          <w:szCs w:val="20"/>
          <w:lang w:eastAsia="sl-SI"/>
        </w:rPr>
        <w:t xml:space="preserve"> so jih o</w:t>
      </w:r>
      <w:r w:rsidRPr="00C27637">
        <w:rPr>
          <w:rFonts w:ascii="Arial" w:hAnsi="Arial" w:cs="Arial"/>
          <w:iCs/>
          <w:sz w:val="20"/>
          <w:szCs w:val="20"/>
          <w:lang w:eastAsia="sl-SI"/>
        </w:rPr>
        <w:t>pogumlja</w:t>
      </w:r>
      <w:r w:rsidR="00804F07" w:rsidRPr="00C27637">
        <w:rPr>
          <w:rFonts w:ascii="Arial" w:hAnsi="Arial" w:cs="Arial"/>
          <w:iCs/>
          <w:sz w:val="20"/>
          <w:szCs w:val="20"/>
          <w:lang w:eastAsia="sl-SI"/>
        </w:rPr>
        <w:t>li</w:t>
      </w:r>
      <w:r w:rsidRPr="00C27637">
        <w:rPr>
          <w:rFonts w:ascii="Arial" w:hAnsi="Arial" w:cs="Arial"/>
          <w:iCs/>
          <w:sz w:val="20"/>
          <w:szCs w:val="20"/>
          <w:lang w:eastAsia="sl-SI"/>
        </w:rPr>
        <w:t xml:space="preserve"> k prostovoljnemu povezovanju na medobčinski ravni tudi s povezovanjem in izvajanjem njihovih nalog v skupnih občinskih upravah</w:t>
      </w:r>
      <w:r w:rsidR="00C27637">
        <w:rPr>
          <w:rFonts w:ascii="Arial" w:hAnsi="Arial" w:cs="Arial"/>
          <w:iCs/>
          <w:sz w:val="20"/>
          <w:szCs w:val="20"/>
          <w:lang w:eastAsia="sl-SI"/>
        </w:rPr>
        <w:t>.</w:t>
      </w:r>
    </w:p>
    <w:p w14:paraId="0B624EAA" w14:textId="7D756BAD" w:rsidR="003E44F2" w:rsidRPr="00C27637" w:rsidRDefault="00914051" w:rsidP="00E25996">
      <w:pPr>
        <w:spacing w:line="240" w:lineRule="exact"/>
        <w:jc w:val="both"/>
        <w:rPr>
          <w:rFonts w:ascii="Arial" w:eastAsia="Calibri" w:hAnsi="Arial" w:cs="Arial"/>
          <w:sz w:val="20"/>
          <w:szCs w:val="20"/>
        </w:rPr>
      </w:pPr>
      <w:r w:rsidRPr="00C27637">
        <w:rPr>
          <w:rFonts w:ascii="Arial" w:eastAsia="Calibri" w:hAnsi="Arial" w:cs="Arial"/>
          <w:sz w:val="20"/>
          <w:szCs w:val="20"/>
        </w:rPr>
        <w:t xml:space="preserve">Pri strokovnem nadzoru je </w:t>
      </w:r>
      <w:r w:rsidR="003C1C67" w:rsidRPr="00C27637">
        <w:rPr>
          <w:rFonts w:ascii="Arial" w:eastAsia="Calibri" w:hAnsi="Arial" w:cs="Arial"/>
          <w:sz w:val="20"/>
          <w:szCs w:val="20"/>
        </w:rPr>
        <w:t xml:space="preserve">bila </w:t>
      </w:r>
      <w:r w:rsidRPr="00C27637">
        <w:rPr>
          <w:rFonts w:ascii="Arial" w:eastAsia="Calibri" w:hAnsi="Arial" w:cs="Arial"/>
          <w:sz w:val="20"/>
          <w:szCs w:val="20"/>
        </w:rPr>
        <w:t xml:space="preserve">posebna pozornost namenjena še postopku priprave občinskih predpisov, transparentnosti, zakonodajni sledi, vključevanju javnosti v pripravo predpisov in o obveznosti občin pri urejanju spletnih strani. Pri pripravi občinskih predpisov morajo občine upoštevati Resolucijo o normativni dejavnosti, integriteto in transparentnost priprave občinskih predpisov, izvajanje Priporočil za zagotavljanje zakonodajne sledi na lokalni ravni in dokument Sveta Evrope </w:t>
      </w:r>
      <w:r w:rsidR="000C77AE" w:rsidRPr="00C27637">
        <w:rPr>
          <w:rFonts w:ascii="Arial" w:eastAsia="Calibri" w:hAnsi="Arial" w:cs="Arial"/>
          <w:sz w:val="20"/>
          <w:szCs w:val="20"/>
        </w:rPr>
        <w:t xml:space="preserve">– </w:t>
      </w:r>
      <w:r w:rsidRPr="00C27637">
        <w:rPr>
          <w:rFonts w:ascii="Arial" w:eastAsia="Calibri" w:hAnsi="Arial" w:cs="Arial"/>
          <w:sz w:val="20"/>
          <w:szCs w:val="20"/>
        </w:rPr>
        <w:t xml:space="preserve">Smernice za sodelovanje javnosti pri odločanju. Občine pri </w:t>
      </w:r>
      <w:r w:rsidRPr="00C27637">
        <w:rPr>
          <w:rFonts w:ascii="Arial" w:eastAsia="Calibri" w:hAnsi="Arial" w:cs="Arial"/>
          <w:bCs/>
          <w:sz w:val="20"/>
          <w:szCs w:val="20"/>
        </w:rPr>
        <w:t>vključevanju prebivalcev v pripravo predpisov</w:t>
      </w:r>
      <w:r w:rsidRPr="00C27637">
        <w:rPr>
          <w:rFonts w:ascii="Arial" w:eastAsia="Calibri" w:hAnsi="Arial" w:cs="Arial"/>
          <w:sz w:val="20"/>
          <w:szCs w:val="20"/>
        </w:rPr>
        <w:t xml:space="preserve"> uporabljajo Smernice za vključevanje javnosti v odločanje v občinah ter o obveznosti</w:t>
      </w:r>
      <w:r w:rsidR="000C77AE" w:rsidRPr="00C27637">
        <w:rPr>
          <w:rFonts w:ascii="Arial" w:eastAsia="Calibri" w:hAnsi="Arial" w:cs="Arial"/>
          <w:sz w:val="20"/>
          <w:szCs w:val="20"/>
        </w:rPr>
        <w:t>h</w:t>
      </w:r>
      <w:r w:rsidRPr="00C27637">
        <w:rPr>
          <w:rFonts w:ascii="Arial" w:eastAsia="Calibri" w:hAnsi="Arial" w:cs="Arial"/>
          <w:sz w:val="20"/>
          <w:szCs w:val="20"/>
        </w:rPr>
        <w:t xml:space="preserve"> občin glede vsebin spletnih strani. Smernice za vključevanje javnosti so bile pripravljene, da občinam služijo kot temeljno orodje za učinkovitejše vključevanje občank in občanov pri sprejemanju vseh pomembn</w:t>
      </w:r>
      <w:r w:rsidR="00413F10">
        <w:rPr>
          <w:rFonts w:ascii="Arial" w:eastAsia="Calibri" w:hAnsi="Arial" w:cs="Arial"/>
          <w:sz w:val="20"/>
          <w:szCs w:val="20"/>
        </w:rPr>
        <w:t>ejših</w:t>
      </w:r>
      <w:r w:rsidRPr="00C27637">
        <w:rPr>
          <w:rFonts w:ascii="Arial" w:eastAsia="Calibri" w:hAnsi="Arial" w:cs="Arial"/>
          <w:sz w:val="20"/>
          <w:szCs w:val="20"/>
        </w:rPr>
        <w:t xml:space="preserve"> odločitev v občini. Vključevanje občanov v procese odločanja občini ne prinaša le boljših ukrepov ali sprememb, ker so </w:t>
      </w:r>
      <w:r w:rsidRPr="00C27637">
        <w:rPr>
          <w:rFonts w:ascii="Arial" w:eastAsia="Calibri" w:hAnsi="Arial" w:cs="Arial"/>
          <w:sz w:val="20"/>
          <w:szCs w:val="20"/>
        </w:rPr>
        <w:lastRenderedPageBreak/>
        <w:t>občani najboljši vir informacij, ampak pripomore tudi k lažjemu uvajanju sprejetih ukrepov ali sprememb, hkrati pa povečuje zaupanje občanov v delo občine. Smernice enostavno, hitro in pregledno ponujajo ključne korake ter odgovore na vprašanja, ki se pojavijo med posvetovanji, pa naj gre za odločanje o odloku, strategiji razvoja občine, prostorskem načrtu ali proračunu, ne glede na velikost občine. Vloga javnosti je namreč neprecenljiva, tako v postopku zgodnje priprave predpisa kot tudi pozneje, ko je osnutek predpisa v javni razpravi.</w:t>
      </w:r>
      <w:r w:rsidR="00C27637">
        <w:rPr>
          <w:rFonts w:ascii="Arial" w:eastAsia="Calibri" w:hAnsi="Arial" w:cs="Arial"/>
          <w:sz w:val="20"/>
          <w:szCs w:val="20"/>
        </w:rPr>
        <w:t xml:space="preserve"> </w:t>
      </w:r>
      <w:r w:rsidRPr="00C27637">
        <w:rPr>
          <w:rFonts w:ascii="Arial" w:eastAsia="Calibri" w:hAnsi="Arial" w:cs="Arial"/>
          <w:sz w:val="20"/>
          <w:szCs w:val="20"/>
        </w:rPr>
        <w:t xml:space="preserve">Za zagotavljanje </w:t>
      </w:r>
      <w:r w:rsidRPr="00C27637">
        <w:rPr>
          <w:rFonts w:ascii="Arial" w:eastAsia="Calibri" w:hAnsi="Arial" w:cs="Arial"/>
          <w:bCs/>
          <w:sz w:val="20"/>
          <w:szCs w:val="20"/>
        </w:rPr>
        <w:t>zakonodajne sledi</w:t>
      </w:r>
      <w:r w:rsidRPr="00C27637">
        <w:rPr>
          <w:rFonts w:ascii="Arial" w:eastAsia="Calibri" w:hAnsi="Arial" w:cs="Arial"/>
          <w:sz w:val="20"/>
          <w:szCs w:val="20"/>
        </w:rPr>
        <w:t xml:space="preserve"> pri pripravi predpisov občine uporabljajo Priporočila za zagotavljanje zakonodajne sledi na lokalni ravni. Priporočila so uporabna </w:t>
      </w:r>
      <w:r w:rsidRPr="00C27637">
        <w:rPr>
          <w:rFonts w:ascii="Arial" w:eastAsia="Calibri" w:hAnsi="Arial" w:cs="Arial"/>
          <w:sz w:val="20"/>
          <w:szCs w:val="20"/>
          <w:lang w:eastAsia="sl-SI"/>
        </w:rPr>
        <w:t>navodila na področju zagotavljanja večje transparentnosti v postopku sprejemanja občinskih predpisov,</w:t>
      </w:r>
      <w:r w:rsidR="00EF5C6A">
        <w:rPr>
          <w:rFonts w:ascii="Arial" w:eastAsia="Calibri" w:hAnsi="Arial" w:cs="Arial"/>
          <w:sz w:val="20"/>
          <w:szCs w:val="20"/>
          <w:lang w:eastAsia="sl-SI"/>
        </w:rPr>
        <w:t xml:space="preserve"> </w:t>
      </w:r>
      <w:r w:rsidRPr="00C27637">
        <w:rPr>
          <w:rFonts w:ascii="Arial" w:eastAsia="Calibri" w:hAnsi="Arial" w:cs="Arial"/>
          <w:sz w:val="20"/>
          <w:szCs w:val="20"/>
          <w:lang w:eastAsia="sl-SI"/>
        </w:rPr>
        <w:t>ki omogočajo vpogled v celoten proces sprejemanja predpisa. Pomembno je namreč zavedanje občanov, da imajo pravico vedeti, kdo vse vpliva na predpise.</w:t>
      </w:r>
      <w:r w:rsidRPr="00C27637">
        <w:rPr>
          <w:rFonts w:ascii="Arial" w:eastAsia="Calibri" w:hAnsi="Arial" w:cs="Arial"/>
          <w:sz w:val="20"/>
          <w:szCs w:val="20"/>
        </w:rPr>
        <w:t xml:space="preserve"> </w:t>
      </w:r>
      <w:r w:rsidR="00B9661A" w:rsidRPr="00C27637">
        <w:rPr>
          <w:rFonts w:ascii="Arial" w:eastAsia="Calibri" w:hAnsi="Arial" w:cs="Arial"/>
          <w:sz w:val="20"/>
          <w:szCs w:val="20"/>
        </w:rPr>
        <w:t>MJU</w:t>
      </w:r>
      <w:r w:rsidRPr="00C27637">
        <w:rPr>
          <w:rFonts w:ascii="Arial" w:eastAsia="Calibri" w:hAnsi="Arial" w:cs="Arial"/>
          <w:sz w:val="20"/>
          <w:szCs w:val="20"/>
        </w:rPr>
        <w:t xml:space="preserve"> je o vseh navedenih temah </w:t>
      </w:r>
      <w:r w:rsidR="003A5C8F" w:rsidRPr="00C27637">
        <w:rPr>
          <w:rFonts w:ascii="Arial" w:eastAsia="Calibri" w:hAnsi="Arial" w:cs="Arial"/>
          <w:sz w:val="20"/>
          <w:szCs w:val="20"/>
        </w:rPr>
        <w:t xml:space="preserve">že </w:t>
      </w:r>
      <w:r w:rsidRPr="00C27637">
        <w:rPr>
          <w:rFonts w:ascii="Arial" w:eastAsia="Calibri" w:hAnsi="Arial" w:cs="Arial"/>
          <w:sz w:val="20"/>
          <w:szCs w:val="20"/>
        </w:rPr>
        <w:t>v letu 2017 pripravilo dva seminarja za občinske javne uslužbence, na spletni strani pa ažurno objavlja izročke seminarjev in uporabne priročnike.</w:t>
      </w:r>
      <w:r w:rsidR="00C27637">
        <w:rPr>
          <w:rFonts w:ascii="Arial" w:eastAsia="Calibri" w:hAnsi="Arial" w:cs="Arial"/>
          <w:sz w:val="20"/>
          <w:szCs w:val="20"/>
        </w:rPr>
        <w:t xml:space="preserve"> V letu 2020 zaradi omejitev, ki jih prinaša epidemija </w:t>
      </w:r>
      <w:r w:rsidR="005D053A">
        <w:rPr>
          <w:rFonts w:ascii="Arial" w:eastAsia="Calibri" w:hAnsi="Arial" w:cs="Arial"/>
          <w:sz w:val="20"/>
          <w:szCs w:val="20"/>
        </w:rPr>
        <w:br/>
      </w:r>
      <w:r w:rsidR="00E15F1F">
        <w:rPr>
          <w:rFonts w:ascii="Arial" w:eastAsia="Calibri" w:hAnsi="Arial" w:cs="Arial"/>
          <w:sz w:val="20"/>
          <w:szCs w:val="20"/>
        </w:rPr>
        <w:t>SARS-Cov-2 (</w:t>
      </w:r>
      <w:r w:rsidR="00C27637">
        <w:rPr>
          <w:rFonts w:ascii="Arial" w:eastAsia="Calibri" w:hAnsi="Arial" w:cs="Arial"/>
          <w:sz w:val="20"/>
          <w:szCs w:val="20"/>
        </w:rPr>
        <w:t>C</w:t>
      </w:r>
      <w:r w:rsidR="00E15F1F">
        <w:rPr>
          <w:rFonts w:ascii="Arial" w:eastAsia="Calibri" w:hAnsi="Arial" w:cs="Arial"/>
          <w:sz w:val="20"/>
          <w:szCs w:val="20"/>
        </w:rPr>
        <w:t>OVID</w:t>
      </w:r>
      <w:r w:rsidR="00C27637">
        <w:rPr>
          <w:rFonts w:ascii="Arial" w:eastAsia="Calibri" w:hAnsi="Arial" w:cs="Arial"/>
          <w:sz w:val="20"/>
          <w:szCs w:val="20"/>
        </w:rPr>
        <w:t>-19</w:t>
      </w:r>
      <w:r w:rsidR="00E15F1F">
        <w:rPr>
          <w:rFonts w:ascii="Arial" w:eastAsia="Calibri" w:hAnsi="Arial" w:cs="Arial"/>
          <w:sz w:val="20"/>
          <w:szCs w:val="20"/>
        </w:rPr>
        <w:t>)</w:t>
      </w:r>
      <w:r w:rsidR="00493FAF">
        <w:rPr>
          <w:rFonts w:ascii="Arial" w:eastAsia="Calibri" w:hAnsi="Arial" w:cs="Arial"/>
          <w:sz w:val="20"/>
          <w:szCs w:val="20"/>
        </w:rPr>
        <w:t>,</w:t>
      </w:r>
      <w:r w:rsidR="00C27637">
        <w:rPr>
          <w:rFonts w:ascii="Arial" w:eastAsia="Calibri" w:hAnsi="Arial" w:cs="Arial"/>
          <w:sz w:val="20"/>
          <w:szCs w:val="20"/>
        </w:rPr>
        <w:t xml:space="preserve"> izobraževalnih vsebin ni izvajalo.</w:t>
      </w:r>
    </w:p>
    <w:sectPr w:rsidR="003E44F2" w:rsidRPr="00C27637" w:rsidSect="007244E7">
      <w:footerReference w:type="default" r:id="rId36"/>
      <w:headerReference w:type="first" r:id="rId37"/>
      <w:pgSz w:w="11900" w:h="16840" w:code="9"/>
      <w:pgMar w:top="1417" w:right="1417" w:bottom="1417" w:left="1417"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61A52" w14:textId="77777777" w:rsidR="00D33140" w:rsidRDefault="00D33140">
      <w:pPr>
        <w:spacing w:after="0" w:line="240" w:lineRule="auto"/>
      </w:pPr>
      <w:r>
        <w:separator/>
      </w:r>
    </w:p>
  </w:endnote>
  <w:endnote w:type="continuationSeparator" w:id="0">
    <w:p w14:paraId="18137DE8" w14:textId="77777777" w:rsidR="00D33140" w:rsidRDefault="00D3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97357"/>
      <w:docPartObj>
        <w:docPartGallery w:val="Page Numbers (Bottom of Page)"/>
        <w:docPartUnique/>
      </w:docPartObj>
    </w:sdtPr>
    <w:sdtEndPr/>
    <w:sdtContent>
      <w:p w14:paraId="44807D27" w14:textId="1E43FADA" w:rsidR="002F681B" w:rsidRDefault="002F681B">
        <w:pPr>
          <w:pStyle w:val="Noga"/>
          <w:jc w:val="right"/>
        </w:pPr>
        <w:r>
          <w:fldChar w:fldCharType="begin"/>
        </w:r>
        <w:r>
          <w:instrText>PAGE   \* MERGEFORMAT</w:instrText>
        </w:r>
        <w:r>
          <w:fldChar w:fldCharType="separate"/>
        </w:r>
        <w:r w:rsidR="00232E1C">
          <w:rPr>
            <w:noProof/>
          </w:rPr>
          <w:t>8</w:t>
        </w:r>
        <w:r>
          <w:fldChar w:fldCharType="end"/>
        </w:r>
      </w:p>
    </w:sdtContent>
  </w:sdt>
  <w:p w14:paraId="39CB3C33" w14:textId="77777777" w:rsidR="002F681B" w:rsidRDefault="002F681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9A62F" w14:textId="77777777" w:rsidR="00D33140" w:rsidRDefault="00D33140">
      <w:pPr>
        <w:spacing w:after="0" w:line="240" w:lineRule="auto"/>
      </w:pPr>
      <w:r>
        <w:separator/>
      </w:r>
    </w:p>
  </w:footnote>
  <w:footnote w:type="continuationSeparator" w:id="0">
    <w:p w14:paraId="009CAB34" w14:textId="77777777" w:rsidR="00D33140" w:rsidRDefault="00D33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0" w:type="auto"/>
      <w:tblInd w:w="-6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89"/>
      <w:gridCol w:w="4727"/>
    </w:tblGrid>
    <w:tr w:rsidR="00A80317" w14:paraId="34F8563E" w14:textId="77777777" w:rsidTr="00A80317">
      <w:trPr>
        <w:trHeight w:val="418"/>
      </w:trPr>
      <w:tc>
        <w:tcPr>
          <w:tcW w:w="689" w:type="dxa"/>
        </w:tcPr>
        <w:p w14:paraId="3669903A" w14:textId="77777777" w:rsidR="00A80317" w:rsidRDefault="00A80317" w:rsidP="00A80317">
          <w:pPr>
            <w:autoSpaceDE w:val="0"/>
            <w:autoSpaceDN w:val="0"/>
            <w:adjustRightInd w:val="0"/>
            <w:rPr>
              <w:rFonts w:ascii="Republika" w:hAnsi="Republika"/>
              <w:color w:val="529DBA"/>
              <w:szCs w:val="20"/>
            </w:rPr>
          </w:pPr>
          <w:r>
            <w:rPr>
              <w:noProof/>
            </w:rPr>
            <w:drawing>
              <wp:inline distT="0" distB="0" distL="0" distR="0" wp14:anchorId="36116775" wp14:editId="54BAD2A9">
                <wp:extent cx="292735" cy="372110"/>
                <wp:effectExtent l="0" t="0" r="0" b="8890"/>
                <wp:docPr id="16" name="Slika 16"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727" w:type="dxa"/>
        </w:tcPr>
        <w:p w14:paraId="0ACEC7BB" w14:textId="77777777" w:rsidR="00A80317" w:rsidRPr="008820DC" w:rsidRDefault="00A80317" w:rsidP="00A80317">
          <w:pPr>
            <w:autoSpaceDE w:val="0"/>
            <w:autoSpaceDN w:val="0"/>
            <w:adjustRightInd w:val="0"/>
            <w:ind w:left="102" w:firstLine="93"/>
            <w:rPr>
              <w:rFonts w:ascii="Republika" w:hAnsi="Republika" w:cs="Republika"/>
              <w:color w:val="000000" w:themeColor="text1"/>
              <w:szCs w:val="20"/>
            </w:rPr>
          </w:pPr>
          <w:r w:rsidRPr="008820DC">
            <w:rPr>
              <w:rFonts w:ascii="Republika" w:hAnsi="Republika" w:cs="Republika"/>
              <w:color w:val="000000" w:themeColor="text1"/>
              <w:szCs w:val="20"/>
            </w:rPr>
            <w:t>REPUBLIKA SLOVENIJA</w:t>
          </w:r>
        </w:p>
        <w:p w14:paraId="39D10F6D" w14:textId="6D6B5A40" w:rsidR="00A80317" w:rsidRPr="000B427F" w:rsidRDefault="00A80317" w:rsidP="00A80317">
          <w:pPr>
            <w:autoSpaceDE w:val="0"/>
            <w:autoSpaceDN w:val="0"/>
            <w:adjustRightInd w:val="0"/>
            <w:ind w:left="102" w:firstLine="93"/>
            <w:rPr>
              <w:rFonts w:ascii="Republika" w:hAnsi="Republika" w:cs="Republika"/>
              <w:b/>
              <w:bCs/>
              <w:color w:val="000000" w:themeColor="text1"/>
              <w:sz w:val="12"/>
              <w:szCs w:val="12"/>
            </w:rPr>
          </w:pPr>
          <w:r>
            <w:rPr>
              <w:rFonts w:ascii="Republika" w:hAnsi="Republika" w:cs="Republika"/>
              <w:b/>
              <w:bCs/>
              <w:color w:val="000000" w:themeColor="text1"/>
              <w:szCs w:val="20"/>
            </w:rPr>
            <w:t>VLADA REPUBLIKE SLOVENIJE</w:t>
          </w:r>
          <w:r w:rsidRPr="00B8505D">
            <w:rPr>
              <w:rFonts w:ascii="Republika" w:hAnsi="Republika" w:cs="Republika"/>
              <w:b/>
              <w:bCs/>
              <w:color w:val="000000" w:themeColor="text1"/>
              <w:szCs w:val="20"/>
            </w:rPr>
            <w:br/>
          </w:r>
        </w:p>
        <w:p w14:paraId="24498ECF" w14:textId="4A724182" w:rsidR="00A80317" w:rsidRPr="00B8505D" w:rsidRDefault="00A80317" w:rsidP="00A80317">
          <w:pPr>
            <w:autoSpaceDE w:val="0"/>
            <w:autoSpaceDN w:val="0"/>
            <w:adjustRightInd w:val="0"/>
            <w:ind w:firstLine="93"/>
            <w:rPr>
              <w:rFonts w:ascii="Republika" w:hAnsi="Republika"/>
              <w:color w:val="529DBA"/>
              <w:sz w:val="16"/>
              <w:szCs w:val="16"/>
            </w:rPr>
          </w:pPr>
          <w:r>
            <w:rPr>
              <w:rFonts w:ascii="Republika" w:hAnsi="Republika" w:cs="Republika"/>
              <w:color w:val="000000" w:themeColor="text1"/>
              <w:szCs w:val="20"/>
            </w:rPr>
            <w:t xml:space="preserve">  </w:t>
          </w:r>
        </w:p>
      </w:tc>
    </w:tr>
  </w:tbl>
  <w:p w14:paraId="756E06BF" w14:textId="77777777" w:rsidR="00A80317" w:rsidRPr="008F3500" w:rsidRDefault="00A80317" w:rsidP="00A80317">
    <w:pPr>
      <w:pStyle w:val="Glava"/>
      <w:tabs>
        <w:tab w:val="left" w:pos="5112"/>
      </w:tabs>
      <w:spacing w:before="240" w:line="240" w:lineRule="exact"/>
      <w:rPr>
        <w:rFonts w:cs="Arial"/>
        <w:sz w:val="16"/>
      </w:rPr>
    </w:pPr>
    <w:r>
      <w:rPr>
        <w:rFonts w:cs="Arial"/>
        <w:sz w:val="16"/>
      </w:rPr>
      <w:t>Gregorčičeva 20- 25</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01 478 1000</w:t>
    </w:r>
  </w:p>
  <w:p w14:paraId="1905B684" w14:textId="77777777" w:rsidR="00A80317" w:rsidRPr="008F3500" w:rsidRDefault="00A80317" w:rsidP="00A80317">
    <w:pPr>
      <w:pStyle w:val="Glava"/>
      <w:tabs>
        <w:tab w:val="left" w:pos="5112"/>
      </w:tabs>
      <w:spacing w:line="240" w:lineRule="exact"/>
      <w:rPr>
        <w:rFonts w:cs="Arial"/>
        <w:sz w:val="16"/>
      </w:rPr>
    </w:pPr>
    <w:r w:rsidRPr="008F3500">
      <w:rPr>
        <w:rFonts w:cs="Arial"/>
        <w:sz w:val="16"/>
      </w:rPr>
      <w:tab/>
      <w:t xml:space="preserve">F: </w:t>
    </w:r>
    <w:r>
      <w:rPr>
        <w:rFonts w:cs="Arial"/>
        <w:sz w:val="16"/>
      </w:rPr>
      <w:t>01 478 1607</w:t>
    </w:r>
    <w:r w:rsidRPr="008F3500">
      <w:rPr>
        <w:rFonts w:cs="Arial"/>
        <w:sz w:val="16"/>
      </w:rPr>
      <w:t xml:space="preserve"> </w:t>
    </w:r>
  </w:p>
  <w:p w14:paraId="0B379370" w14:textId="77777777" w:rsidR="00A80317" w:rsidRPr="008F3500" w:rsidRDefault="00A80317" w:rsidP="00A80317">
    <w:pPr>
      <w:pStyle w:val="Glava"/>
      <w:tabs>
        <w:tab w:val="left" w:pos="5112"/>
      </w:tabs>
      <w:spacing w:line="240" w:lineRule="exact"/>
      <w:rPr>
        <w:rFonts w:cs="Arial"/>
        <w:sz w:val="16"/>
      </w:rPr>
    </w:pPr>
    <w:r w:rsidRPr="008F3500">
      <w:rPr>
        <w:rFonts w:cs="Arial"/>
        <w:sz w:val="16"/>
      </w:rPr>
      <w:tab/>
      <w:t xml:space="preserve">E: </w:t>
    </w:r>
    <w:r>
      <w:rPr>
        <w:rFonts w:cs="Arial"/>
        <w:sz w:val="16"/>
      </w:rPr>
      <w:t>gp.gs@gov.si</w:t>
    </w:r>
  </w:p>
  <w:p w14:paraId="6E1FECFA" w14:textId="77777777" w:rsidR="00A80317" w:rsidRPr="008F3500" w:rsidRDefault="00A80317" w:rsidP="00A80317">
    <w:pPr>
      <w:pStyle w:val="Glava"/>
      <w:tabs>
        <w:tab w:val="left" w:pos="5112"/>
      </w:tabs>
      <w:spacing w:line="240" w:lineRule="exact"/>
      <w:rPr>
        <w:rFonts w:cs="Arial"/>
        <w:sz w:val="16"/>
      </w:rPr>
    </w:pPr>
    <w:r w:rsidRPr="008F3500">
      <w:rPr>
        <w:rFonts w:cs="Arial"/>
        <w:sz w:val="16"/>
      </w:rPr>
      <w:tab/>
    </w:r>
    <w:r>
      <w:rPr>
        <w:rFonts w:cs="Arial"/>
        <w:sz w:val="16"/>
      </w:rPr>
      <w:t>www. vlada.si</w:t>
    </w:r>
  </w:p>
  <w:p w14:paraId="6E1BAA85" w14:textId="77777777" w:rsidR="00A80317" w:rsidRPr="008F3500" w:rsidRDefault="00A80317" w:rsidP="00C55297">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EF4"/>
    <w:multiLevelType w:val="hybridMultilevel"/>
    <w:tmpl w:val="A39E7D4C"/>
    <w:lvl w:ilvl="0" w:tplc="0FE2C12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16"/>
        </w:tabs>
        <w:ind w:left="1016" w:hanging="360"/>
      </w:pPr>
      <w:rPr>
        <w:rFonts w:ascii="Courier New" w:hAnsi="Courier New" w:cs="Courier New" w:hint="default"/>
      </w:rPr>
    </w:lvl>
    <w:lvl w:ilvl="2" w:tplc="04240005" w:tentative="1">
      <w:start w:val="1"/>
      <w:numFmt w:val="bullet"/>
      <w:lvlText w:val=""/>
      <w:lvlJc w:val="left"/>
      <w:pPr>
        <w:tabs>
          <w:tab w:val="num" w:pos="1736"/>
        </w:tabs>
        <w:ind w:left="1736" w:hanging="360"/>
      </w:pPr>
      <w:rPr>
        <w:rFonts w:ascii="Wingdings" w:hAnsi="Wingdings" w:hint="default"/>
      </w:rPr>
    </w:lvl>
    <w:lvl w:ilvl="3" w:tplc="04240001" w:tentative="1">
      <w:start w:val="1"/>
      <w:numFmt w:val="bullet"/>
      <w:lvlText w:val=""/>
      <w:lvlJc w:val="left"/>
      <w:pPr>
        <w:tabs>
          <w:tab w:val="num" w:pos="2456"/>
        </w:tabs>
        <w:ind w:left="2456" w:hanging="360"/>
      </w:pPr>
      <w:rPr>
        <w:rFonts w:ascii="Symbol" w:hAnsi="Symbol" w:hint="default"/>
      </w:rPr>
    </w:lvl>
    <w:lvl w:ilvl="4" w:tplc="04240003" w:tentative="1">
      <w:start w:val="1"/>
      <w:numFmt w:val="bullet"/>
      <w:lvlText w:val="o"/>
      <w:lvlJc w:val="left"/>
      <w:pPr>
        <w:tabs>
          <w:tab w:val="num" w:pos="3176"/>
        </w:tabs>
        <w:ind w:left="3176" w:hanging="360"/>
      </w:pPr>
      <w:rPr>
        <w:rFonts w:ascii="Courier New" w:hAnsi="Courier New" w:cs="Courier New" w:hint="default"/>
      </w:rPr>
    </w:lvl>
    <w:lvl w:ilvl="5" w:tplc="04240005" w:tentative="1">
      <w:start w:val="1"/>
      <w:numFmt w:val="bullet"/>
      <w:lvlText w:val=""/>
      <w:lvlJc w:val="left"/>
      <w:pPr>
        <w:tabs>
          <w:tab w:val="num" w:pos="3896"/>
        </w:tabs>
        <w:ind w:left="3896" w:hanging="360"/>
      </w:pPr>
      <w:rPr>
        <w:rFonts w:ascii="Wingdings" w:hAnsi="Wingdings" w:hint="default"/>
      </w:rPr>
    </w:lvl>
    <w:lvl w:ilvl="6" w:tplc="04240001" w:tentative="1">
      <w:start w:val="1"/>
      <w:numFmt w:val="bullet"/>
      <w:lvlText w:val=""/>
      <w:lvlJc w:val="left"/>
      <w:pPr>
        <w:tabs>
          <w:tab w:val="num" w:pos="4616"/>
        </w:tabs>
        <w:ind w:left="4616" w:hanging="360"/>
      </w:pPr>
      <w:rPr>
        <w:rFonts w:ascii="Symbol" w:hAnsi="Symbol" w:hint="default"/>
      </w:rPr>
    </w:lvl>
    <w:lvl w:ilvl="7" w:tplc="04240003" w:tentative="1">
      <w:start w:val="1"/>
      <w:numFmt w:val="bullet"/>
      <w:lvlText w:val="o"/>
      <w:lvlJc w:val="left"/>
      <w:pPr>
        <w:tabs>
          <w:tab w:val="num" w:pos="5336"/>
        </w:tabs>
        <w:ind w:left="5336" w:hanging="360"/>
      </w:pPr>
      <w:rPr>
        <w:rFonts w:ascii="Courier New" w:hAnsi="Courier New" w:cs="Courier New" w:hint="default"/>
      </w:rPr>
    </w:lvl>
    <w:lvl w:ilvl="8" w:tplc="04240005" w:tentative="1">
      <w:start w:val="1"/>
      <w:numFmt w:val="bullet"/>
      <w:lvlText w:val=""/>
      <w:lvlJc w:val="left"/>
      <w:pPr>
        <w:tabs>
          <w:tab w:val="num" w:pos="6056"/>
        </w:tabs>
        <w:ind w:left="6056" w:hanging="360"/>
      </w:pPr>
      <w:rPr>
        <w:rFonts w:ascii="Wingdings" w:hAnsi="Wingdings" w:hint="default"/>
      </w:rPr>
    </w:lvl>
  </w:abstractNum>
  <w:abstractNum w:abstractNumId="1" w15:restartNumberingAfterBreak="0">
    <w:nsid w:val="08474707"/>
    <w:multiLevelType w:val="hybridMultilevel"/>
    <w:tmpl w:val="6316ADDE"/>
    <w:lvl w:ilvl="0" w:tplc="99B40CAC">
      <w:numFmt w:val="bullet"/>
      <w:lvlText w:val="-"/>
      <w:lvlJc w:val="left"/>
      <w:pPr>
        <w:tabs>
          <w:tab w:val="num" w:pos="360"/>
        </w:tabs>
        <w:ind w:left="36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BB18A4"/>
    <w:multiLevelType w:val="hybridMultilevel"/>
    <w:tmpl w:val="FD7E4F92"/>
    <w:lvl w:ilvl="0" w:tplc="E5605408">
      <w:start w:val="2"/>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9303011"/>
    <w:multiLevelType w:val="hybridMultilevel"/>
    <w:tmpl w:val="E4366C0A"/>
    <w:lvl w:ilvl="0" w:tplc="1AE2B980">
      <w:start w:val="1"/>
      <w:numFmt w:val="bullet"/>
      <w:lvlText w:val=""/>
      <w:lvlJc w:val="left"/>
      <w:pPr>
        <w:ind w:left="720" w:hanging="360"/>
      </w:pPr>
      <w:rPr>
        <w:rFonts w:ascii="Symbol" w:hAnsi="Symbol" w:hint="default"/>
        <w:color w:val="auto"/>
      </w:rPr>
    </w:lvl>
    <w:lvl w:ilvl="1" w:tplc="04240019">
      <w:start w:val="1"/>
      <w:numFmt w:val="lowerLetter"/>
      <w:lvlText w:val="%2."/>
      <w:lvlJc w:val="left"/>
      <w:pPr>
        <w:ind w:left="1440" w:hanging="360"/>
      </w:pPr>
    </w:lvl>
    <w:lvl w:ilvl="2" w:tplc="B8460F0C">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F612DB"/>
    <w:multiLevelType w:val="multilevel"/>
    <w:tmpl w:val="41D6428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3DB74C5"/>
    <w:multiLevelType w:val="multilevel"/>
    <w:tmpl w:val="38C2F44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7DB583E"/>
    <w:multiLevelType w:val="hybridMultilevel"/>
    <w:tmpl w:val="023405E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AA2E8A"/>
    <w:multiLevelType w:val="multilevel"/>
    <w:tmpl w:val="33CEB8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E953C4C"/>
    <w:multiLevelType w:val="hybridMultilevel"/>
    <w:tmpl w:val="B13CCEA4"/>
    <w:lvl w:ilvl="0" w:tplc="2138D64C">
      <w:start w:val="1"/>
      <w:numFmt w:val="decimal"/>
      <w:lvlText w:val="(%1)."/>
      <w:lvlJc w:val="left"/>
      <w:pPr>
        <w:ind w:left="720" w:hanging="360"/>
      </w:pPr>
      <w:rPr>
        <w:rFonts w:hint="default"/>
        <w:sz w:val="16"/>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F61A2B"/>
    <w:multiLevelType w:val="hybridMultilevel"/>
    <w:tmpl w:val="B13CCEA4"/>
    <w:lvl w:ilvl="0" w:tplc="2138D64C">
      <w:start w:val="1"/>
      <w:numFmt w:val="decimal"/>
      <w:lvlText w:val="(%1)."/>
      <w:lvlJc w:val="left"/>
      <w:pPr>
        <w:ind w:left="720" w:hanging="360"/>
      </w:pPr>
      <w:rPr>
        <w:rFonts w:hint="default"/>
        <w:sz w:val="16"/>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D56046"/>
    <w:multiLevelType w:val="hybridMultilevel"/>
    <w:tmpl w:val="3948E4D6"/>
    <w:lvl w:ilvl="0" w:tplc="FDB21EC2">
      <w:start w:val="1"/>
      <w:numFmt w:val="bullet"/>
      <w:lvlText w:val=""/>
      <w:lvlJc w:val="left"/>
      <w:pPr>
        <w:tabs>
          <w:tab w:val="num" w:pos="360"/>
        </w:tabs>
        <w:ind w:left="360" w:hanging="360"/>
      </w:pPr>
      <w:rPr>
        <w:rFonts w:ascii="Wingdings" w:hAnsi="Wingdings" w:hint="default"/>
      </w:rPr>
    </w:lvl>
    <w:lvl w:ilvl="1" w:tplc="F46A307A">
      <w:start w:val="324"/>
      <w:numFmt w:val="bullet"/>
      <w:lvlText w:val="–"/>
      <w:lvlJc w:val="left"/>
      <w:pPr>
        <w:tabs>
          <w:tab w:val="num" w:pos="1080"/>
        </w:tabs>
        <w:ind w:left="1080" w:hanging="360"/>
      </w:pPr>
      <w:rPr>
        <w:rFonts w:ascii="Times New Roman" w:hAnsi="Times New Roman" w:hint="default"/>
      </w:rPr>
    </w:lvl>
    <w:lvl w:ilvl="2" w:tplc="0FE6507C" w:tentative="1">
      <w:start w:val="1"/>
      <w:numFmt w:val="bullet"/>
      <w:lvlText w:val="•"/>
      <w:lvlJc w:val="left"/>
      <w:pPr>
        <w:tabs>
          <w:tab w:val="num" w:pos="1800"/>
        </w:tabs>
        <w:ind w:left="1800" w:hanging="360"/>
      </w:pPr>
      <w:rPr>
        <w:rFonts w:ascii="Times New Roman" w:hAnsi="Times New Roman" w:hint="default"/>
      </w:rPr>
    </w:lvl>
    <w:lvl w:ilvl="3" w:tplc="332432AE" w:tentative="1">
      <w:start w:val="1"/>
      <w:numFmt w:val="bullet"/>
      <w:lvlText w:val="•"/>
      <w:lvlJc w:val="left"/>
      <w:pPr>
        <w:tabs>
          <w:tab w:val="num" w:pos="2520"/>
        </w:tabs>
        <w:ind w:left="2520" w:hanging="360"/>
      </w:pPr>
      <w:rPr>
        <w:rFonts w:ascii="Times New Roman" w:hAnsi="Times New Roman" w:hint="default"/>
      </w:rPr>
    </w:lvl>
    <w:lvl w:ilvl="4" w:tplc="A1D4CF84" w:tentative="1">
      <w:start w:val="1"/>
      <w:numFmt w:val="bullet"/>
      <w:lvlText w:val="•"/>
      <w:lvlJc w:val="left"/>
      <w:pPr>
        <w:tabs>
          <w:tab w:val="num" w:pos="3240"/>
        </w:tabs>
        <w:ind w:left="3240" w:hanging="360"/>
      </w:pPr>
      <w:rPr>
        <w:rFonts w:ascii="Times New Roman" w:hAnsi="Times New Roman" w:hint="default"/>
      </w:rPr>
    </w:lvl>
    <w:lvl w:ilvl="5" w:tplc="833032C0" w:tentative="1">
      <w:start w:val="1"/>
      <w:numFmt w:val="bullet"/>
      <w:lvlText w:val="•"/>
      <w:lvlJc w:val="left"/>
      <w:pPr>
        <w:tabs>
          <w:tab w:val="num" w:pos="3960"/>
        </w:tabs>
        <w:ind w:left="3960" w:hanging="360"/>
      </w:pPr>
      <w:rPr>
        <w:rFonts w:ascii="Times New Roman" w:hAnsi="Times New Roman" w:hint="default"/>
      </w:rPr>
    </w:lvl>
    <w:lvl w:ilvl="6" w:tplc="63309A7A" w:tentative="1">
      <w:start w:val="1"/>
      <w:numFmt w:val="bullet"/>
      <w:lvlText w:val="•"/>
      <w:lvlJc w:val="left"/>
      <w:pPr>
        <w:tabs>
          <w:tab w:val="num" w:pos="4680"/>
        </w:tabs>
        <w:ind w:left="4680" w:hanging="360"/>
      </w:pPr>
      <w:rPr>
        <w:rFonts w:ascii="Times New Roman" w:hAnsi="Times New Roman" w:hint="default"/>
      </w:rPr>
    </w:lvl>
    <w:lvl w:ilvl="7" w:tplc="BB3C8066" w:tentative="1">
      <w:start w:val="1"/>
      <w:numFmt w:val="bullet"/>
      <w:lvlText w:val="•"/>
      <w:lvlJc w:val="left"/>
      <w:pPr>
        <w:tabs>
          <w:tab w:val="num" w:pos="5400"/>
        </w:tabs>
        <w:ind w:left="5400" w:hanging="360"/>
      </w:pPr>
      <w:rPr>
        <w:rFonts w:ascii="Times New Roman" w:hAnsi="Times New Roman" w:hint="default"/>
      </w:rPr>
    </w:lvl>
    <w:lvl w:ilvl="8" w:tplc="2F5C4792"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331741D1"/>
    <w:multiLevelType w:val="hybridMultilevel"/>
    <w:tmpl w:val="66B6EE5E"/>
    <w:lvl w:ilvl="0" w:tplc="99B40CAC">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854E54"/>
    <w:multiLevelType w:val="hybridMultilevel"/>
    <w:tmpl w:val="B13CCEA4"/>
    <w:lvl w:ilvl="0" w:tplc="2138D64C">
      <w:start w:val="1"/>
      <w:numFmt w:val="decimal"/>
      <w:lvlText w:val="(%1)."/>
      <w:lvlJc w:val="left"/>
      <w:pPr>
        <w:ind w:left="720" w:hanging="360"/>
      </w:pPr>
      <w:rPr>
        <w:rFonts w:hint="default"/>
        <w:sz w:val="16"/>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3E26497"/>
    <w:multiLevelType w:val="hybridMultilevel"/>
    <w:tmpl w:val="8E442A80"/>
    <w:lvl w:ilvl="0" w:tplc="99B40CAC">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B01457"/>
    <w:multiLevelType w:val="hybridMultilevel"/>
    <w:tmpl w:val="007854AE"/>
    <w:lvl w:ilvl="0" w:tplc="FDB21EC2">
      <w:start w:val="1"/>
      <w:numFmt w:val="bullet"/>
      <w:lvlText w:val=""/>
      <w:lvlJc w:val="left"/>
      <w:pPr>
        <w:tabs>
          <w:tab w:val="num" w:pos="1500"/>
        </w:tabs>
        <w:ind w:left="1500" w:hanging="360"/>
      </w:pPr>
      <w:rPr>
        <w:rFonts w:ascii="Wingdings" w:hAnsi="Wingdings" w:hint="default"/>
      </w:rPr>
    </w:lvl>
    <w:lvl w:ilvl="1" w:tplc="04240003">
      <w:start w:val="1"/>
      <w:numFmt w:val="bullet"/>
      <w:lvlText w:val="o"/>
      <w:lvlJc w:val="left"/>
      <w:pPr>
        <w:tabs>
          <w:tab w:val="num" w:pos="2220"/>
        </w:tabs>
        <w:ind w:left="2220" w:hanging="360"/>
      </w:pPr>
      <w:rPr>
        <w:rFonts w:ascii="Courier New" w:hAnsi="Courier New" w:cs="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cs="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cs="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471B2813"/>
    <w:multiLevelType w:val="hybridMultilevel"/>
    <w:tmpl w:val="1B644C46"/>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BAC46ED"/>
    <w:multiLevelType w:val="hybridMultilevel"/>
    <w:tmpl w:val="6A581D46"/>
    <w:lvl w:ilvl="0" w:tplc="0A9A1240">
      <w:start w:val="1"/>
      <w:numFmt w:val="decimal"/>
      <w:lvlText w:val="%1."/>
      <w:lvlJc w:val="left"/>
      <w:pPr>
        <w:ind w:left="720" w:hanging="360"/>
      </w:pPr>
      <w:rPr>
        <w:rFonts w:ascii="Arial" w:hAnsi="Arial" w:cs="Arial" w:hint="default"/>
        <w:b/>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C4654A"/>
    <w:multiLevelType w:val="hybridMultilevel"/>
    <w:tmpl w:val="0AF82D08"/>
    <w:lvl w:ilvl="0" w:tplc="99B40CAC">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D57D69"/>
    <w:multiLevelType w:val="multilevel"/>
    <w:tmpl w:val="D77E7636"/>
    <w:lvl w:ilvl="0">
      <w:numFmt w:val="bullet"/>
      <w:lvlText w:val="-"/>
      <w:lvlJc w:val="left"/>
      <w:pPr>
        <w:ind w:left="927" w:hanging="360"/>
      </w:pPr>
      <w:rPr>
        <w:rFonts w:ascii="Calibri" w:eastAsia="Calibri" w:hAnsi="Calibri" w:cs="Calibri"/>
        <w:color w:val="auto"/>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FB0C7B"/>
    <w:multiLevelType w:val="hybridMultilevel"/>
    <w:tmpl w:val="D346A6F0"/>
    <w:lvl w:ilvl="0" w:tplc="E5605408">
      <w:start w:val="2"/>
      <w:numFmt w:val="bullet"/>
      <w:lvlText w:val="‒"/>
      <w:lvlJc w:val="left"/>
      <w:pPr>
        <w:ind w:left="360" w:hanging="360"/>
      </w:pPr>
      <w:rPr>
        <w:rFonts w:ascii="Arial" w:eastAsia="Times New Roman" w:hAnsi="Arial"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1E5141"/>
    <w:multiLevelType w:val="hybridMultilevel"/>
    <w:tmpl w:val="C812FF0C"/>
    <w:lvl w:ilvl="0" w:tplc="FDB21EC2">
      <w:start w:val="1"/>
      <w:numFmt w:val="bullet"/>
      <w:lvlText w:val=""/>
      <w:lvlJc w:val="left"/>
      <w:pPr>
        <w:tabs>
          <w:tab w:val="num" w:pos="720"/>
        </w:tabs>
        <w:ind w:left="720" w:hanging="360"/>
      </w:pPr>
      <w:rPr>
        <w:rFonts w:ascii="Wingdings" w:hAnsi="Wingdings" w:hint="default"/>
      </w:rPr>
    </w:lvl>
    <w:lvl w:ilvl="1" w:tplc="FA8A2EBC">
      <w:start w:val="3"/>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FA600D2"/>
    <w:multiLevelType w:val="hybridMultilevel"/>
    <w:tmpl w:val="5C1299FA"/>
    <w:lvl w:ilvl="0" w:tplc="FDB21EC2">
      <w:start w:val="1"/>
      <w:numFmt w:val="bullet"/>
      <w:lvlText w:val=""/>
      <w:lvlJc w:val="left"/>
      <w:pPr>
        <w:tabs>
          <w:tab w:val="num" w:pos="360"/>
        </w:tabs>
        <w:ind w:left="360" w:hanging="360"/>
      </w:pPr>
      <w:rPr>
        <w:rFonts w:ascii="Wingdings" w:hAnsi="Wingdings" w:hint="default"/>
      </w:rPr>
    </w:lvl>
    <w:lvl w:ilvl="1" w:tplc="F46A307A">
      <w:start w:val="324"/>
      <w:numFmt w:val="bullet"/>
      <w:lvlText w:val="–"/>
      <w:lvlJc w:val="left"/>
      <w:pPr>
        <w:tabs>
          <w:tab w:val="num" w:pos="1080"/>
        </w:tabs>
        <w:ind w:left="1080" w:hanging="360"/>
      </w:pPr>
      <w:rPr>
        <w:rFonts w:ascii="Times New Roman" w:hAnsi="Times New Roman" w:hint="default"/>
      </w:rPr>
    </w:lvl>
    <w:lvl w:ilvl="2" w:tplc="0FE6507C" w:tentative="1">
      <w:start w:val="1"/>
      <w:numFmt w:val="bullet"/>
      <w:lvlText w:val="•"/>
      <w:lvlJc w:val="left"/>
      <w:pPr>
        <w:tabs>
          <w:tab w:val="num" w:pos="1800"/>
        </w:tabs>
        <w:ind w:left="1800" w:hanging="360"/>
      </w:pPr>
      <w:rPr>
        <w:rFonts w:ascii="Times New Roman" w:hAnsi="Times New Roman" w:hint="default"/>
      </w:rPr>
    </w:lvl>
    <w:lvl w:ilvl="3" w:tplc="332432AE" w:tentative="1">
      <w:start w:val="1"/>
      <w:numFmt w:val="bullet"/>
      <w:lvlText w:val="•"/>
      <w:lvlJc w:val="left"/>
      <w:pPr>
        <w:tabs>
          <w:tab w:val="num" w:pos="2520"/>
        </w:tabs>
        <w:ind w:left="2520" w:hanging="360"/>
      </w:pPr>
      <w:rPr>
        <w:rFonts w:ascii="Times New Roman" w:hAnsi="Times New Roman" w:hint="default"/>
      </w:rPr>
    </w:lvl>
    <w:lvl w:ilvl="4" w:tplc="A1D4CF84" w:tentative="1">
      <w:start w:val="1"/>
      <w:numFmt w:val="bullet"/>
      <w:lvlText w:val="•"/>
      <w:lvlJc w:val="left"/>
      <w:pPr>
        <w:tabs>
          <w:tab w:val="num" w:pos="3240"/>
        </w:tabs>
        <w:ind w:left="3240" w:hanging="360"/>
      </w:pPr>
      <w:rPr>
        <w:rFonts w:ascii="Times New Roman" w:hAnsi="Times New Roman" w:hint="default"/>
      </w:rPr>
    </w:lvl>
    <w:lvl w:ilvl="5" w:tplc="833032C0" w:tentative="1">
      <w:start w:val="1"/>
      <w:numFmt w:val="bullet"/>
      <w:lvlText w:val="•"/>
      <w:lvlJc w:val="left"/>
      <w:pPr>
        <w:tabs>
          <w:tab w:val="num" w:pos="3960"/>
        </w:tabs>
        <w:ind w:left="3960" w:hanging="360"/>
      </w:pPr>
      <w:rPr>
        <w:rFonts w:ascii="Times New Roman" w:hAnsi="Times New Roman" w:hint="default"/>
      </w:rPr>
    </w:lvl>
    <w:lvl w:ilvl="6" w:tplc="63309A7A" w:tentative="1">
      <w:start w:val="1"/>
      <w:numFmt w:val="bullet"/>
      <w:lvlText w:val="•"/>
      <w:lvlJc w:val="left"/>
      <w:pPr>
        <w:tabs>
          <w:tab w:val="num" w:pos="4680"/>
        </w:tabs>
        <w:ind w:left="4680" w:hanging="360"/>
      </w:pPr>
      <w:rPr>
        <w:rFonts w:ascii="Times New Roman" w:hAnsi="Times New Roman" w:hint="default"/>
      </w:rPr>
    </w:lvl>
    <w:lvl w:ilvl="7" w:tplc="BB3C8066" w:tentative="1">
      <w:start w:val="1"/>
      <w:numFmt w:val="bullet"/>
      <w:lvlText w:val="•"/>
      <w:lvlJc w:val="left"/>
      <w:pPr>
        <w:tabs>
          <w:tab w:val="num" w:pos="5400"/>
        </w:tabs>
        <w:ind w:left="5400" w:hanging="360"/>
      </w:pPr>
      <w:rPr>
        <w:rFonts w:ascii="Times New Roman" w:hAnsi="Times New Roman" w:hint="default"/>
      </w:rPr>
    </w:lvl>
    <w:lvl w:ilvl="8" w:tplc="2F5C4792" w:tentative="1">
      <w:start w:val="1"/>
      <w:numFmt w:val="bullet"/>
      <w:lvlText w:val="•"/>
      <w:lvlJc w:val="left"/>
      <w:pPr>
        <w:tabs>
          <w:tab w:val="num" w:pos="6120"/>
        </w:tabs>
        <w:ind w:left="6120" w:hanging="360"/>
      </w:pPr>
      <w:rPr>
        <w:rFonts w:ascii="Times New Roman" w:hAnsi="Times New Roman" w:hint="default"/>
      </w:rPr>
    </w:lvl>
  </w:abstractNum>
  <w:abstractNum w:abstractNumId="26" w15:restartNumberingAfterBreak="0">
    <w:nsid w:val="70D0297F"/>
    <w:multiLevelType w:val="hybridMultilevel"/>
    <w:tmpl w:val="2C90161A"/>
    <w:lvl w:ilvl="0" w:tplc="FDB21EC2">
      <w:start w:val="1"/>
      <w:numFmt w:val="bullet"/>
      <w:lvlText w:val=""/>
      <w:lvlJc w:val="left"/>
      <w:pPr>
        <w:tabs>
          <w:tab w:val="num" w:pos="360"/>
        </w:tabs>
        <w:ind w:left="360" w:hanging="360"/>
      </w:pPr>
      <w:rPr>
        <w:rFonts w:ascii="Wingdings" w:hAnsi="Wingdings" w:hint="default"/>
      </w:rPr>
    </w:lvl>
    <w:lvl w:ilvl="1" w:tplc="F46A307A">
      <w:start w:val="324"/>
      <w:numFmt w:val="bullet"/>
      <w:lvlText w:val="–"/>
      <w:lvlJc w:val="left"/>
      <w:pPr>
        <w:tabs>
          <w:tab w:val="num" w:pos="1080"/>
        </w:tabs>
        <w:ind w:left="1080" w:hanging="360"/>
      </w:pPr>
      <w:rPr>
        <w:rFonts w:ascii="Times New Roman" w:hAnsi="Times New Roman" w:hint="default"/>
      </w:rPr>
    </w:lvl>
    <w:lvl w:ilvl="2" w:tplc="0FE6507C" w:tentative="1">
      <w:start w:val="1"/>
      <w:numFmt w:val="bullet"/>
      <w:lvlText w:val="•"/>
      <w:lvlJc w:val="left"/>
      <w:pPr>
        <w:tabs>
          <w:tab w:val="num" w:pos="1800"/>
        </w:tabs>
        <w:ind w:left="1800" w:hanging="360"/>
      </w:pPr>
      <w:rPr>
        <w:rFonts w:ascii="Times New Roman" w:hAnsi="Times New Roman" w:hint="default"/>
      </w:rPr>
    </w:lvl>
    <w:lvl w:ilvl="3" w:tplc="332432AE" w:tentative="1">
      <w:start w:val="1"/>
      <w:numFmt w:val="bullet"/>
      <w:lvlText w:val="•"/>
      <w:lvlJc w:val="left"/>
      <w:pPr>
        <w:tabs>
          <w:tab w:val="num" w:pos="2520"/>
        </w:tabs>
        <w:ind w:left="2520" w:hanging="360"/>
      </w:pPr>
      <w:rPr>
        <w:rFonts w:ascii="Times New Roman" w:hAnsi="Times New Roman" w:hint="default"/>
      </w:rPr>
    </w:lvl>
    <w:lvl w:ilvl="4" w:tplc="A1D4CF84" w:tentative="1">
      <w:start w:val="1"/>
      <w:numFmt w:val="bullet"/>
      <w:lvlText w:val="•"/>
      <w:lvlJc w:val="left"/>
      <w:pPr>
        <w:tabs>
          <w:tab w:val="num" w:pos="3240"/>
        </w:tabs>
        <w:ind w:left="3240" w:hanging="360"/>
      </w:pPr>
      <w:rPr>
        <w:rFonts w:ascii="Times New Roman" w:hAnsi="Times New Roman" w:hint="default"/>
      </w:rPr>
    </w:lvl>
    <w:lvl w:ilvl="5" w:tplc="833032C0" w:tentative="1">
      <w:start w:val="1"/>
      <w:numFmt w:val="bullet"/>
      <w:lvlText w:val="•"/>
      <w:lvlJc w:val="left"/>
      <w:pPr>
        <w:tabs>
          <w:tab w:val="num" w:pos="3960"/>
        </w:tabs>
        <w:ind w:left="3960" w:hanging="360"/>
      </w:pPr>
      <w:rPr>
        <w:rFonts w:ascii="Times New Roman" w:hAnsi="Times New Roman" w:hint="default"/>
      </w:rPr>
    </w:lvl>
    <w:lvl w:ilvl="6" w:tplc="63309A7A" w:tentative="1">
      <w:start w:val="1"/>
      <w:numFmt w:val="bullet"/>
      <w:lvlText w:val="•"/>
      <w:lvlJc w:val="left"/>
      <w:pPr>
        <w:tabs>
          <w:tab w:val="num" w:pos="4680"/>
        </w:tabs>
        <w:ind w:left="4680" w:hanging="360"/>
      </w:pPr>
      <w:rPr>
        <w:rFonts w:ascii="Times New Roman" w:hAnsi="Times New Roman" w:hint="default"/>
      </w:rPr>
    </w:lvl>
    <w:lvl w:ilvl="7" w:tplc="BB3C8066" w:tentative="1">
      <w:start w:val="1"/>
      <w:numFmt w:val="bullet"/>
      <w:lvlText w:val="•"/>
      <w:lvlJc w:val="left"/>
      <w:pPr>
        <w:tabs>
          <w:tab w:val="num" w:pos="5400"/>
        </w:tabs>
        <w:ind w:left="5400" w:hanging="360"/>
      </w:pPr>
      <w:rPr>
        <w:rFonts w:ascii="Times New Roman" w:hAnsi="Times New Roman" w:hint="default"/>
      </w:rPr>
    </w:lvl>
    <w:lvl w:ilvl="8" w:tplc="2F5C4792" w:tentative="1">
      <w:start w:val="1"/>
      <w:numFmt w:val="bullet"/>
      <w:lvlText w:val="•"/>
      <w:lvlJc w:val="left"/>
      <w:pPr>
        <w:tabs>
          <w:tab w:val="num" w:pos="6120"/>
        </w:tabs>
        <w:ind w:left="6120" w:hanging="360"/>
      </w:pPr>
      <w:rPr>
        <w:rFonts w:ascii="Times New Roman" w:hAnsi="Times New Roman" w:hint="default"/>
      </w:rPr>
    </w:lvl>
  </w:abstractNum>
  <w:abstractNum w:abstractNumId="27" w15:restartNumberingAfterBreak="0">
    <w:nsid w:val="76F42F4C"/>
    <w:multiLevelType w:val="hybridMultilevel"/>
    <w:tmpl w:val="E25C9882"/>
    <w:lvl w:ilvl="0" w:tplc="E5605408">
      <w:start w:val="2"/>
      <w:numFmt w:val="bullet"/>
      <w:lvlText w:val="‒"/>
      <w:lvlJc w:val="left"/>
      <w:pPr>
        <w:ind w:left="360" w:hanging="360"/>
      </w:pPr>
      <w:rPr>
        <w:rFonts w:ascii="Arial" w:eastAsia="Times New Roman" w:hAnsi="Arial" w:hint="default"/>
        <w:color w:val="auto"/>
      </w:rPr>
    </w:lvl>
    <w:lvl w:ilvl="1" w:tplc="99B40CAC">
      <w:numFmt w:val="bullet"/>
      <w:lvlText w:val="-"/>
      <w:lvlJc w:val="left"/>
      <w:pPr>
        <w:ind w:left="1080" w:hanging="360"/>
      </w:pPr>
      <w:rPr>
        <w:rFonts w:ascii="Arial" w:eastAsia="Times New Roman" w:hAnsi="Arial" w:cs="Arial"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0"/>
  </w:num>
  <w:num w:numId="4">
    <w:abstractNumId w:val="6"/>
  </w:num>
  <w:num w:numId="5">
    <w:abstractNumId w:val="1"/>
  </w:num>
  <w:num w:numId="6">
    <w:abstractNumId w:val="19"/>
  </w:num>
  <w:num w:numId="7">
    <w:abstractNumId w:val="12"/>
  </w:num>
  <w:num w:numId="8">
    <w:abstractNumId w:val="14"/>
  </w:num>
  <w:num w:numId="9">
    <w:abstractNumId w:val="19"/>
  </w:num>
  <w:num w:numId="10">
    <w:abstractNumId w:val="16"/>
  </w:num>
  <w:num w:numId="11">
    <w:abstractNumId w:val="18"/>
  </w:num>
  <w:num w:numId="12">
    <w:abstractNumId w:val="21"/>
  </w:num>
  <w:num w:numId="13">
    <w:abstractNumId w:val="27"/>
  </w:num>
  <w:num w:numId="14">
    <w:abstractNumId w:val="7"/>
  </w:num>
  <w:num w:numId="15">
    <w:abstractNumId w:val="23"/>
  </w:num>
  <w:num w:numId="16">
    <w:abstractNumId w:val="28"/>
  </w:num>
  <w:num w:numId="17">
    <w:abstractNumId w:val="13"/>
  </w:num>
  <w:num w:numId="18">
    <w:abstractNumId w:val="10"/>
  </w:num>
  <w:num w:numId="19">
    <w:abstractNumId w:val="9"/>
  </w:num>
  <w:num w:numId="20">
    <w:abstractNumId w:val="22"/>
  </w:num>
  <w:num w:numId="21">
    <w:abstractNumId w:val="3"/>
  </w:num>
  <w:num w:numId="22">
    <w:abstractNumId w:val="5"/>
  </w:num>
  <w:num w:numId="23">
    <w:abstractNumId w:val="24"/>
  </w:num>
  <w:num w:numId="24">
    <w:abstractNumId w:val="4"/>
  </w:num>
  <w:num w:numId="25">
    <w:abstractNumId w:val="8"/>
  </w:num>
  <w:num w:numId="26">
    <w:abstractNumId w:val="15"/>
  </w:num>
  <w:num w:numId="27">
    <w:abstractNumId w:val="26"/>
  </w:num>
  <w:num w:numId="28">
    <w:abstractNumId w:val="11"/>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C49"/>
    <w:rsid w:val="00001458"/>
    <w:rsid w:val="00001D66"/>
    <w:rsid w:val="00002109"/>
    <w:rsid w:val="000037FF"/>
    <w:rsid w:val="00005E5D"/>
    <w:rsid w:val="0001020D"/>
    <w:rsid w:val="00015348"/>
    <w:rsid w:val="000154A0"/>
    <w:rsid w:val="000155D6"/>
    <w:rsid w:val="000168F0"/>
    <w:rsid w:val="0001690E"/>
    <w:rsid w:val="000203EA"/>
    <w:rsid w:val="00024B45"/>
    <w:rsid w:val="000258DA"/>
    <w:rsid w:val="00025BF5"/>
    <w:rsid w:val="000271B7"/>
    <w:rsid w:val="00036682"/>
    <w:rsid w:val="00036DC3"/>
    <w:rsid w:val="00040C56"/>
    <w:rsid w:val="0004287E"/>
    <w:rsid w:val="00047FF2"/>
    <w:rsid w:val="000504D2"/>
    <w:rsid w:val="000552BA"/>
    <w:rsid w:val="00057801"/>
    <w:rsid w:val="00067A1C"/>
    <w:rsid w:val="00067A49"/>
    <w:rsid w:val="00067C7A"/>
    <w:rsid w:val="00070A0D"/>
    <w:rsid w:val="00071163"/>
    <w:rsid w:val="0007387D"/>
    <w:rsid w:val="00074272"/>
    <w:rsid w:val="00077A1A"/>
    <w:rsid w:val="000814ED"/>
    <w:rsid w:val="00081905"/>
    <w:rsid w:val="00082A30"/>
    <w:rsid w:val="000835CB"/>
    <w:rsid w:val="0008371F"/>
    <w:rsid w:val="00083769"/>
    <w:rsid w:val="00083F65"/>
    <w:rsid w:val="00092F8C"/>
    <w:rsid w:val="000A2B25"/>
    <w:rsid w:val="000A60C0"/>
    <w:rsid w:val="000A6496"/>
    <w:rsid w:val="000A7A58"/>
    <w:rsid w:val="000A7CD8"/>
    <w:rsid w:val="000B0248"/>
    <w:rsid w:val="000B17AB"/>
    <w:rsid w:val="000B6E71"/>
    <w:rsid w:val="000C2CCF"/>
    <w:rsid w:val="000C3C76"/>
    <w:rsid w:val="000C3F09"/>
    <w:rsid w:val="000C5DBA"/>
    <w:rsid w:val="000C77AE"/>
    <w:rsid w:val="000D4F76"/>
    <w:rsid w:val="000E0E64"/>
    <w:rsid w:val="000E126C"/>
    <w:rsid w:val="000E14A0"/>
    <w:rsid w:val="000E2B07"/>
    <w:rsid w:val="000E32BE"/>
    <w:rsid w:val="000E3BB3"/>
    <w:rsid w:val="000E7B59"/>
    <w:rsid w:val="000E7CB8"/>
    <w:rsid w:val="000F216B"/>
    <w:rsid w:val="000F24C0"/>
    <w:rsid w:val="000F386F"/>
    <w:rsid w:val="000F4D5B"/>
    <w:rsid w:val="000F56EB"/>
    <w:rsid w:val="00100535"/>
    <w:rsid w:val="0010261A"/>
    <w:rsid w:val="00102A72"/>
    <w:rsid w:val="0010317E"/>
    <w:rsid w:val="001032AC"/>
    <w:rsid w:val="00103BDE"/>
    <w:rsid w:val="0010469D"/>
    <w:rsid w:val="00105882"/>
    <w:rsid w:val="00111026"/>
    <w:rsid w:val="00111BD9"/>
    <w:rsid w:val="001204C1"/>
    <w:rsid w:val="0012203B"/>
    <w:rsid w:val="00122626"/>
    <w:rsid w:val="00123ABD"/>
    <w:rsid w:val="00125DCC"/>
    <w:rsid w:val="00125FCF"/>
    <w:rsid w:val="00131274"/>
    <w:rsid w:val="001353CC"/>
    <w:rsid w:val="00135693"/>
    <w:rsid w:val="00136FEB"/>
    <w:rsid w:val="00137D2F"/>
    <w:rsid w:val="00140D15"/>
    <w:rsid w:val="0014173E"/>
    <w:rsid w:val="0014222E"/>
    <w:rsid w:val="00143158"/>
    <w:rsid w:val="00144544"/>
    <w:rsid w:val="0014536D"/>
    <w:rsid w:val="00150749"/>
    <w:rsid w:val="0015143D"/>
    <w:rsid w:val="001639F0"/>
    <w:rsid w:val="00173DDF"/>
    <w:rsid w:val="00174019"/>
    <w:rsid w:val="001740D3"/>
    <w:rsid w:val="00174B37"/>
    <w:rsid w:val="00175B0F"/>
    <w:rsid w:val="00180F10"/>
    <w:rsid w:val="00186054"/>
    <w:rsid w:val="00186464"/>
    <w:rsid w:val="00193365"/>
    <w:rsid w:val="001935D6"/>
    <w:rsid w:val="001949A6"/>
    <w:rsid w:val="00194FF6"/>
    <w:rsid w:val="001A0915"/>
    <w:rsid w:val="001A0BFF"/>
    <w:rsid w:val="001A1290"/>
    <w:rsid w:val="001A1AE2"/>
    <w:rsid w:val="001A2FF0"/>
    <w:rsid w:val="001A7A3F"/>
    <w:rsid w:val="001B0245"/>
    <w:rsid w:val="001B08E4"/>
    <w:rsid w:val="001B3442"/>
    <w:rsid w:val="001B69EA"/>
    <w:rsid w:val="001B6F97"/>
    <w:rsid w:val="001B7CD9"/>
    <w:rsid w:val="001C11FA"/>
    <w:rsid w:val="001C161B"/>
    <w:rsid w:val="001C2761"/>
    <w:rsid w:val="001C2C51"/>
    <w:rsid w:val="001C338A"/>
    <w:rsid w:val="001C51EE"/>
    <w:rsid w:val="001C6C59"/>
    <w:rsid w:val="001D0992"/>
    <w:rsid w:val="001D1A9F"/>
    <w:rsid w:val="001D3D70"/>
    <w:rsid w:val="001D7562"/>
    <w:rsid w:val="001E306B"/>
    <w:rsid w:val="001F028F"/>
    <w:rsid w:val="001F11D8"/>
    <w:rsid w:val="001F3971"/>
    <w:rsid w:val="001F6969"/>
    <w:rsid w:val="001F6C0D"/>
    <w:rsid w:val="00201996"/>
    <w:rsid w:val="00206BAE"/>
    <w:rsid w:val="00210F86"/>
    <w:rsid w:val="00215F16"/>
    <w:rsid w:val="00216C73"/>
    <w:rsid w:val="002179F2"/>
    <w:rsid w:val="00221C51"/>
    <w:rsid w:val="002248CE"/>
    <w:rsid w:val="00231A53"/>
    <w:rsid w:val="00232E1C"/>
    <w:rsid w:val="002358EB"/>
    <w:rsid w:val="00237732"/>
    <w:rsid w:val="0024132B"/>
    <w:rsid w:val="002413B5"/>
    <w:rsid w:val="0025630C"/>
    <w:rsid w:val="00256C4B"/>
    <w:rsid w:val="002576E1"/>
    <w:rsid w:val="0026045E"/>
    <w:rsid w:val="00261D89"/>
    <w:rsid w:val="00266100"/>
    <w:rsid w:val="002731DF"/>
    <w:rsid w:val="00273C7C"/>
    <w:rsid w:val="00277805"/>
    <w:rsid w:val="00280287"/>
    <w:rsid w:val="002829D3"/>
    <w:rsid w:val="002915F9"/>
    <w:rsid w:val="00292B89"/>
    <w:rsid w:val="00294F9F"/>
    <w:rsid w:val="002A178D"/>
    <w:rsid w:val="002A1E12"/>
    <w:rsid w:val="002A1FC4"/>
    <w:rsid w:val="002A620A"/>
    <w:rsid w:val="002A709E"/>
    <w:rsid w:val="002A7DA5"/>
    <w:rsid w:val="002C1167"/>
    <w:rsid w:val="002C28B7"/>
    <w:rsid w:val="002C34D7"/>
    <w:rsid w:val="002D2B99"/>
    <w:rsid w:val="002D367C"/>
    <w:rsid w:val="002D4F65"/>
    <w:rsid w:val="002D5A54"/>
    <w:rsid w:val="002E3A2F"/>
    <w:rsid w:val="002E65B7"/>
    <w:rsid w:val="002F01E9"/>
    <w:rsid w:val="002F091E"/>
    <w:rsid w:val="002F3409"/>
    <w:rsid w:val="002F3471"/>
    <w:rsid w:val="002F35DF"/>
    <w:rsid w:val="002F681B"/>
    <w:rsid w:val="002F72D6"/>
    <w:rsid w:val="00302AE9"/>
    <w:rsid w:val="00304A3D"/>
    <w:rsid w:val="00307B74"/>
    <w:rsid w:val="003121C2"/>
    <w:rsid w:val="003131ED"/>
    <w:rsid w:val="00313D9D"/>
    <w:rsid w:val="00315E6A"/>
    <w:rsid w:val="003219E4"/>
    <w:rsid w:val="00321A0E"/>
    <w:rsid w:val="00323759"/>
    <w:rsid w:val="00326422"/>
    <w:rsid w:val="0032703E"/>
    <w:rsid w:val="00332419"/>
    <w:rsid w:val="003343A1"/>
    <w:rsid w:val="00336604"/>
    <w:rsid w:val="00342BA4"/>
    <w:rsid w:val="00343438"/>
    <w:rsid w:val="003445C5"/>
    <w:rsid w:val="00346B57"/>
    <w:rsid w:val="00351BBB"/>
    <w:rsid w:val="00354960"/>
    <w:rsid w:val="00355A30"/>
    <w:rsid w:val="00357728"/>
    <w:rsid w:val="0036026D"/>
    <w:rsid w:val="00360999"/>
    <w:rsid w:val="00362987"/>
    <w:rsid w:val="00366E92"/>
    <w:rsid w:val="0036764A"/>
    <w:rsid w:val="00382517"/>
    <w:rsid w:val="00384E59"/>
    <w:rsid w:val="00385F62"/>
    <w:rsid w:val="003869E3"/>
    <w:rsid w:val="00387F1E"/>
    <w:rsid w:val="003936AF"/>
    <w:rsid w:val="003A069C"/>
    <w:rsid w:val="003A0B16"/>
    <w:rsid w:val="003A22DE"/>
    <w:rsid w:val="003A5518"/>
    <w:rsid w:val="003A589C"/>
    <w:rsid w:val="003A5C8F"/>
    <w:rsid w:val="003B07E3"/>
    <w:rsid w:val="003B2B72"/>
    <w:rsid w:val="003B6808"/>
    <w:rsid w:val="003B7EAB"/>
    <w:rsid w:val="003C02FC"/>
    <w:rsid w:val="003C1C67"/>
    <w:rsid w:val="003C2823"/>
    <w:rsid w:val="003C406A"/>
    <w:rsid w:val="003C46A6"/>
    <w:rsid w:val="003C5ED8"/>
    <w:rsid w:val="003C6116"/>
    <w:rsid w:val="003C755A"/>
    <w:rsid w:val="003D431F"/>
    <w:rsid w:val="003E3753"/>
    <w:rsid w:val="003E44F2"/>
    <w:rsid w:val="003F1CC5"/>
    <w:rsid w:val="003F28C0"/>
    <w:rsid w:val="003F34C0"/>
    <w:rsid w:val="003F3C74"/>
    <w:rsid w:val="003F63BF"/>
    <w:rsid w:val="00400678"/>
    <w:rsid w:val="00404E3F"/>
    <w:rsid w:val="00410871"/>
    <w:rsid w:val="00413F10"/>
    <w:rsid w:val="00421640"/>
    <w:rsid w:val="004234E8"/>
    <w:rsid w:val="00431057"/>
    <w:rsid w:val="004355F7"/>
    <w:rsid w:val="00436337"/>
    <w:rsid w:val="00436815"/>
    <w:rsid w:val="00441AC7"/>
    <w:rsid w:val="0044238D"/>
    <w:rsid w:val="00444FE9"/>
    <w:rsid w:val="00450335"/>
    <w:rsid w:val="00450716"/>
    <w:rsid w:val="00450B7E"/>
    <w:rsid w:val="00451655"/>
    <w:rsid w:val="00453E38"/>
    <w:rsid w:val="0045663A"/>
    <w:rsid w:val="0046359E"/>
    <w:rsid w:val="004735D6"/>
    <w:rsid w:val="00473B1E"/>
    <w:rsid w:val="00475DDE"/>
    <w:rsid w:val="0047600D"/>
    <w:rsid w:val="0047682A"/>
    <w:rsid w:val="0048685F"/>
    <w:rsid w:val="00493FAF"/>
    <w:rsid w:val="00494DBC"/>
    <w:rsid w:val="0049602D"/>
    <w:rsid w:val="004A2FF4"/>
    <w:rsid w:val="004A3893"/>
    <w:rsid w:val="004B5D82"/>
    <w:rsid w:val="004C0DAB"/>
    <w:rsid w:val="004C29B5"/>
    <w:rsid w:val="004C42E1"/>
    <w:rsid w:val="004C5375"/>
    <w:rsid w:val="004D2A9A"/>
    <w:rsid w:val="004D335A"/>
    <w:rsid w:val="004D39E5"/>
    <w:rsid w:val="004D4710"/>
    <w:rsid w:val="004D4F43"/>
    <w:rsid w:val="004D522F"/>
    <w:rsid w:val="004E2E4A"/>
    <w:rsid w:val="004F0EB5"/>
    <w:rsid w:val="004F31F5"/>
    <w:rsid w:val="004F7361"/>
    <w:rsid w:val="004F77E9"/>
    <w:rsid w:val="00502DA3"/>
    <w:rsid w:val="005061AF"/>
    <w:rsid w:val="0051290D"/>
    <w:rsid w:val="005144AA"/>
    <w:rsid w:val="00514C05"/>
    <w:rsid w:val="005161D8"/>
    <w:rsid w:val="00523E99"/>
    <w:rsid w:val="00527F93"/>
    <w:rsid w:val="005311C1"/>
    <w:rsid w:val="0053370C"/>
    <w:rsid w:val="00537C2B"/>
    <w:rsid w:val="00541A00"/>
    <w:rsid w:val="005546D4"/>
    <w:rsid w:val="0056026E"/>
    <w:rsid w:val="005633FA"/>
    <w:rsid w:val="00566009"/>
    <w:rsid w:val="00574965"/>
    <w:rsid w:val="00574BC6"/>
    <w:rsid w:val="00585291"/>
    <w:rsid w:val="00593A25"/>
    <w:rsid w:val="00594156"/>
    <w:rsid w:val="005962F0"/>
    <w:rsid w:val="00596846"/>
    <w:rsid w:val="005A0FF7"/>
    <w:rsid w:val="005A544C"/>
    <w:rsid w:val="005B033A"/>
    <w:rsid w:val="005B391D"/>
    <w:rsid w:val="005B4A6B"/>
    <w:rsid w:val="005B51CE"/>
    <w:rsid w:val="005B59B2"/>
    <w:rsid w:val="005C5257"/>
    <w:rsid w:val="005D053A"/>
    <w:rsid w:val="005D0DE1"/>
    <w:rsid w:val="005D292F"/>
    <w:rsid w:val="005D458D"/>
    <w:rsid w:val="005D5255"/>
    <w:rsid w:val="005D5741"/>
    <w:rsid w:val="005E5F16"/>
    <w:rsid w:val="005F49FE"/>
    <w:rsid w:val="005F57FA"/>
    <w:rsid w:val="005F6513"/>
    <w:rsid w:val="0060012B"/>
    <w:rsid w:val="006002BE"/>
    <w:rsid w:val="00607188"/>
    <w:rsid w:val="0061258A"/>
    <w:rsid w:val="00615BAE"/>
    <w:rsid w:val="00620CAD"/>
    <w:rsid w:val="00622C9E"/>
    <w:rsid w:val="00623609"/>
    <w:rsid w:val="006242B5"/>
    <w:rsid w:val="00625525"/>
    <w:rsid w:val="0062635B"/>
    <w:rsid w:val="00627ED0"/>
    <w:rsid w:val="00630ECF"/>
    <w:rsid w:val="006439C0"/>
    <w:rsid w:val="00647901"/>
    <w:rsid w:val="0065487D"/>
    <w:rsid w:val="0065749E"/>
    <w:rsid w:val="006656E5"/>
    <w:rsid w:val="00665D43"/>
    <w:rsid w:val="00667A44"/>
    <w:rsid w:val="00671135"/>
    <w:rsid w:val="0067278B"/>
    <w:rsid w:val="006747CD"/>
    <w:rsid w:val="00680B59"/>
    <w:rsid w:val="00681325"/>
    <w:rsid w:val="00690172"/>
    <w:rsid w:val="00690F6F"/>
    <w:rsid w:val="00691381"/>
    <w:rsid w:val="00691C61"/>
    <w:rsid w:val="00692F03"/>
    <w:rsid w:val="006A47C4"/>
    <w:rsid w:val="006A7A17"/>
    <w:rsid w:val="006B053A"/>
    <w:rsid w:val="006B0D41"/>
    <w:rsid w:val="006B593E"/>
    <w:rsid w:val="006B671D"/>
    <w:rsid w:val="006B6DCF"/>
    <w:rsid w:val="006C16DC"/>
    <w:rsid w:val="006C20AA"/>
    <w:rsid w:val="006C2141"/>
    <w:rsid w:val="006C6811"/>
    <w:rsid w:val="006C7390"/>
    <w:rsid w:val="006D0498"/>
    <w:rsid w:val="006D17CF"/>
    <w:rsid w:val="006D3D0B"/>
    <w:rsid w:val="006E1A2F"/>
    <w:rsid w:val="006E2C4F"/>
    <w:rsid w:val="006E46C5"/>
    <w:rsid w:val="006E4EB3"/>
    <w:rsid w:val="006E5990"/>
    <w:rsid w:val="006F1C8B"/>
    <w:rsid w:val="006F200F"/>
    <w:rsid w:val="006F320B"/>
    <w:rsid w:val="006F4D2B"/>
    <w:rsid w:val="006F63A0"/>
    <w:rsid w:val="006F68DE"/>
    <w:rsid w:val="00701485"/>
    <w:rsid w:val="00702859"/>
    <w:rsid w:val="00702FFA"/>
    <w:rsid w:val="007035E9"/>
    <w:rsid w:val="007074AC"/>
    <w:rsid w:val="00711BEE"/>
    <w:rsid w:val="00713C21"/>
    <w:rsid w:val="00714213"/>
    <w:rsid w:val="0072184D"/>
    <w:rsid w:val="00723675"/>
    <w:rsid w:val="00723B5F"/>
    <w:rsid w:val="007244E7"/>
    <w:rsid w:val="00725059"/>
    <w:rsid w:val="007259B9"/>
    <w:rsid w:val="00725CB7"/>
    <w:rsid w:val="007267BD"/>
    <w:rsid w:val="00727CA7"/>
    <w:rsid w:val="00730E37"/>
    <w:rsid w:val="0073679A"/>
    <w:rsid w:val="00737A3D"/>
    <w:rsid w:val="00751533"/>
    <w:rsid w:val="0075245F"/>
    <w:rsid w:val="00752AB8"/>
    <w:rsid w:val="00757910"/>
    <w:rsid w:val="00763DAB"/>
    <w:rsid w:val="00765415"/>
    <w:rsid w:val="00770789"/>
    <w:rsid w:val="0077269D"/>
    <w:rsid w:val="00773009"/>
    <w:rsid w:val="00776365"/>
    <w:rsid w:val="00777255"/>
    <w:rsid w:val="00777CA5"/>
    <w:rsid w:val="00781D2E"/>
    <w:rsid w:val="00781F2D"/>
    <w:rsid w:val="00782388"/>
    <w:rsid w:val="00785425"/>
    <w:rsid w:val="007863CC"/>
    <w:rsid w:val="00790310"/>
    <w:rsid w:val="007912E0"/>
    <w:rsid w:val="00792203"/>
    <w:rsid w:val="007A0E05"/>
    <w:rsid w:val="007A1161"/>
    <w:rsid w:val="007A3DD8"/>
    <w:rsid w:val="007B2CAE"/>
    <w:rsid w:val="007B6E7B"/>
    <w:rsid w:val="007C1E0C"/>
    <w:rsid w:val="007C415F"/>
    <w:rsid w:val="007D1365"/>
    <w:rsid w:val="007D2EF6"/>
    <w:rsid w:val="007D3F38"/>
    <w:rsid w:val="007D5374"/>
    <w:rsid w:val="007D72EC"/>
    <w:rsid w:val="007D7ACA"/>
    <w:rsid w:val="007E0472"/>
    <w:rsid w:val="007E10E1"/>
    <w:rsid w:val="007E5210"/>
    <w:rsid w:val="007F004B"/>
    <w:rsid w:val="007F4898"/>
    <w:rsid w:val="007F5A12"/>
    <w:rsid w:val="007F7988"/>
    <w:rsid w:val="007F7C10"/>
    <w:rsid w:val="0080418A"/>
    <w:rsid w:val="00804F07"/>
    <w:rsid w:val="008110FF"/>
    <w:rsid w:val="00816167"/>
    <w:rsid w:val="00820A57"/>
    <w:rsid w:val="00822B46"/>
    <w:rsid w:val="00827116"/>
    <w:rsid w:val="00830050"/>
    <w:rsid w:val="00830100"/>
    <w:rsid w:val="0083141C"/>
    <w:rsid w:val="0083311C"/>
    <w:rsid w:val="00834386"/>
    <w:rsid w:val="00846001"/>
    <w:rsid w:val="008516D1"/>
    <w:rsid w:val="00865A80"/>
    <w:rsid w:val="00871B6C"/>
    <w:rsid w:val="008732A0"/>
    <w:rsid w:val="00873D04"/>
    <w:rsid w:val="00883891"/>
    <w:rsid w:val="0089414F"/>
    <w:rsid w:val="00894D19"/>
    <w:rsid w:val="00897D81"/>
    <w:rsid w:val="008A1C1B"/>
    <w:rsid w:val="008A3472"/>
    <w:rsid w:val="008A58A9"/>
    <w:rsid w:val="008A6914"/>
    <w:rsid w:val="008B36A9"/>
    <w:rsid w:val="008B4229"/>
    <w:rsid w:val="008B6A8B"/>
    <w:rsid w:val="008C2A2C"/>
    <w:rsid w:val="008C588C"/>
    <w:rsid w:val="008D05DC"/>
    <w:rsid w:val="008D3E11"/>
    <w:rsid w:val="008D4D16"/>
    <w:rsid w:val="008D7CAF"/>
    <w:rsid w:val="008E0C07"/>
    <w:rsid w:val="008E1E1F"/>
    <w:rsid w:val="008E5600"/>
    <w:rsid w:val="008E712F"/>
    <w:rsid w:val="008F11D6"/>
    <w:rsid w:val="008F166C"/>
    <w:rsid w:val="008F6BC1"/>
    <w:rsid w:val="009014D9"/>
    <w:rsid w:val="00901C5C"/>
    <w:rsid w:val="00903C53"/>
    <w:rsid w:val="00906DE3"/>
    <w:rsid w:val="0091009F"/>
    <w:rsid w:val="00914051"/>
    <w:rsid w:val="0092276E"/>
    <w:rsid w:val="00922D6C"/>
    <w:rsid w:val="0092312F"/>
    <w:rsid w:val="009240ED"/>
    <w:rsid w:val="00924792"/>
    <w:rsid w:val="00924ADD"/>
    <w:rsid w:val="0093616A"/>
    <w:rsid w:val="009362E0"/>
    <w:rsid w:val="009409F7"/>
    <w:rsid w:val="009602EF"/>
    <w:rsid w:val="0096083F"/>
    <w:rsid w:val="00960A8E"/>
    <w:rsid w:val="00961D31"/>
    <w:rsid w:val="00964510"/>
    <w:rsid w:val="00972841"/>
    <w:rsid w:val="0097704E"/>
    <w:rsid w:val="009778AF"/>
    <w:rsid w:val="00980B46"/>
    <w:rsid w:val="00983469"/>
    <w:rsid w:val="00983519"/>
    <w:rsid w:val="00983DF0"/>
    <w:rsid w:val="00984BB1"/>
    <w:rsid w:val="009851E4"/>
    <w:rsid w:val="00985646"/>
    <w:rsid w:val="00990E86"/>
    <w:rsid w:val="0099180C"/>
    <w:rsid w:val="009A0FE8"/>
    <w:rsid w:val="009A33CA"/>
    <w:rsid w:val="009B369B"/>
    <w:rsid w:val="009C19C9"/>
    <w:rsid w:val="009C2B09"/>
    <w:rsid w:val="009C516E"/>
    <w:rsid w:val="009C5DF2"/>
    <w:rsid w:val="009C6776"/>
    <w:rsid w:val="009D1830"/>
    <w:rsid w:val="009D2F9F"/>
    <w:rsid w:val="009D394D"/>
    <w:rsid w:val="009D46E7"/>
    <w:rsid w:val="009D540C"/>
    <w:rsid w:val="009D6880"/>
    <w:rsid w:val="009D6F4D"/>
    <w:rsid w:val="009D7CC6"/>
    <w:rsid w:val="009E0EA0"/>
    <w:rsid w:val="009E31C7"/>
    <w:rsid w:val="009E7EBB"/>
    <w:rsid w:val="009F0E73"/>
    <w:rsid w:val="00A02F54"/>
    <w:rsid w:val="00A03034"/>
    <w:rsid w:val="00A114D5"/>
    <w:rsid w:val="00A140FD"/>
    <w:rsid w:val="00A14311"/>
    <w:rsid w:val="00A21429"/>
    <w:rsid w:val="00A223BA"/>
    <w:rsid w:val="00A26573"/>
    <w:rsid w:val="00A27643"/>
    <w:rsid w:val="00A33353"/>
    <w:rsid w:val="00A34E47"/>
    <w:rsid w:val="00A35D94"/>
    <w:rsid w:val="00A41992"/>
    <w:rsid w:val="00A44BF8"/>
    <w:rsid w:val="00A4507C"/>
    <w:rsid w:val="00A45E45"/>
    <w:rsid w:val="00A46A33"/>
    <w:rsid w:val="00A46B90"/>
    <w:rsid w:val="00A46BC2"/>
    <w:rsid w:val="00A46E83"/>
    <w:rsid w:val="00A47047"/>
    <w:rsid w:val="00A47376"/>
    <w:rsid w:val="00A5017E"/>
    <w:rsid w:val="00A5291B"/>
    <w:rsid w:val="00A57E7F"/>
    <w:rsid w:val="00A6109B"/>
    <w:rsid w:val="00A6159E"/>
    <w:rsid w:val="00A61D64"/>
    <w:rsid w:val="00A62C00"/>
    <w:rsid w:val="00A63C49"/>
    <w:rsid w:val="00A66EF9"/>
    <w:rsid w:val="00A677A4"/>
    <w:rsid w:val="00A70081"/>
    <w:rsid w:val="00A70AFD"/>
    <w:rsid w:val="00A72A78"/>
    <w:rsid w:val="00A76DCB"/>
    <w:rsid w:val="00A80317"/>
    <w:rsid w:val="00A811DA"/>
    <w:rsid w:val="00A8408A"/>
    <w:rsid w:val="00A8682E"/>
    <w:rsid w:val="00A869B2"/>
    <w:rsid w:val="00A8787A"/>
    <w:rsid w:val="00A901A3"/>
    <w:rsid w:val="00A907C7"/>
    <w:rsid w:val="00A911FB"/>
    <w:rsid w:val="00A92D71"/>
    <w:rsid w:val="00A96E3E"/>
    <w:rsid w:val="00AA1E0C"/>
    <w:rsid w:val="00AA61A0"/>
    <w:rsid w:val="00AB13B2"/>
    <w:rsid w:val="00AB4444"/>
    <w:rsid w:val="00AC2F3B"/>
    <w:rsid w:val="00AC4C91"/>
    <w:rsid w:val="00AC5919"/>
    <w:rsid w:val="00AD22CE"/>
    <w:rsid w:val="00AD3571"/>
    <w:rsid w:val="00AD42D0"/>
    <w:rsid w:val="00AE02EE"/>
    <w:rsid w:val="00AE184B"/>
    <w:rsid w:val="00AE5FCC"/>
    <w:rsid w:val="00AE73D7"/>
    <w:rsid w:val="00AE74EB"/>
    <w:rsid w:val="00AF0991"/>
    <w:rsid w:val="00AF61C7"/>
    <w:rsid w:val="00AF7E3B"/>
    <w:rsid w:val="00B0303F"/>
    <w:rsid w:val="00B1081A"/>
    <w:rsid w:val="00B108C9"/>
    <w:rsid w:val="00B34B7C"/>
    <w:rsid w:val="00B40703"/>
    <w:rsid w:val="00B414EB"/>
    <w:rsid w:val="00B42A7A"/>
    <w:rsid w:val="00B4373A"/>
    <w:rsid w:val="00B44A9A"/>
    <w:rsid w:val="00B460DE"/>
    <w:rsid w:val="00B46A0A"/>
    <w:rsid w:val="00B5004F"/>
    <w:rsid w:val="00B505DA"/>
    <w:rsid w:val="00B52AB5"/>
    <w:rsid w:val="00B5370D"/>
    <w:rsid w:val="00B54021"/>
    <w:rsid w:val="00B54AD2"/>
    <w:rsid w:val="00B55791"/>
    <w:rsid w:val="00B569F3"/>
    <w:rsid w:val="00B56D40"/>
    <w:rsid w:val="00B6005A"/>
    <w:rsid w:val="00B62C00"/>
    <w:rsid w:val="00B6352A"/>
    <w:rsid w:val="00B636EC"/>
    <w:rsid w:val="00B64D1A"/>
    <w:rsid w:val="00B6553B"/>
    <w:rsid w:val="00B770A0"/>
    <w:rsid w:val="00B77BAC"/>
    <w:rsid w:val="00B77ECF"/>
    <w:rsid w:val="00B85D13"/>
    <w:rsid w:val="00B87D29"/>
    <w:rsid w:val="00B9661A"/>
    <w:rsid w:val="00B96B6F"/>
    <w:rsid w:val="00B96D42"/>
    <w:rsid w:val="00B97415"/>
    <w:rsid w:val="00BA3DF7"/>
    <w:rsid w:val="00BA62C4"/>
    <w:rsid w:val="00BB26F5"/>
    <w:rsid w:val="00BB5816"/>
    <w:rsid w:val="00BB6C6F"/>
    <w:rsid w:val="00BB6CC9"/>
    <w:rsid w:val="00BC0861"/>
    <w:rsid w:val="00BC3F1D"/>
    <w:rsid w:val="00BC6E43"/>
    <w:rsid w:val="00BC7B4C"/>
    <w:rsid w:val="00BD09B6"/>
    <w:rsid w:val="00BD2A36"/>
    <w:rsid w:val="00BD4F29"/>
    <w:rsid w:val="00BD7C6C"/>
    <w:rsid w:val="00BE1DD4"/>
    <w:rsid w:val="00BE4FA9"/>
    <w:rsid w:val="00BF095B"/>
    <w:rsid w:val="00BF31FA"/>
    <w:rsid w:val="00BF71AC"/>
    <w:rsid w:val="00C01834"/>
    <w:rsid w:val="00C024E0"/>
    <w:rsid w:val="00C0576B"/>
    <w:rsid w:val="00C11FB5"/>
    <w:rsid w:val="00C16CF0"/>
    <w:rsid w:val="00C268AE"/>
    <w:rsid w:val="00C273B5"/>
    <w:rsid w:val="00C27637"/>
    <w:rsid w:val="00C40100"/>
    <w:rsid w:val="00C40622"/>
    <w:rsid w:val="00C40786"/>
    <w:rsid w:val="00C41D26"/>
    <w:rsid w:val="00C41F0D"/>
    <w:rsid w:val="00C52408"/>
    <w:rsid w:val="00C53C39"/>
    <w:rsid w:val="00C54002"/>
    <w:rsid w:val="00C54B4C"/>
    <w:rsid w:val="00C55297"/>
    <w:rsid w:val="00C55730"/>
    <w:rsid w:val="00C5697A"/>
    <w:rsid w:val="00C570D5"/>
    <w:rsid w:val="00C573B6"/>
    <w:rsid w:val="00C61553"/>
    <w:rsid w:val="00C638CA"/>
    <w:rsid w:val="00C6728E"/>
    <w:rsid w:val="00C67793"/>
    <w:rsid w:val="00C720F4"/>
    <w:rsid w:val="00C72AFE"/>
    <w:rsid w:val="00C7339E"/>
    <w:rsid w:val="00C74758"/>
    <w:rsid w:val="00C75684"/>
    <w:rsid w:val="00C7791C"/>
    <w:rsid w:val="00C82034"/>
    <w:rsid w:val="00C824B1"/>
    <w:rsid w:val="00C839BA"/>
    <w:rsid w:val="00C8448B"/>
    <w:rsid w:val="00C86230"/>
    <w:rsid w:val="00C874F9"/>
    <w:rsid w:val="00C92862"/>
    <w:rsid w:val="00C92EC8"/>
    <w:rsid w:val="00C93C25"/>
    <w:rsid w:val="00C969DD"/>
    <w:rsid w:val="00CA19B5"/>
    <w:rsid w:val="00CA4C1A"/>
    <w:rsid w:val="00CA52D4"/>
    <w:rsid w:val="00CB2BD5"/>
    <w:rsid w:val="00CB451F"/>
    <w:rsid w:val="00CB57AD"/>
    <w:rsid w:val="00CB5B7E"/>
    <w:rsid w:val="00CB6BE3"/>
    <w:rsid w:val="00CB732B"/>
    <w:rsid w:val="00CB7782"/>
    <w:rsid w:val="00CB7D45"/>
    <w:rsid w:val="00CC01FC"/>
    <w:rsid w:val="00CC2A2D"/>
    <w:rsid w:val="00CC3CBB"/>
    <w:rsid w:val="00CC5C55"/>
    <w:rsid w:val="00CD1026"/>
    <w:rsid w:val="00CD1E60"/>
    <w:rsid w:val="00CE16C3"/>
    <w:rsid w:val="00CE5010"/>
    <w:rsid w:val="00CE6A9A"/>
    <w:rsid w:val="00D0219B"/>
    <w:rsid w:val="00D03930"/>
    <w:rsid w:val="00D04BB7"/>
    <w:rsid w:val="00D04C61"/>
    <w:rsid w:val="00D077D2"/>
    <w:rsid w:val="00D117F4"/>
    <w:rsid w:val="00D12036"/>
    <w:rsid w:val="00D17AC7"/>
    <w:rsid w:val="00D229D6"/>
    <w:rsid w:val="00D326A9"/>
    <w:rsid w:val="00D33140"/>
    <w:rsid w:val="00D35DEC"/>
    <w:rsid w:val="00D35F7B"/>
    <w:rsid w:val="00D36160"/>
    <w:rsid w:val="00D4144F"/>
    <w:rsid w:val="00D503B5"/>
    <w:rsid w:val="00D529B0"/>
    <w:rsid w:val="00D566B1"/>
    <w:rsid w:val="00D57821"/>
    <w:rsid w:val="00D600E6"/>
    <w:rsid w:val="00D60F38"/>
    <w:rsid w:val="00D63FBB"/>
    <w:rsid w:val="00D64063"/>
    <w:rsid w:val="00D67165"/>
    <w:rsid w:val="00D71358"/>
    <w:rsid w:val="00D76A15"/>
    <w:rsid w:val="00D76C9C"/>
    <w:rsid w:val="00D77C42"/>
    <w:rsid w:val="00D8035B"/>
    <w:rsid w:val="00D8265D"/>
    <w:rsid w:val="00D84EC0"/>
    <w:rsid w:val="00D85166"/>
    <w:rsid w:val="00D87362"/>
    <w:rsid w:val="00D91645"/>
    <w:rsid w:val="00DA0353"/>
    <w:rsid w:val="00DA1509"/>
    <w:rsid w:val="00DA1868"/>
    <w:rsid w:val="00DB01C5"/>
    <w:rsid w:val="00DB7BDA"/>
    <w:rsid w:val="00DC08B2"/>
    <w:rsid w:val="00DC1147"/>
    <w:rsid w:val="00DC4269"/>
    <w:rsid w:val="00DC6839"/>
    <w:rsid w:val="00DC7A4B"/>
    <w:rsid w:val="00DD237A"/>
    <w:rsid w:val="00DD60E0"/>
    <w:rsid w:val="00DD68A6"/>
    <w:rsid w:val="00DE034D"/>
    <w:rsid w:val="00DE1DD1"/>
    <w:rsid w:val="00DE381B"/>
    <w:rsid w:val="00DE3E1C"/>
    <w:rsid w:val="00DE50FF"/>
    <w:rsid w:val="00DF7483"/>
    <w:rsid w:val="00DF7DEB"/>
    <w:rsid w:val="00E031E4"/>
    <w:rsid w:val="00E072C1"/>
    <w:rsid w:val="00E0795D"/>
    <w:rsid w:val="00E1273F"/>
    <w:rsid w:val="00E13925"/>
    <w:rsid w:val="00E13B02"/>
    <w:rsid w:val="00E14709"/>
    <w:rsid w:val="00E159AD"/>
    <w:rsid w:val="00E15F1F"/>
    <w:rsid w:val="00E23D36"/>
    <w:rsid w:val="00E250F5"/>
    <w:rsid w:val="00E25996"/>
    <w:rsid w:val="00E31740"/>
    <w:rsid w:val="00E32DFC"/>
    <w:rsid w:val="00E3369D"/>
    <w:rsid w:val="00E345CA"/>
    <w:rsid w:val="00E35D86"/>
    <w:rsid w:val="00E45C6D"/>
    <w:rsid w:val="00E47115"/>
    <w:rsid w:val="00E54239"/>
    <w:rsid w:val="00E54B24"/>
    <w:rsid w:val="00E55819"/>
    <w:rsid w:val="00E6114C"/>
    <w:rsid w:val="00E635CB"/>
    <w:rsid w:val="00E65E1A"/>
    <w:rsid w:val="00E7059C"/>
    <w:rsid w:val="00E70626"/>
    <w:rsid w:val="00E73B07"/>
    <w:rsid w:val="00E759D4"/>
    <w:rsid w:val="00E761DB"/>
    <w:rsid w:val="00E808DC"/>
    <w:rsid w:val="00E81372"/>
    <w:rsid w:val="00E82903"/>
    <w:rsid w:val="00E84BF2"/>
    <w:rsid w:val="00E93761"/>
    <w:rsid w:val="00E96834"/>
    <w:rsid w:val="00E97A60"/>
    <w:rsid w:val="00E97D94"/>
    <w:rsid w:val="00EA69EF"/>
    <w:rsid w:val="00EB4182"/>
    <w:rsid w:val="00EB6978"/>
    <w:rsid w:val="00EB7E3F"/>
    <w:rsid w:val="00EC4756"/>
    <w:rsid w:val="00EC4CFE"/>
    <w:rsid w:val="00ED13B5"/>
    <w:rsid w:val="00ED1585"/>
    <w:rsid w:val="00ED4957"/>
    <w:rsid w:val="00EE1899"/>
    <w:rsid w:val="00EE49B8"/>
    <w:rsid w:val="00EE62B2"/>
    <w:rsid w:val="00EF5C6A"/>
    <w:rsid w:val="00F02AE3"/>
    <w:rsid w:val="00F057D7"/>
    <w:rsid w:val="00F079F5"/>
    <w:rsid w:val="00F07A61"/>
    <w:rsid w:val="00F119C0"/>
    <w:rsid w:val="00F12AC7"/>
    <w:rsid w:val="00F1583B"/>
    <w:rsid w:val="00F15939"/>
    <w:rsid w:val="00F1625C"/>
    <w:rsid w:val="00F20915"/>
    <w:rsid w:val="00F238F3"/>
    <w:rsid w:val="00F23AD5"/>
    <w:rsid w:val="00F24914"/>
    <w:rsid w:val="00F2637B"/>
    <w:rsid w:val="00F26991"/>
    <w:rsid w:val="00F26C2D"/>
    <w:rsid w:val="00F307F2"/>
    <w:rsid w:val="00F309F6"/>
    <w:rsid w:val="00F31CA3"/>
    <w:rsid w:val="00F32730"/>
    <w:rsid w:val="00F33928"/>
    <w:rsid w:val="00F36825"/>
    <w:rsid w:val="00F40943"/>
    <w:rsid w:val="00F47278"/>
    <w:rsid w:val="00F47C89"/>
    <w:rsid w:val="00F50A5F"/>
    <w:rsid w:val="00F50D3E"/>
    <w:rsid w:val="00F63C59"/>
    <w:rsid w:val="00F6562E"/>
    <w:rsid w:val="00F66F5A"/>
    <w:rsid w:val="00F72CAE"/>
    <w:rsid w:val="00F8062D"/>
    <w:rsid w:val="00F8329F"/>
    <w:rsid w:val="00F86442"/>
    <w:rsid w:val="00F91730"/>
    <w:rsid w:val="00F9475C"/>
    <w:rsid w:val="00F96452"/>
    <w:rsid w:val="00F9779A"/>
    <w:rsid w:val="00FA4FAF"/>
    <w:rsid w:val="00FB04FF"/>
    <w:rsid w:val="00FB1C42"/>
    <w:rsid w:val="00FB3CCA"/>
    <w:rsid w:val="00FB42AE"/>
    <w:rsid w:val="00FB6101"/>
    <w:rsid w:val="00FC154D"/>
    <w:rsid w:val="00FC431D"/>
    <w:rsid w:val="00FC5D9D"/>
    <w:rsid w:val="00FC6332"/>
    <w:rsid w:val="00FD032C"/>
    <w:rsid w:val="00FD166E"/>
    <w:rsid w:val="00FD4878"/>
    <w:rsid w:val="00FE062C"/>
    <w:rsid w:val="00FF51A8"/>
    <w:rsid w:val="00FF525D"/>
    <w:rsid w:val="00FF5A4E"/>
    <w:rsid w:val="00FF5F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30C973"/>
  <w15:chartTrackingRefBased/>
  <w15:docId w15:val="{DA049D1D-5FC3-4E52-9334-BA3F21F7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F72CA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A63C49"/>
    <w:pPr>
      <w:tabs>
        <w:tab w:val="center" w:pos="4536"/>
        <w:tab w:val="right" w:pos="9072"/>
      </w:tabs>
      <w:spacing w:after="0" w:line="240" w:lineRule="auto"/>
    </w:pPr>
  </w:style>
  <w:style w:type="character" w:customStyle="1" w:styleId="GlavaZnak">
    <w:name w:val="Glava Znak"/>
    <w:basedOn w:val="Privzetapisavaodstavka"/>
    <w:link w:val="Glava"/>
    <w:rsid w:val="00A63C49"/>
  </w:style>
  <w:style w:type="paragraph" w:styleId="Noga">
    <w:name w:val="footer"/>
    <w:basedOn w:val="Navaden"/>
    <w:link w:val="NogaZnak"/>
    <w:uiPriority w:val="99"/>
    <w:unhideWhenUsed/>
    <w:rsid w:val="00A63C49"/>
    <w:pPr>
      <w:tabs>
        <w:tab w:val="center" w:pos="4536"/>
        <w:tab w:val="right" w:pos="9072"/>
      </w:tabs>
      <w:spacing w:after="0" w:line="240" w:lineRule="auto"/>
    </w:pPr>
  </w:style>
  <w:style w:type="character" w:customStyle="1" w:styleId="NogaZnak">
    <w:name w:val="Noga Znak"/>
    <w:basedOn w:val="Privzetapisavaodstavka"/>
    <w:link w:val="Noga"/>
    <w:uiPriority w:val="99"/>
    <w:rsid w:val="00A63C49"/>
  </w:style>
  <w:style w:type="paragraph" w:styleId="Odstavekseznama">
    <w:name w:val="List Paragraph"/>
    <w:basedOn w:val="Navaden"/>
    <w:uiPriority w:val="99"/>
    <w:qFormat/>
    <w:rsid w:val="00593A25"/>
    <w:pPr>
      <w:ind w:left="720"/>
      <w:contextualSpacing/>
    </w:pPr>
  </w:style>
  <w:style w:type="paragraph" w:styleId="Besedilooblaka">
    <w:name w:val="Balloon Text"/>
    <w:basedOn w:val="Navaden"/>
    <w:link w:val="BesedilooblakaZnak"/>
    <w:uiPriority w:val="99"/>
    <w:semiHidden/>
    <w:unhideWhenUsed/>
    <w:rsid w:val="00A868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8682E"/>
    <w:rPr>
      <w:rFonts w:ascii="Segoe UI" w:hAnsi="Segoe UI" w:cs="Segoe UI"/>
      <w:sz w:val="18"/>
      <w:szCs w:val="18"/>
    </w:rPr>
  </w:style>
  <w:style w:type="paragraph" w:customStyle="1" w:styleId="Neotevilenodstavek">
    <w:name w:val="Neoštevilčen odstavek"/>
    <w:basedOn w:val="Navaden"/>
    <w:link w:val="NeotevilenodstavekZnak"/>
    <w:qFormat/>
    <w:rsid w:val="00B5402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54021"/>
    <w:rPr>
      <w:rFonts w:ascii="Arial" w:eastAsia="Times New Roman" w:hAnsi="Arial" w:cs="Arial"/>
      <w:lang w:eastAsia="sl-SI"/>
    </w:rPr>
  </w:style>
  <w:style w:type="character" w:customStyle="1" w:styleId="Other">
    <w:name w:val="Other_"/>
    <w:basedOn w:val="Privzetapisavaodstavka"/>
    <w:link w:val="Other0"/>
    <w:rsid w:val="009C6776"/>
    <w:rPr>
      <w:rFonts w:ascii="Arial" w:eastAsia="Arial" w:hAnsi="Arial" w:cs="Arial"/>
      <w:sz w:val="20"/>
      <w:szCs w:val="20"/>
      <w:shd w:val="clear" w:color="auto" w:fill="FFFFFF"/>
    </w:rPr>
  </w:style>
  <w:style w:type="paragraph" w:customStyle="1" w:styleId="Other0">
    <w:name w:val="Other"/>
    <w:basedOn w:val="Navaden"/>
    <w:link w:val="Other"/>
    <w:rsid w:val="009C6776"/>
    <w:pPr>
      <w:widowControl w:val="0"/>
      <w:shd w:val="clear" w:color="auto" w:fill="FFFFFF"/>
      <w:spacing w:after="0" w:line="240" w:lineRule="auto"/>
    </w:pPr>
    <w:rPr>
      <w:rFonts w:ascii="Arial" w:eastAsia="Arial" w:hAnsi="Arial" w:cs="Arial"/>
      <w:sz w:val="20"/>
      <w:szCs w:val="20"/>
    </w:rPr>
  </w:style>
  <w:style w:type="paragraph" w:customStyle="1" w:styleId="odstavek1">
    <w:name w:val="odstavek1"/>
    <w:basedOn w:val="Navaden"/>
    <w:rsid w:val="000155D6"/>
    <w:pPr>
      <w:spacing w:before="240" w:after="0" w:line="240" w:lineRule="auto"/>
      <w:ind w:firstLine="1021"/>
      <w:jc w:val="both"/>
    </w:pPr>
    <w:rPr>
      <w:rFonts w:ascii="Arial" w:eastAsia="Times New Roman" w:hAnsi="Arial" w:cs="Arial"/>
      <w:lang w:eastAsia="sl-SI"/>
    </w:rPr>
  </w:style>
  <w:style w:type="paragraph" w:customStyle="1" w:styleId="datumtevilka">
    <w:name w:val="datum številka"/>
    <w:basedOn w:val="Navaden"/>
    <w:qFormat/>
    <w:rsid w:val="00914051"/>
    <w:pPr>
      <w:tabs>
        <w:tab w:val="left" w:pos="1701"/>
      </w:tabs>
      <w:spacing w:after="0" w:line="260" w:lineRule="exact"/>
    </w:pPr>
    <w:rPr>
      <w:rFonts w:ascii="Arial" w:eastAsia="Times New Roman" w:hAnsi="Arial" w:cs="Times New Roman"/>
      <w:sz w:val="20"/>
      <w:szCs w:val="20"/>
      <w:lang w:eastAsia="sl-SI"/>
    </w:rPr>
  </w:style>
  <w:style w:type="paragraph" w:customStyle="1" w:styleId="podpisi">
    <w:name w:val="podpisi"/>
    <w:basedOn w:val="Navaden"/>
    <w:qFormat/>
    <w:rsid w:val="00914051"/>
    <w:pPr>
      <w:tabs>
        <w:tab w:val="left" w:pos="3402"/>
      </w:tabs>
      <w:spacing w:after="0" w:line="260" w:lineRule="exact"/>
    </w:pPr>
    <w:rPr>
      <w:rFonts w:ascii="Arial" w:eastAsia="Times New Roman" w:hAnsi="Arial" w:cs="Times New Roman"/>
      <w:sz w:val="20"/>
      <w:szCs w:val="24"/>
      <w:lang w:val="it-IT"/>
    </w:rPr>
  </w:style>
  <w:style w:type="character" w:styleId="Hiperpovezava">
    <w:name w:val="Hyperlink"/>
    <w:basedOn w:val="Privzetapisavaodstavka"/>
    <w:uiPriority w:val="99"/>
    <w:unhideWhenUsed/>
    <w:rsid w:val="000C3F09"/>
    <w:rPr>
      <w:color w:val="0000FF"/>
      <w:u w:val="single"/>
    </w:rPr>
  </w:style>
  <w:style w:type="table" w:styleId="Tabelamrea">
    <w:name w:val="Table Grid"/>
    <w:basedOn w:val="Navadnatabela"/>
    <w:uiPriority w:val="59"/>
    <w:rsid w:val="005D4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E031E4"/>
    <w:rPr>
      <w:sz w:val="16"/>
      <w:szCs w:val="16"/>
    </w:rPr>
  </w:style>
  <w:style w:type="paragraph" w:styleId="Pripombabesedilo">
    <w:name w:val="annotation text"/>
    <w:basedOn w:val="Navaden"/>
    <w:link w:val="PripombabesediloZnak"/>
    <w:uiPriority w:val="99"/>
    <w:semiHidden/>
    <w:unhideWhenUsed/>
    <w:rsid w:val="00E031E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031E4"/>
    <w:rPr>
      <w:sz w:val="20"/>
      <w:szCs w:val="20"/>
    </w:rPr>
  </w:style>
  <w:style w:type="paragraph" w:styleId="Zadevapripombe">
    <w:name w:val="annotation subject"/>
    <w:basedOn w:val="Pripombabesedilo"/>
    <w:next w:val="Pripombabesedilo"/>
    <w:link w:val="ZadevapripombeZnak"/>
    <w:uiPriority w:val="99"/>
    <w:semiHidden/>
    <w:unhideWhenUsed/>
    <w:rsid w:val="00E031E4"/>
    <w:rPr>
      <w:b/>
      <w:bCs/>
    </w:rPr>
  </w:style>
  <w:style w:type="character" w:customStyle="1" w:styleId="ZadevapripombeZnak">
    <w:name w:val="Zadeva pripombe Znak"/>
    <w:basedOn w:val="PripombabesediloZnak"/>
    <w:link w:val="Zadevapripombe"/>
    <w:uiPriority w:val="99"/>
    <w:semiHidden/>
    <w:rsid w:val="00E031E4"/>
    <w:rPr>
      <w:b/>
      <w:bCs/>
      <w:sz w:val="20"/>
      <w:szCs w:val="20"/>
    </w:rPr>
  </w:style>
  <w:style w:type="paragraph" w:styleId="Sprotnaopomba-besedilo">
    <w:name w:val="footnote text"/>
    <w:basedOn w:val="Navaden"/>
    <w:link w:val="Sprotnaopomba-besediloZnak"/>
    <w:uiPriority w:val="99"/>
    <w:semiHidden/>
    <w:unhideWhenUsed/>
    <w:rsid w:val="00E031E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031E4"/>
    <w:rPr>
      <w:sz w:val="20"/>
      <w:szCs w:val="20"/>
    </w:rPr>
  </w:style>
  <w:style w:type="character" w:styleId="Sprotnaopomba-sklic">
    <w:name w:val="footnote reference"/>
    <w:basedOn w:val="Privzetapisavaodstavka"/>
    <w:uiPriority w:val="99"/>
    <w:semiHidden/>
    <w:unhideWhenUsed/>
    <w:rsid w:val="00E031E4"/>
    <w:rPr>
      <w:vertAlign w:val="superscript"/>
    </w:rPr>
  </w:style>
  <w:style w:type="character" w:styleId="Nerazreenaomemba">
    <w:name w:val="Unresolved Mention"/>
    <w:basedOn w:val="Privzetapisavaodstavka"/>
    <w:uiPriority w:val="99"/>
    <w:semiHidden/>
    <w:unhideWhenUsed/>
    <w:rsid w:val="00A80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6049">
      <w:bodyDiv w:val="1"/>
      <w:marLeft w:val="0"/>
      <w:marRight w:val="0"/>
      <w:marTop w:val="0"/>
      <w:marBottom w:val="0"/>
      <w:divBdr>
        <w:top w:val="none" w:sz="0" w:space="0" w:color="auto"/>
        <w:left w:val="none" w:sz="0" w:space="0" w:color="auto"/>
        <w:bottom w:val="none" w:sz="0" w:space="0" w:color="auto"/>
        <w:right w:val="none" w:sz="0" w:space="0" w:color="auto"/>
      </w:divBdr>
      <w:divsChild>
        <w:div w:id="1623536550">
          <w:marLeft w:val="0"/>
          <w:marRight w:val="0"/>
          <w:marTop w:val="0"/>
          <w:marBottom w:val="0"/>
          <w:divBdr>
            <w:top w:val="none" w:sz="0" w:space="0" w:color="auto"/>
            <w:left w:val="none" w:sz="0" w:space="0" w:color="auto"/>
            <w:bottom w:val="none" w:sz="0" w:space="0" w:color="auto"/>
            <w:right w:val="none" w:sz="0" w:space="0" w:color="auto"/>
          </w:divBdr>
          <w:divsChild>
            <w:div w:id="1410081577">
              <w:marLeft w:val="0"/>
              <w:marRight w:val="0"/>
              <w:marTop w:val="100"/>
              <w:marBottom w:val="100"/>
              <w:divBdr>
                <w:top w:val="none" w:sz="0" w:space="0" w:color="auto"/>
                <w:left w:val="none" w:sz="0" w:space="0" w:color="auto"/>
                <w:bottom w:val="none" w:sz="0" w:space="0" w:color="auto"/>
                <w:right w:val="none" w:sz="0" w:space="0" w:color="auto"/>
              </w:divBdr>
              <w:divsChild>
                <w:div w:id="1602642573">
                  <w:marLeft w:val="0"/>
                  <w:marRight w:val="0"/>
                  <w:marTop w:val="0"/>
                  <w:marBottom w:val="0"/>
                  <w:divBdr>
                    <w:top w:val="none" w:sz="0" w:space="0" w:color="auto"/>
                    <w:left w:val="none" w:sz="0" w:space="0" w:color="auto"/>
                    <w:bottom w:val="none" w:sz="0" w:space="0" w:color="auto"/>
                    <w:right w:val="none" w:sz="0" w:space="0" w:color="auto"/>
                  </w:divBdr>
                  <w:divsChild>
                    <w:div w:id="1813907409">
                      <w:marLeft w:val="0"/>
                      <w:marRight w:val="0"/>
                      <w:marTop w:val="0"/>
                      <w:marBottom w:val="0"/>
                      <w:divBdr>
                        <w:top w:val="none" w:sz="0" w:space="0" w:color="auto"/>
                        <w:left w:val="none" w:sz="0" w:space="0" w:color="auto"/>
                        <w:bottom w:val="none" w:sz="0" w:space="0" w:color="auto"/>
                        <w:right w:val="none" w:sz="0" w:space="0" w:color="auto"/>
                      </w:divBdr>
                      <w:divsChild>
                        <w:div w:id="535167806">
                          <w:marLeft w:val="0"/>
                          <w:marRight w:val="0"/>
                          <w:marTop w:val="0"/>
                          <w:marBottom w:val="0"/>
                          <w:divBdr>
                            <w:top w:val="none" w:sz="0" w:space="0" w:color="auto"/>
                            <w:left w:val="none" w:sz="0" w:space="0" w:color="auto"/>
                            <w:bottom w:val="none" w:sz="0" w:space="0" w:color="auto"/>
                            <w:right w:val="none" w:sz="0" w:space="0" w:color="auto"/>
                          </w:divBdr>
                          <w:divsChild>
                            <w:div w:id="1528909440">
                              <w:marLeft w:val="0"/>
                              <w:marRight w:val="0"/>
                              <w:marTop w:val="0"/>
                              <w:marBottom w:val="0"/>
                              <w:divBdr>
                                <w:top w:val="none" w:sz="0" w:space="0" w:color="auto"/>
                                <w:left w:val="none" w:sz="0" w:space="0" w:color="auto"/>
                                <w:bottom w:val="none" w:sz="0" w:space="0" w:color="auto"/>
                                <w:right w:val="none" w:sz="0" w:space="0" w:color="auto"/>
                              </w:divBdr>
                              <w:divsChild>
                                <w:div w:id="944001038">
                                  <w:marLeft w:val="0"/>
                                  <w:marRight w:val="0"/>
                                  <w:marTop w:val="0"/>
                                  <w:marBottom w:val="0"/>
                                  <w:divBdr>
                                    <w:top w:val="none" w:sz="0" w:space="0" w:color="auto"/>
                                    <w:left w:val="none" w:sz="0" w:space="0" w:color="auto"/>
                                    <w:bottom w:val="none" w:sz="0" w:space="0" w:color="auto"/>
                                    <w:right w:val="none" w:sz="0" w:space="0" w:color="auto"/>
                                  </w:divBdr>
                                  <w:divsChild>
                                    <w:div w:id="1480150880">
                                      <w:marLeft w:val="0"/>
                                      <w:marRight w:val="0"/>
                                      <w:marTop w:val="0"/>
                                      <w:marBottom w:val="0"/>
                                      <w:divBdr>
                                        <w:top w:val="none" w:sz="0" w:space="0" w:color="auto"/>
                                        <w:left w:val="none" w:sz="0" w:space="0" w:color="auto"/>
                                        <w:bottom w:val="none" w:sz="0" w:space="0" w:color="auto"/>
                                        <w:right w:val="none" w:sz="0" w:space="0" w:color="auto"/>
                                      </w:divBdr>
                                      <w:divsChild>
                                        <w:div w:id="4175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5158">
      <w:bodyDiv w:val="1"/>
      <w:marLeft w:val="0"/>
      <w:marRight w:val="0"/>
      <w:marTop w:val="0"/>
      <w:marBottom w:val="0"/>
      <w:divBdr>
        <w:top w:val="none" w:sz="0" w:space="0" w:color="auto"/>
        <w:left w:val="none" w:sz="0" w:space="0" w:color="auto"/>
        <w:bottom w:val="none" w:sz="0" w:space="0" w:color="auto"/>
        <w:right w:val="none" w:sz="0" w:space="0" w:color="auto"/>
      </w:divBdr>
    </w:div>
    <w:div w:id="189030321">
      <w:bodyDiv w:val="1"/>
      <w:marLeft w:val="0"/>
      <w:marRight w:val="0"/>
      <w:marTop w:val="0"/>
      <w:marBottom w:val="0"/>
      <w:divBdr>
        <w:top w:val="none" w:sz="0" w:space="0" w:color="auto"/>
        <w:left w:val="none" w:sz="0" w:space="0" w:color="auto"/>
        <w:bottom w:val="none" w:sz="0" w:space="0" w:color="auto"/>
        <w:right w:val="none" w:sz="0" w:space="0" w:color="auto"/>
      </w:divBdr>
    </w:div>
    <w:div w:id="295064717">
      <w:bodyDiv w:val="1"/>
      <w:marLeft w:val="0"/>
      <w:marRight w:val="0"/>
      <w:marTop w:val="0"/>
      <w:marBottom w:val="0"/>
      <w:divBdr>
        <w:top w:val="none" w:sz="0" w:space="0" w:color="auto"/>
        <w:left w:val="none" w:sz="0" w:space="0" w:color="auto"/>
        <w:bottom w:val="none" w:sz="0" w:space="0" w:color="auto"/>
        <w:right w:val="none" w:sz="0" w:space="0" w:color="auto"/>
      </w:divBdr>
    </w:div>
    <w:div w:id="329916079">
      <w:bodyDiv w:val="1"/>
      <w:marLeft w:val="0"/>
      <w:marRight w:val="0"/>
      <w:marTop w:val="0"/>
      <w:marBottom w:val="0"/>
      <w:divBdr>
        <w:top w:val="none" w:sz="0" w:space="0" w:color="auto"/>
        <w:left w:val="none" w:sz="0" w:space="0" w:color="auto"/>
        <w:bottom w:val="none" w:sz="0" w:space="0" w:color="auto"/>
        <w:right w:val="none" w:sz="0" w:space="0" w:color="auto"/>
      </w:divBdr>
    </w:div>
    <w:div w:id="349264478">
      <w:bodyDiv w:val="1"/>
      <w:marLeft w:val="0"/>
      <w:marRight w:val="0"/>
      <w:marTop w:val="0"/>
      <w:marBottom w:val="0"/>
      <w:divBdr>
        <w:top w:val="none" w:sz="0" w:space="0" w:color="auto"/>
        <w:left w:val="none" w:sz="0" w:space="0" w:color="auto"/>
        <w:bottom w:val="none" w:sz="0" w:space="0" w:color="auto"/>
        <w:right w:val="none" w:sz="0" w:space="0" w:color="auto"/>
      </w:divBdr>
    </w:div>
    <w:div w:id="360668791">
      <w:bodyDiv w:val="1"/>
      <w:marLeft w:val="0"/>
      <w:marRight w:val="0"/>
      <w:marTop w:val="0"/>
      <w:marBottom w:val="0"/>
      <w:divBdr>
        <w:top w:val="none" w:sz="0" w:space="0" w:color="auto"/>
        <w:left w:val="none" w:sz="0" w:space="0" w:color="auto"/>
        <w:bottom w:val="none" w:sz="0" w:space="0" w:color="auto"/>
        <w:right w:val="none" w:sz="0" w:space="0" w:color="auto"/>
      </w:divBdr>
    </w:div>
    <w:div w:id="361396429">
      <w:bodyDiv w:val="1"/>
      <w:marLeft w:val="0"/>
      <w:marRight w:val="0"/>
      <w:marTop w:val="0"/>
      <w:marBottom w:val="0"/>
      <w:divBdr>
        <w:top w:val="none" w:sz="0" w:space="0" w:color="auto"/>
        <w:left w:val="none" w:sz="0" w:space="0" w:color="auto"/>
        <w:bottom w:val="none" w:sz="0" w:space="0" w:color="auto"/>
        <w:right w:val="none" w:sz="0" w:space="0" w:color="auto"/>
      </w:divBdr>
    </w:div>
    <w:div w:id="365981693">
      <w:bodyDiv w:val="1"/>
      <w:marLeft w:val="0"/>
      <w:marRight w:val="0"/>
      <w:marTop w:val="0"/>
      <w:marBottom w:val="0"/>
      <w:divBdr>
        <w:top w:val="none" w:sz="0" w:space="0" w:color="auto"/>
        <w:left w:val="none" w:sz="0" w:space="0" w:color="auto"/>
        <w:bottom w:val="none" w:sz="0" w:space="0" w:color="auto"/>
        <w:right w:val="none" w:sz="0" w:space="0" w:color="auto"/>
      </w:divBdr>
    </w:div>
    <w:div w:id="418454517">
      <w:bodyDiv w:val="1"/>
      <w:marLeft w:val="0"/>
      <w:marRight w:val="0"/>
      <w:marTop w:val="0"/>
      <w:marBottom w:val="0"/>
      <w:divBdr>
        <w:top w:val="none" w:sz="0" w:space="0" w:color="auto"/>
        <w:left w:val="none" w:sz="0" w:space="0" w:color="auto"/>
        <w:bottom w:val="none" w:sz="0" w:space="0" w:color="auto"/>
        <w:right w:val="none" w:sz="0" w:space="0" w:color="auto"/>
      </w:divBdr>
    </w:div>
    <w:div w:id="426002348">
      <w:bodyDiv w:val="1"/>
      <w:marLeft w:val="0"/>
      <w:marRight w:val="0"/>
      <w:marTop w:val="0"/>
      <w:marBottom w:val="0"/>
      <w:divBdr>
        <w:top w:val="none" w:sz="0" w:space="0" w:color="auto"/>
        <w:left w:val="none" w:sz="0" w:space="0" w:color="auto"/>
        <w:bottom w:val="none" w:sz="0" w:space="0" w:color="auto"/>
        <w:right w:val="none" w:sz="0" w:space="0" w:color="auto"/>
      </w:divBdr>
    </w:div>
    <w:div w:id="444353386">
      <w:bodyDiv w:val="1"/>
      <w:marLeft w:val="0"/>
      <w:marRight w:val="0"/>
      <w:marTop w:val="0"/>
      <w:marBottom w:val="0"/>
      <w:divBdr>
        <w:top w:val="none" w:sz="0" w:space="0" w:color="auto"/>
        <w:left w:val="none" w:sz="0" w:space="0" w:color="auto"/>
        <w:bottom w:val="none" w:sz="0" w:space="0" w:color="auto"/>
        <w:right w:val="none" w:sz="0" w:space="0" w:color="auto"/>
      </w:divBdr>
    </w:div>
    <w:div w:id="454131623">
      <w:bodyDiv w:val="1"/>
      <w:marLeft w:val="0"/>
      <w:marRight w:val="0"/>
      <w:marTop w:val="0"/>
      <w:marBottom w:val="0"/>
      <w:divBdr>
        <w:top w:val="none" w:sz="0" w:space="0" w:color="auto"/>
        <w:left w:val="none" w:sz="0" w:space="0" w:color="auto"/>
        <w:bottom w:val="none" w:sz="0" w:space="0" w:color="auto"/>
        <w:right w:val="none" w:sz="0" w:space="0" w:color="auto"/>
      </w:divBdr>
    </w:div>
    <w:div w:id="505094907">
      <w:bodyDiv w:val="1"/>
      <w:marLeft w:val="0"/>
      <w:marRight w:val="0"/>
      <w:marTop w:val="0"/>
      <w:marBottom w:val="0"/>
      <w:divBdr>
        <w:top w:val="none" w:sz="0" w:space="0" w:color="auto"/>
        <w:left w:val="none" w:sz="0" w:space="0" w:color="auto"/>
        <w:bottom w:val="none" w:sz="0" w:space="0" w:color="auto"/>
        <w:right w:val="none" w:sz="0" w:space="0" w:color="auto"/>
      </w:divBdr>
    </w:div>
    <w:div w:id="508451792">
      <w:bodyDiv w:val="1"/>
      <w:marLeft w:val="0"/>
      <w:marRight w:val="0"/>
      <w:marTop w:val="0"/>
      <w:marBottom w:val="0"/>
      <w:divBdr>
        <w:top w:val="none" w:sz="0" w:space="0" w:color="auto"/>
        <w:left w:val="none" w:sz="0" w:space="0" w:color="auto"/>
        <w:bottom w:val="none" w:sz="0" w:space="0" w:color="auto"/>
        <w:right w:val="none" w:sz="0" w:space="0" w:color="auto"/>
      </w:divBdr>
    </w:div>
    <w:div w:id="513233103">
      <w:bodyDiv w:val="1"/>
      <w:marLeft w:val="0"/>
      <w:marRight w:val="0"/>
      <w:marTop w:val="0"/>
      <w:marBottom w:val="0"/>
      <w:divBdr>
        <w:top w:val="none" w:sz="0" w:space="0" w:color="auto"/>
        <w:left w:val="none" w:sz="0" w:space="0" w:color="auto"/>
        <w:bottom w:val="none" w:sz="0" w:space="0" w:color="auto"/>
        <w:right w:val="none" w:sz="0" w:space="0" w:color="auto"/>
      </w:divBdr>
    </w:div>
    <w:div w:id="526986391">
      <w:bodyDiv w:val="1"/>
      <w:marLeft w:val="0"/>
      <w:marRight w:val="0"/>
      <w:marTop w:val="0"/>
      <w:marBottom w:val="0"/>
      <w:divBdr>
        <w:top w:val="none" w:sz="0" w:space="0" w:color="auto"/>
        <w:left w:val="none" w:sz="0" w:space="0" w:color="auto"/>
        <w:bottom w:val="none" w:sz="0" w:space="0" w:color="auto"/>
        <w:right w:val="none" w:sz="0" w:space="0" w:color="auto"/>
      </w:divBdr>
    </w:div>
    <w:div w:id="570510080">
      <w:bodyDiv w:val="1"/>
      <w:marLeft w:val="0"/>
      <w:marRight w:val="0"/>
      <w:marTop w:val="0"/>
      <w:marBottom w:val="0"/>
      <w:divBdr>
        <w:top w:val="none" w:sz="0" w:space="0" w:color="auto"/>
        <w:left w:val="none" w:sz="0" w:space="0" w:color="auto"/>
        <w:bottom w:val="none" w:sz="0" w:space="0" w:color="auto"/>
        <w:right w:val="none" w:sz="0" w:space="0" w:color="auto"/>
      </w:divBdr>
    </w:div>
    <w:div w:id="640034380">
      <w:bodyDiv w:val="1"/>
      <w:marLeft w:val="0"/>
      <w:marRight w:val="0"/>
      <w:marTop w:val="0"/>
      <w:marBottom w:val="0"/>
      <w:divBdr>
        <w:top w:val="none" w:sz="0" w:space="0" w:color="auto"/>
        <w:left w:val="none" w:sz="0" w:space="0" w:color="auto"/>
        <w:bottom w:val="none" w:sz="0" w:space="0" w:color="auto"/>
        <w:right w:val="none" w:sz="0" w:space="0" w:color="auto"/>
      </w:divBdr>
    </w:div>
    <w:div w:id="664090389">
      <w:bodyDiv w:val="1"/>
      <w:marLeft w:val="0"/>
      <w:marRight w:val="0"/>
      <w:marTop w:val="0"/>
      <w:marBottom w:val="0"/>
      <w:divBdr>
        <w:top w:val="none" w:sz="0" w:space="0" w:color="auto"/>
        <w:left w:val="none" w:sz="0" w:space="0" w:color="auto"/>
        <w:bottom w:val="none" w:sz="0" w:space="0" w:color="auto"/>
        <w:right w:val="none" w:sz="0" w:space="0" w:color="auto"/>
      </w:divBdr>
    </w:div>
    <w:div w:id="739523409">
      <w:bodyDiv w:val="1"/>
      <w:marLeft w:val="0"/>
      <w:marRight w:val="0"/>
      <w:marTop w:val="0"/>
      <w:marBottom w:val="0"/>
      <w:divBdr>
        <w:top w:val="none" w:sz="0" w:space="0" w:color="auto"/>
        <w:left w:val="none" w:sz="0" w:space="0" w:color="auto"/>
        <w:bottom w:val="none" w:sz="0" w:space="0" w:color="auto"/>
        <w:right w:val="none" w:sz="0" w:space="0" w:color="auto"/>
      </w:divBdr>
    </w:div>
    <w:div w:id="743647069">
      <w:bodyDiv w:val="1"/>
      <w:marLeft w:val="0"/>
      <w:marRight w:val="0"/>
      <w:marTop w:val="0"/>
      <w:marBottom w:val="0"/>
      <w:divBdr>
        <w:top w:val="none" w:sz="0" w:space="0" w:color="auto"/>
        <w:left w:val="none" w:sz="0" w:space="0" w:color="auto"/>
        <w:bottom w:val="none" w:sz="0" w:space="0" w:color="auto"/>
        <w:right w:val="none" w:sz="0" w:space="0" w:color="auto"/>
      </w:divBdr>
    </w:div>
    <w:div w:id="767047517">
      <w:bodyDiv w:val="1"/>
      <w:marLeft w:val="0"/>
      <w:marRight w:val="0"/>
      <w:marTop w:val="0"/>
      <w:marBottom w:val="0"/>
      <w:divBdr>
        <w:top w:val="none" w:sz="0" w:space="0" w:color="auto"/>
        <w:left w:val="none" w:sz="0" w:space="0" w:color="auto"/>
        <w:bottom w:val="none" w:sz="0" w:space="0" w:color="auto"/>
        <w:right w:val="none" w:sz="0" w:space="0" w:color="auto"/>
      </w:divBdr>
    </w:div>
    <w:div w:id="871578663">
      <w:bodyDiv w:val="1"/>
      <w:marLeft w:val="0"/>
      <w:marRight w:val="0"/>
      <w:marTop w:val="0"/>
      <w:marBottom w:val="0"/>
      <w:divBdr>
        <w:top w:val="none" w:sz="0" w:space="0" w:color="auto"/>
        <w:left w:val="none" w:sz="0" w:space="0" w:color="auto"/>
        <w:bottom w:val="none" w:sz="0" w:space="0" w:color="auto"/>
        <w:right w:val="none" w:sz="0" w:space="0" w:color="auto"/>
      </w:divBdr>
    </w:div>
    <w:div w:id="903684704">
      <w:bodyDiv w:val="1"/>
      <w:marLeft w:val="0"/>
      <w:marRight w:val="0"/>
      <w:marTop w:val="0"/>
      <w:marBottom w:val="0"/>
      <w:divBdr>
        <w:top w:val="none" w:sz="0" w:space="0" w:color="auto"/>
        <w:left w:val="none" w:sz="0" w:space="0" w:color="auto"/>
        <w:bottom w:val="none" w:sz="0" w:space="0" w:color="auto"/>
        <w:right w:val="none" w:sz="0" w:space="0" w:color="auto"/>
      </w:divBdr>
    </w:div>
    <w:div w:id="923222530">
      <w:bodyDiv w:val="1"/>
      <w:marLeft w:val="0"/>
      <w:marRight w:val="0"/>
      <w:marTop w:val="0"/>
      <w:marBottom w:val="0"/>
      <w:divBdr>
        <w:top w:val="none" w:sz="0" w:space="0" w:color="auto"/>
        <w:left w:val="none" w:sz="0" w:space="0" w:color="auto"/>
        <w:bottom w:val="none" w:sz="0" w:space="0" w:color="auto"/>
        <w:right w:val="none" w:sz="0" w:space="0" w:color="auto"/>
      </w:divBdr>
    </w:div>
    <w:div w:id="973758089">
      <w:bodyDiv w:val="1"/>
      <w:marLeft w:val="0"/>
      <w:marRight w:val="0"/>
      <w:marTop w:val="0"/>
      <w:marBottom w:val="0"/>
      <w:divBdr>
        <w:top w:val="none" w:sz="0" w:space="0" w:color="auto"/>
        <w:left w:val="none" w:sz="0" w:space="0" w:color="auto"/>
        <w:bottom w:val="none" w:sz="0" w:space="0" w:color="auto"/>
        <w:right w:val="none" w:sz="0" w:space="0" w:color="auto"/>
      </w:divBdr>
    </w:div>
    <w:div w:id="997685320">
      <w:bodyDiv w:val="1"/>
      <w:marLeft w:val="0"/>
      <w:marRight w:val="0"/>
      <w:marTop w:val="0"/>
      <w:marBottom w:val="0"/>
      <w:divBdr>
        <w:top w:val="none" w:sz="0" w:space="0" w:color="auto"/>
        <w:left w:val="none" w:sz="0" w:space="0" w:color="auto"/>
        <w:bottom w:val="none" w:sz="0" w:space="0" w:color="auto"/>
        <w:right w:val="none" w:sz="0" w:space="0" w:color="auto"/>
      </w:divBdr>
    </w:div>
    <w:div w:id="1088043130">
      <w:bodyDiv w:val="1"/>
      <w:marLeft w:val="0"/>
      <w:marRight w:val="0"/>
      <w:marTop w:val="0"/>
      <w:marBottom w:val="0"/>
      <w:divBdr>
        <w:top w:val="none" w:sz="0" w:space="0" w:color="auto"/>
        <w:left w:val="none" w:sz="0" w:space="0" w:color="auto"/>
        <w:bottom w:val="none" w:sz="0" w:space="0" w:color="auto"/>
        <w:right w:val="none" w:sz="0" w:space="0" w:color="auto"/>
      </w:divBdr>
    </w:div>
    <w:div w:id="1098334599">
      <w:bodyDiv w:val="1"/>
      <w:marLeft w:val="0"/>
      <w:marRight w:val="0"/>
      <w:marTop w:val="0"/>
      <w:marBottom w:val="0"/>
      <w:divBdr>
        <w:top w:val="none" w:sz="0" w:space="0" w:color="auto"/>
        <w:left w:val="none" w:sz="0" w:space="0" w:color="auto"/>
        <w:bottom w:val="none" w:sz="0" w:space="0" w:color="auto"/>
        <w:right w:val="none" w:sz="0" w:space="0" w:color="auto"/>
      </w:divBdr>
    </w:div>
    <w:div w:id="1123381421">
      <w:bodyDiv w:val="1"/>
      <w:marLeft w:val="0"/>
      <w:marRight w:val="0"/>
      <w:marTop w:val="0"/>
      <w:marBottom w:val="0"/>
      <w:divBdr>
        <w:top w:val="none" w:sz="0" w:space="0" w:color="auto"/>
        <w:left w:val="none" w:sz="0" w:space="0" w:color="auto"/>
        <w:bottom w:val="none" w:sz="0" w:space="0" w:color="auto"/>
        <w:right w:val="none" w:sz="0" w:space="0" w:color="auto"/>
      </w:divBdr>
    </w:div>
    <w:div w:id="1136488010">
      <w:bodyDiv w:val="1"/>
      <w:marLeft w:val="0"/>
      <w:marRight w:val="0"/>
      <w:marTop w:val="0"/>
      <w:marBottom w:val="0"/>
      <w:divBdr>
        <w:top w:val="none" w:sz="0" w:space="0" w:color="auto"/>
        <w:left w:val="none" w:sz="0" w:space="0" w:color="auto"/>
        <w:bottom w:val="none" w:sz="0" w:space="0" w:color="auto"/>
        <w:right w:val="none" w:sz="0" w:space="0" w:color="auto"/>
      </w:divBdr>
    </w:div>
    <w:div w:id="1151675115">
      <w:bodyDiv w:val="1"/>
      <w:marLeft w:val="0"/>
      <w:marRight w:val="0"/>
      <w:marTop w:val="0"/>
      <w:marBottom w:val="0"/>
      <w:divBdr>
        <w:top w:val="none" w:sz="0" w:space="0" w:color="auto"/>
        <w:left w:val="none" w:sz="0" w:space="0" w:color="auto"/>
        <w:bottom w:val="none" w:sz="0" w:space="0" w:color="auto"/>
        <w:right w:val="none" w:sz="0" w:space="0" w:color="auto"/>
      </w:divBdr>
    </w:div>
    <w:div w:id="1159536622">
      <w:bodyDiv w:val="1"/>
      <w:marLeft w:val="0"/>
      <w:marRight w:val="0"/>
      <w:marTop w:val="0"/>
      <w:marBottom w:val="0"/>
      <w:divBdr>
        <w:top w:val="none" w:sz="0" w:space="0" w:color="auto"/>
        <w:left w:val="none" w:sz="0" w:space="0" w:color="auto"/>
        <w:bottom w:val="none" w:sz="0" w:space="0" w:color="auto"/>
        <w:right w:val="none" w:sz="0" w:space="0" w:color="auto"/>
      </w:divBdr>
    </w:div>
    <w:div w:id="1160120895">
      <w:bodyDiv w:val="1"/>
      <w:marLeft w:val="0"/>
      <w:marRight w:val="0"/>
      <w:marTop w:val="0"/>
      <w:marBottom w:val="0"/>
      <w:divBdr>
        <w:top w:val="none" w:sz="0" w:space="0" w:color="auto"/>
        <w:left w:val="none" w:sz="0" w:space="0" w:color="auto"/>
        <w:bottom w:val="none" w:sz="0" w:space="0" w:color="auto"/>
        <w:right w:val="none" w:sz="0" w:space="0" w:color="auto"/>
      </w:divBdr>
    </w:div>
    <w:div w:id="1168717155">
      <w:bodyDiv w:val="1"/>
      <w:marLeft w:val="0"/>
      <w:marRight w:val="0"/>
      <w:marTop w:val="0"/>
      <w:marBottom w:val="0"/>
      <w:divBdr>
        <w:top w:val="none" w:sz="0" w:space="0" w:color="auto"/>
        <w:left w:val="none" w:sz="0" w:space="0" w:color="auto"/>
        <w:bottom w:val="none" w:sz="0" w:space="0" w:color="auto"/>
        <w:right w:val="none" w:sz="0" w:space="0" w:color="auto"/>
      </w:divBdr>
    </w:div>
    <w:div w:id="1177884414">
      <w:bodyDiv w:val="1"/>
      <w:marLeft w:val="0"/>
      <w:marRight w:val="0"/>
      <w:marTop w:val="0"/>
      <w:marBottom w:val="0"/>
      <w:divBdr>
        <w:top w:val="none" w:sz="0" w:space="0" w:color="auto"/>
        <w:left w:val="none" w:sz="0" w:space="0" w:color="auto"/>
        <w:bottom w:val="none" w:sz="0" w:space="0" w:color="auto"/>
        <w:right w:val="none" w:sz="0" w:space="0" w:color="auto"/>
      </w:divBdr>
    </w:div>
    <w:div w:id="1182668810">
      <w:bodyDiv w:val="1"/>
      <w:marLeft w:val="0"/>
      <w:marRight w:val="0"/>
      <w:marTop w:val="0"/>
      <w:marBottom w:val="0"/>
      <w:divBdr>
        <w:top w:val="none" w:sz="0" w:space="0" w:color="auto"/>
        <w:left w:val="none" w:sz="0" w:space="0" w:color="auto"/>
        <w:bottom w:val="none" w:sz="0" w:space="0" w:color="auto"/>
        <w:right w:val="none" w:sz="0" w:space="0" w:color="auto"/>
      </w:divBdr>
    </w:div>
    <w:div w:id="1229727259">
      <w:bodyDiv w:val="1"/>
      <w:marLeft w:val="0"/>
      <w:marRight w:val="0"/>
      <w:marTop w:val="0"/>
      <w:marBottom w:val="0"/>
      <w:divBdr>
        <w:top w:val="none" w:sz="0" w:space="0" w:color="auto"/>
        <w:left w:val="none" w:sz="0" w:space="0" w:color="auto"/>
        <w:bottom w:val="none" w:sz="0" w:space="0" w:color="auto"/>
        <w:right w:val="none" w:sz="0" w:space="0" w:color="auto"/>
      </w:divBdr>
    </w:div>
    <w:div w:id="1259674499">
      <w:bodyDiv w:val="1"/>
      <w:marLeft w:val="0"/>
      <w:marRight w:val="0"/>
      <w:marTop w:val="0"/>
      <w:marBottom w:val="0"/>
      <w:divBdr>
        <w:top w:val="none" w:sz="0" w:space="0" w:color="auto"/>
        <w:left w:val="none" w:sz="0" w:space="0" w:color="auto"/>
        <w:bottom w:val="none" w:sz="0" w:space="0" w:color="auto"/>
        <w:right w:val="none" w:sz="0" w:space="0" w:color="auto"/>
      </w:divBdr>
    </w:div>
    <w:div w:id="1266036074">
      <w:bodyDiv w:val="1"/>
      <w:marLeft w:val="0"/>
      <w:marRight w:val="0"/>
      <w:marTop w:val="0"/>
      <w:marBottom w:val="0"/>
      <w:divBdr>
        <w:top w:val="none" w:sz="0" w:space="0" w:color="auto"/>
        <w:left w:val="none" w:sz="0" w:space="0" w:color="auto"/>
        <w:bottom w:val="none" w:sz="0" w:space="0" w:color="auto"/>
        <w:right w:val="none" w:sz="0" w:space="0" w:color="auto"/>
      </w:divBdr>
    </w:div>
    <w:div w:id="1301837197">
      <w:bodyDiv w:val="1"/>
      <w:marLeft w:val="0"/>
      <w:marRight w:val="0"/>
      <w:marTop w:val="0"/>
      <w:marBottom w:val="0"/>
      <w:divBdr>
        <w:top w:val="none" w:sz="0" w:space="0" w:color="auto"/>
        <w:left w:val="none" w:sz="0" w:space="0" w:color="auto"/>
        <w:bottom w:val="none" w:sz="0" w:space="0" w:color="auto"/>
        <w:right w:val="none" w:sz="0" w:space="0" w:color="auto"/>
      </w:divBdr>
    </w:div>
    <w:div w:id="1302080411">
      <w:bodyDiv w:val="1"/>
      <w:marLeft w:val="0"/>
      <w:marRight w:val="0"/>
      <w:marTop w:val="0"/>
      <w:marBottom w:val="0"/>
      <w:divBdr>
        <w:top w:val="none" w:sz="0" w:space="0" w:color="auto"/>
        <w:left w:val="none" w:sz="0" w:space="0" w:color="auto"/>
        <w:bottom w:val="none" w:sz="0" w:space="0" w:color="auto"/>
        <w:right w:val="none" w:sz="0" w:space="0" w:color="auto"/>
      </w:divBdr>
    </w:div>
    <w:div w:id="1354068310">
      <w:bodyDiv w:val="1"/>
      <w:marLeft w:val="0"/>
      <w:marRight w:val="0"/>
      <w:marTop w:val="0"/>
      <w:marBottom w:val="0"/>
      <w:divBdr>
        <w:top w:val="none" w:sz="0" w:space="0" w:color="auto"/>
        <w:left w:val="none" w:sz="0" w:space="0" w:color="auto"/>
        <w:bottom w:val="none" w:sz="0" w:space="0" w:color="auto"/>
        <w:right w:val="none" w:sz="0" w:space="0" w:color="auto"/>
      </w:divBdr>
    </w:div>
    <w:div w:id="1360862778">
      <w:bodyDiv w:val="1"/>
      <w:marLeft w:val="0"/>
      <w:marRight w:val="0"/>
      <w:marTop w:val="0"/>
      <w:marBottom w:val="0"/>
      <w:divBdr>
        <w:top w:val="none" w:sz="0" w:space="0" w:color="auto"/>
        <w:left w:val="none" w:sz="0" w:space="0" w:color="auto"/>
        <w:bottom w:val="none" w:sz="0" w:space="0" w:color="auto"/>
        <w:right w:val="none" w:sz="0" w:space="0" w:color="auto"/>
      </w:divBdr>
    </w:div>
    <w:div w:id="1382481941">
      <w:bodyDiv w:val="1"/>
      <w:marLeft w:val="0"/>
      <w:marRight w:val="0"/>
      <w:marTop w:val="0"/>
      <w:marBottom w:val="0"/>
      <w:divBdr>
        <w:top w:val="none" w:sz="0" w:space="0" w:color="auto"/>
        <w:left w:val="none" w:sz="0" w:space="0" w:color="auto"/>
        <w:bottom w:val="none" w:sz="0" w:space="0" w:color="auto"/>
        <w:right w:val="none" w:sz="0" w:space="0" w:color="auto"/>
      </w:divBdr>
    </w:div>
    <w:div w:id="1417480273">
      <w:bodyDiv w:val="1"/>
      <w:marLeft w:val="0"/>
      <w:marRight w:val="0"/>
      <w:marTop w:val="0"/>
      <w:marBottom w:val="0"/>
      <w:divBdr>
        <w:top w:val="none" w:sz="0" w:space="0" w:color="auto"/>
        <w:left w:val="none" w:sz="0" w:space="0" w:color="auto"/>
        <w:bottom w:val="none" w:sz="0" w:space="0" w:color="auto"/>
        <w:right w:val="none" w:sz="0" w:space="0" w:color="auto"/>
      </w:divBdr>
    </w:div>
    <w:div w:id="1451777297">
      <w:bodyDiv w:val="1"/>
      <w:marLeft w:val="0"/>
      <w:marRight w:val="0"/>
      <w:marTop w:val="0"/>
      <w:marBottom w:val="0"/>
      <w:divBdr>
        <w:top w:val="none" w:sz="0" w:space="0" w:color="auto"/>
        <w:left w:val="none" w:sz="0" w:space="0" w:color="auto"/>
        <w:bottom w:val="none" w:sz="0" w:space="0" w:color="auto"/>
        <w:right w:val="none" w:sz="0" w:space="0" w:color="auto"/>
      </w:divBdr>
    </w:div>
    <w:div w:id="1542592287">
      <w:bodyDiv w:val="1"/>
      <w:marLeft w:val="0"/>
      <w:marRight w:val="0"/>
      <w:marTop w:val="0"/>
      <w:marBottom w:val="0"/>
      <w:divBdr>
        <w:top w:val="none" w:sz="0" w:space="0" w:color="auto"/>
        <w:left w:val="none" w:sz="0" w:space="0" w:color="auto"/>
        <w:bottom w:val="none" w:sz="0" w:space="0" w:color="auto"/>
        <w:right w:val="none" w:sz="0" w:space="0" w:color="auto"/>
      </w:divBdr>
    </w:div>
    <w:div w:id="1561598676">
      <w:bodyDiv w:val="1"/>
      <w:marLeft w:val="0"/>
      <w:marRight w:val="0"/>
      <w:marTop w:val="0"/>
      <w:marBottom w:val="0"/>
      <w:divBdr>
        <w:top w:val="none" w:sz="0" w:space="0" w:color="auto"/>
        <w:left w:val="none" w:sz="0" w:space="0" w:color="auto"/>
        <w:bottom w:val="none" w:sz="0" w:space="0" w:color="auto"/>
        <w:right w:val="none" w:sz="0" w:space="0" w:color="auto"/>
      </w:divBdr>
    </w:div>
    <w:div w:id="1659842331">
      <w:bodyDiv w:val="1"/>
      <w:marLeft w:val="0"/>
      <w:marRight w:val="0"/>
      <w:marTop w:val="0"/>
      <w:marBottom w:val="0"/>
      <w:divBdr>
        <w:top w:val="none" w:sz="0" w:space="0" w:color="auto"/>
        <w:left w:val="none" w:sz="0" w:space="0" w:color="auto"/>
        <w:bottom w:val="none" w:sz="0" w:space="0" w:color="auto"/>
        <w:right w:val="none" w:sz="0" w:space="0" w:color="auto"/>
      </w:divBdr>
    </w:div>
    <w:div w:id="1667399609">
      <w:bodyDiv w:val="1"/>
      <w:marLeft w:val="0"/>
      <w:marRight w:val="0"/>
      <w:marTop w:val="0"/>
      <w:marBottom w:val="0"/>
      <w:divBdr>
        <w:top w:val="none" w:sz="0" w:space="0" w:color="auto"/>
        <w:left w:val="none" w:sz="0" w:space="0" w:color="auto"/>
        <w:bottom w:val="none" w:sz="0" w:space="0" w:color="auto"/>
        <w:right w:val="none" w:sz="0" w:space="0" w:color="auto"/>
      </w:divBdr>
    </w:div>
    <w:div w:id="1685282230">
      <w:bodyDiv w:val="1"/>
      <w:marLeft w:val="0"/>
      <w:marRight w:val="0"/>
      <w:marTop w:val="0"/>
      <w:marBottom w:val="0"/>
      <w:divBdr>
        <w:top w:val="none" w:sz="0" w:space="0" w:color="auto"/>
        <w:left w:val="none" w:sz="0" w:space="0" w:color="auto"/>
        <w:bottom w:val="none" w:sz="0" w:space="0" w:color="auto"/>
        <w:right w:val="none" w:sz="0" w:space="0" w:color="auto"/>
      </w:divBdr>
    </w:div>
    <w:div w:id="1740051551">
      <w:bodyDiv w:val="1"/>
      <w:marLeft w:val="0"/>
      <w:marRight w:val="0"/>
      <w:marTop w:val="0"/>
      <w:marBottom w:val="0"/>
      <w:divBdr>
        <w:top w:val="none" w:sz="0" w:space="0" w:color="auto"/>
        <w:left w:val="none" w:sz="0" w:space="0" w:color="auto"/>
        <w:bottom w:val="none" w:sz="0" w:space="0" w:color="auto"/>
        <w:right w:val="none" w:sz="0" w:space="0" w:color="auto"/>
      </w:divBdr>
    </w:div>
    <w:div w:id="1814057972">
      <w:bodyDiv w:val="1"/>
      <w:marLeft w:val="0"/>
      <w:marRight w:val="0"/>
      <w:marTop w:val="0"/>
      <w:marBottom w:val="0"/>
      <w:divBdr>
        <w:top w:val="none" w:sz="0" w:space="0" w:color="auto"/>
        <w:left w:val="none" w:sz="0" w:space="0" w:color="auto"/>
        <w:bottom w:val="none" w:sz="0" w:space="0" w:color="auto"/>
        <w:right w:val="none" w:sz="0" w:space="0" w:color="auto"/>
      </w:divBdr>
    </w:div>
    <w:div w:id="1815488730">
      <w:bodyDiv w:val="1"/>
      <w:marLeft w:val="0"/>
      <w:marRight w:val="0"/>
      <w:marTop w:val="0"/>
      <w:marBottom w:val="0"/>
      <w:divBdr>
        <w:top w:val="none" w:sz="0" w:space="0" w:color="auto"/>
        <w:left w:val="none" w:sz="0" w:space="0" w:color="auto"/>
        <w:bottom w:val="none" w:sz="0" w:space="0" w:color="auto"/>
        <w:right w:val="none" w:sz="0" w:space="0" w:color="auto"/>
      </w:divBdr>
    </w:div>
    <w:div w:id="1826625047">
      <w:bodyDiv w:val="1"/>
      <w:marLeft w:val="0"/>
      <w:marRight w:val="0"/>
      <w:marTop w:val="0"/>
      <w:marBottom w:val="0"/>
      <w:divBdr>
        <w:top w:val="none" w:sz="0" w:space="0" w:color="auto"/>
        <w:left w:val="none" w:sz="0" w:space="0" w:color="auto"/>
        <w:bottom w:val="none" w:sz="0" w:space="0" w:color="auto"/>
        <w:right w:val="none" w:sz="0" w:space="0" w:color="auto"/>
      </w:divBdr>
    </w:div>
    <w:div w:id="1877355267">
      <w:bodyDiv w:val="1"/>
      <w:marLeft w:val="0"/>
      <w:marRight w:val="0"/>
      <w:marTop w:val="0"/>
      <w:marBottom w:val="0"/>
      <w:divBdr>
        <w:top w:val="none" w:sz="0" w:space="0" w:color="auto"/>
        <w:left w:val="none" w:sz="0" w:space="0" w:color="auto"/>
        <w:bottom w:val="none" w:sz="0" w:space="0" w:color="auto"/>
        <w:right w:val="none" w:sz="0" w:space="0" w:color="auto"/>
      </w:divBdr>
    </w:div>
    <w:div w:id="1914774660">
      <w:bodyDiv w:val="1"/>
      <w:marLeft w:val="0"/>
      <w:marRight w:val="0"/>
      <w:marTop w:val="0"/>
      <w:marBottom w:val="0"/>
      <w:divBdr>
        <w:top w:val="none" w:sz="0" w:space="0" w:color="auto"/>
        <w:left w:val="none" w:sz="0" w:space="0" w:color="auto"/>
        <w:bottom w:val="none" w:sz="0" w:space="0" w:color="auto"/>
        <w:right w:val="none" w:sz="0" w:space="0" w:color="auto"/>
      </w:divBdr>
    </w:div>
    <w:div w:id="1978023474">
      <w:bodyDiv w:val="1"/>
      <w:marLeft w:val="0"/>
      <w:marRight w:val="0"/>
      <w:marTop w:val="0"/>
      <w:marBottom w:val="0"/>
      <w:divBdr>
        <w:top w:val="none" w:sz="0" w:space="0" w:color="auto"/>
        <w:left w:val="none" w:sz="0" w:space="0" w:color="auto"/>
        <w:bottom w:val="none" w:sz="0" w:space="0" w:color="auto"/>
        <w:right w:val="none" w:sz="0" w:space="0" w:color="auto"/>
      </w:divBdr>
    </w:div>
    <w:div w:id="1979140590">
      <w:bodyDiv w:val="1"/>
      <w:marLeft w:val="0"/>
      <w:marRight w:val="0"/>
      <w:marTop w:val="0"/>
      <w:marBottom w:val="0"/>
      <w:divBdr>
        <w:top w:val="none" w:sz="0" w:space="0" w:color="auto"/>
        <w:left w:val="none" w:sz="0" w:space="0" w:color="auto"/>
        <w:bottom w:val="none" w:sz="0" w:space="0" w:color="auto"/>
        <w:right w:val="none" w:sz="0" w:space="0" w:color="auto"/>
      </w:divBdr>
    </w:div>
    <w:div w:id="1988971462">
      <w:bodyDiv w:val="1"/>
      <w:marLeft w:val="0"/>
      <w:marRight w:val="0"/>
      <w:marTop w:val="0"/>
      <w:marBottom w:val="0"/>
      <w:divBdr>
        <w:top w:val="none" w:sz="0" w:space="0" w:color="auto"/>
        <w:left w:val="none" w:sz="0" w:space="0" w:color="auto"/>
        <w:bottom w:val="none" w:sz="0" w:space="0" w:color="auto"/>
        <w:right w:val="none" w:sz="0" w:space="0" w:color="auto"/>
      </w:divBdr>
    </w:div>
    <w:div w:id="2068339911">
      <w:bodyDiv w:val="1"/>
      <w:marLeft w:val="0"/>
      <w:marRight w:val="0"/>
      <w:marTop w:val="0"/>
      <w:marBottom w:val="0"/>
      <w:divBdr>
        <w:top w:val="none" w:sz="0" w:space="0" w:color="auto"/>
        <w:left w:val="none" w:sz="0" w:space="0" w:color="auto"/>
        <w:bottom w:val="none" w:sz="0" w:space="0" w:color="auto"/>
        <w:right w:val="none" w:sz="0" w:space="0" w:color="auto"/>
      </w:divBdr>
    </w:div>
    <w:div w:id="2076269681">
      <w:bodyDiv w:val="1"/>
      <w:marLeft w:val="0"/>
      <w:marRight w:val="0"/>
      <w:marTop w:val="0"/>
      <w:marBottom w:val="0"/>
      <w:divBdr>
        <w:top w:val="none" w:sz="0" w:space="0" w:color="auto"/>
        <w:left w:val="none" w:sz="0" w:space="0" w:color="auto"/>
        <w:bottom w:val="none" w:sz="0" w:space="0" w:color="auto"/>
        <w:right w:val="none" w:sz="0" w:space="0" w:color="auto"/>
      </w:divBdr>
    </w:div>
    <w:div w:id="2104182419">
      <w:bodyDiv w:val="1"/>
      <w:marLeft w:val="0"/>
      <w:marRight w:val="0"/>
      <w:marTop w:val="0"/>
      <w:marBottom w:val="0"/>
      <w:divBdr>
        <w:top w:val="none" w:sz="0" w:space="0" w:color="auto"/>
        <w:left w:val="none" w:sz="0" w:space="0" w:color="auto"/>
        <w:bottom w:val="none" w:sz="0" w:space="0" w:color="auto"/>
        <w:right w:val="none" w:sz="0" w:space="0" w:color="auto"/>
      </w:divBdr>
    </w:div>
    <w:div w:id="214553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5-01-5007" TargetMode="External"/><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16-01-2246" TargetMode="External"/><Relationship Id="rId26" Type="http://schemas.openxmlformats.org/officeDocument/2006/relationships/hyperlink" Target="http://www.uradni-list.si/1/objava.jsp?sop=2018-01-135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radni-list.si/1/objava.jsp?sop=2009-01-3437" TargetMode="External"/><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www.uradni-list.si/1/objava.jsp?sop=2010-01-0251" TargetMode="External"/><Relationship Id="rId17" Type="http://schemas.openxmlformats.org/officeDocument/2006/relationships/hyperlink" Target="http://www.uradni-list.si/1/objava.jsp?sop=2014-01-3646" TargetMode="External"/><Relationship Id="rId25" Type="http://schemas.openxmlformats.org/officeDocument/2006/relationships/hyperlink" Target="http://www.uradni-list.si/1/objava.jsp?sop=2018-01-0457" TargetMode="External"/><Relationship Id="rId33" Type="http://schemas.openxmlformats.org/officeDocument/2006/relationships/chart" Target="charts/chart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4-01-0304" TargetMode="External"/><Relationship Id="rId20" Type="http://schemas.openxmlformats.org/officeDocument/2006/relationships/hyperlink" Target="http://www.uradni-list.si/1/objava.jsp?sop=2008-01-3347" TargetMode="External"/><Relationship Id="rId29" Type="http://schemas.openxmlformats.org/officeDocument/2006/relationships/hyperlink" Target="http://www.uradni-list.si/1/objava.jsp?sop=1996-02-0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380" TargetMode="External"/><Relationship Id="rId24" Type="http://schemas.openxmlformats.org/officeDocument/2006/relationships/hyperlink" Target="http://www.uradni-list.si/1/objava.jsp?sop=2015-01-0505" TargetMode="External"/><Relationship Id="rId32" Type="http://schemas.openxmlformats.org/officeDocument/2006/relationships/chart" Target="charts/chart2.xm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12-01-1700" TargetMode="External"/><Relationship Id="rId28" Type="http://schemas.openxmlformats.org/officeDocument/2006/relationships/hyperlink" Target="http://www.uradni-list.si/1/objava.jsp?sop=2020-01-1195" TargetMode="External"/><Relationship Id="rId36" Type="http://schemas.openxmlformats.org/officeDocument/2006/relationships/footer" Target="footer1.xml"/><Relationship Id="rId10" Type="http://schemas.openxmlformats.org/officeDocument/2006/relationships/hyperlink" Target="http://www.uradni-list.si/1/objava.jsp?sop=2007-01-6415" TargetMode="External"/><Relationship Id="rId19" Type="http://schemas.openxmlformats.org/officeDocument/2006/relationships/hyperlink" Target="http://www.uradni-list.si/1/objava.jsp?sop=2007-01-4692"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uradni-list.si/1/objava.jsp?sop=2007-01-4388" TargetMode="External"/><Relationship Id="rId14" Type="http://schemas.openxmlformats.org/officeDocument/2006/relationships/hyperlink" Target="http://www.uradni-list.si/1/objava.jsp?sop=2012-01-0815" TargetMode="External"/><Relationship Id="rId22" Type="http://schemas.openxmlformats.org/officeDocument/2006/relationships/hyperlink" Target="http://www.uradni-list.si/1/objava.jsp?sop=2010-01-2763" TargetMode="External"/><Relationship Id="rId27" Type="http://schemas.openxmlformats.org/officeDocument/2006/relationships/hyperlink" Target="http://www.uradni-list.si/1/objava.jsp?sop=2020-01-0901" TargetMode="External"/><Relationship Id="rId30" Type="http://schemas.openxmlformats.org/officeDocument/2006/relationships/chart" Target="charts/chart1.xml"/><Relationship Id="rId35"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sl-SI" sz="1050" b="1" cap="none" baseline="0">
                <a:solidFill>
                  <a:sysClr val="windowText" lastClr="000000"/>
                </a:solidFill>
                <a:latin typeface="Arial" panose="020B0604020202020204" pitchFamily="34" charset="0"/>
                <a:cs typeface="Arial" panose="020B0604020202020204" pitchFamily="34" charset="0"/>
              </a:rPr>
              <a:t>Izveden strokovni nadzor po številu občin na leto</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31997654548500587"/>
          <c:y val="0.17453262162454414"/>
          <c:w val="0.31749371754062655"/>
          <c:h val="0.6706608864903123"/>
        </c:manualLayout>
      </c:layout>
      <c:pieChart>
        <c:varyColors val="1"/>
        <c:ser>
          <c:idx val="0"/>
          <c:order val="0"/>
          <c:explosion val="8"/>
          <c:dPt>
            <c:idx val="0"/>
            <c:bubble3D val="0"/>
            <c:spPr>
              <a:solidFill>
                <a:srgbClr val="CC00F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313-4732-9082-19117833772E}"/>
              </c:ext>
            </c:extLst>
          </c:dPt>
          <c:dPt>
            <c:idx val="1"/>
            <c:bubble3D val="0"/>
            <c:spPr>
              <a:solidFill>
                <a:srgbClr val="FF006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313-4732-9082-19117833772E}"/>
              </c:ext>
            </c:extLst>
          </c:dPt>
          <c:dPt>
            <c:idx val="2"/>
            <c:bubble3D val="0"/>
            <c:spPr>
              <a:solidFill>
                <a:srgbClr val="33CC3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313-4732-9082-19117833772E}"/>
              </c:ext>
            </c:extLst>
          </c:dPt>
          <c:dPt>
            <c:idx val="3"/>
            <c:bubble3D val="0"/>
            <c:spPr>
              <a:solidFill>
                <a:srgbClr val="3399F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313-4732-9082-19117833772E}"/>
              </c:ext>
            </c:extLst>
          </c:dPt>
          <c:dLbls>
            <c:dLbl>
              <c:idx val="0"/>
              <c:layout>
                <c:manualLayout>
                  <c:x val="2.1839832782408405E-2"/>
                  <c:y val="0.18255568053993251"/>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47</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6.9413538967046912E-2"/>
                      <c:h val="6.619155268214838E-2"/>
                    </c:manualLayout>
                  </c15:layout>
                </c:ext>
                <c:ext xmlns:c16="http://schemas.microsoft.com/office/drawing/2014/chart" uri="{C3380CC4-5D6E-409C-BE32-E72D297353CC}">
                  <c16:uniqueId val="{00000001-7313-4732-9082-19117833772E}"/>
                </c:ext>
              </c:extLst>
            </c:dLbl>
            <c:dLbl>
              <c:idx val="1"/>
              <c:layout>
                <c:manualLayout>
                  <c:x val="-9.4533068303700604E-2"/>
                  <c:y val="5.1452868391451072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50</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4.441500331734137E-2"/>
                      <c:h val="0.10650839271440961"/>
                    </c:manualLayout>
                  </c15:layout>
                </c:ext>
                <c:ext xmlns:c16="http://schemas.microsoft.com/office/drawing/2014/chart" uri="{C3380CC4-5D6E-409C-BE32-E72D297353CC}">
                  <c16:uniqueId val="{00000003-7313-4732-9082-19117833772E}"/>
                </c:ext>
              </c:extLst>
            </c:dLbl>
            <c:dLbl>
              <c:idx val="2"/>
              <c:layout>
                <c:manualLayout>
                  <c:x val="-5.9892523894764266E-2"/>
                  <c:y val="-0.16977547806524185"/>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45</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6.2075044397795209E-2"/>
                      <c:h val="6.0432078819521194E-2"/>
                    </c:manualLayout>
                  </c15:layout>
                </c:ext>
                <c:ext xmlns:c16="http://schemas.microsoft.com/office/drawing/2014/chart" uri="{C3380CC4-5D6E-409C-BE32-E72D297353CC}">
                  <c16:uniqueId val="{00000005-7313-4732-9082-19117833772E}"/>
                </c:ext>
              </c:extLst>
            </c:dLbl>
            <c:dLbl>
              <c:idx val="3"/>
              <c:layout>
                <c:manualLayout>
                  <c:x val="0.11188518799166841"/>
                  <c:y val="-6.207064116985369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70</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5.3245023857568283E-2"/>
                      <c:h val="7.1951157293243306E-2"/>
                    </c:manualLayout>
                  </c15:layout>
                </c:ext>
                <c:ext xmlns:c16="http://schemas.microsoft.com/office/drawing/2014/chart" uri="{C3380CC4-5D6E-409C-BE32-E72D297353CC}">
                  <c16:uniqueId val="{00000007-7313-4732-9082-19117833772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l-SI"/>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List2!$B$1:$E$1</c:f>
              <c:numCache>
                <c:formatCode>General</c:formatCode>
                <c:ptCount val="4"/>
                <c:pt idx="0">
                  <c:v>2013</c:v>
                </c:pt>
                <c:pt idx="1">
                  <c:v>2015</c:v>
                </c:pt>
                <c:pt idx="2">
                  <c:v>2016</c:v>
                </c:pt>
                <c:pt idx="3">
                  <c:v>2017</c:v>
                </c:pt>
              </c:numCache>
            </c:numRef>
          </c:cat>
          <c:val>
            <c:numRef>
              <c:f>List2!$B$2:$E$2</c:f>
              <c:numCache>
                <c:formatCode>General</c:formatCode>
                <c:ptCount val="4"/>
                <c:pt idx="0">
                  <c:v>47</c:v>
                </c:pt>
                <c:pt idx="1">
                  <c:v>50</c:v>
                </c:pt>
                <c:pt idx="2">
                  <c:v>45</c:v>
                </c:pt>
                <c:pt idx="3">
                  <c:v>70</c:v>
                </c:pt>
              </c:numCache>
            </c:numRef>
          </c:val>
          <c:extLst>
            <c:ext xmlns:c16="http://schemas.microsoft.com/office/drawing/2014/chart" uri="{C3380CC4-5D6E-409C-BE32-E72D297353CC}">
              <c16:uniqueId val="{00000008-7313-4732-9082-19117833772E}"/>
            </c:ext>
          </c:extLst>
        </c:ser>
        <c:dLbls>
          <c:dLblPos val="inEnd"/>
          <c:showLegendKey val="0"/>
          <c:showVal val="0"/>
          <c:showCatName val="0"/>
          <c:showSerName val="0"/>
          <c:showPercent val="1"/>
          <c:showBubbleSize val="0"/>
          <c:showLeaderLines val="1"/>
        </c:dLbls>
        <c:firstSliceAng val="313"/>
      </c:pieChart>
      <c:spPr>
        <a:noFill/>
        <a:ln>
          <a:noFill/>
        </a:ln>
        <a:effectLst/>
      </c:spPr>
    </c:plotArea>
    <c:legend>
      <c:legendPos val="t"/>
      <c:layout>
        <c:manualLayout>
          <c:xMode val="edge"/>
          <c:yMode val="edge"/>
          <c:x val="0.17288285772789039"/>
          <c:y val="0.92242610123172808"/>
          <c:w val="0.62167937798983919"/>
          <c:h val="7.35421072365954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2" b="1" i="0" u="none" strike="noStrike" kern="1200" baseline="0">
                <a:solidFill>
                  <a:schemeClr val="tx1">
                    <a:lumMod val="65000"/>
                    <a:lumOff val="35000"/>
                  </a:schemeClr>
                </a:solidFill>
                <a:latin typeface="+mn-lt"/>
                <a:ea typeface="+mn-ea"/>
                <a:cs typeface="+mn-cs"/>
              </a:defRPr>
            </a:pPr>
            <a:r>
              <a:rPr lang="sl-SI" sz="1048">
                <a:solidFill>
                  <a:sysClr val="windowText" lastClr="000000"/>
                </a:solidFill>
                <a:latin typeface="Arial" panose="020B0604020202020204" pitchFamily="34" charset="0"/>
                <a:cs typeface="Arial" panose="020B0604020202020204" pitchFamily="34" charset="0"/>
              </a:rPr>
              <a:t>Uskladitev</a:t>
            </a:r>
            <a:r>
              <a:rPr lang="sl-SI" sz="1048" baseline="0">
                <a:solidFill>
                  <a:sysClr val="windowText" lastClr="000000"/>
                </a:solidFill>
                <a:latin typeface="Arial" panose="020B0604020202020204" pitchFamily="34" charset="0"/>
                <a:cs typeface="Arial" panose="020B0604020202020204" pitchFamily="34" charset="0"/>
              </a:rPr>
              <a:t> občinskih splošnih aktov z opozorili MJU </a:t>
            </a:r>
          </a:p>
          <a:p>
            <a:pPr>
              <a:defRPr sz="1592" b="1" i="0" u="none" strike="noStrike" kern="1200" baseline="0">
                <a:solidFill>
                  <a:schemeClr val="tx1">
                    <a:lumMod val="65000"/>
                    <a:lumOff val="35000"/>
                  </a:schemeClr>
                </a:solidFill>
                <a:latin typeface="+mn-lt"/>
                <a:ea typeface="+mn-ea"/>
                <a:cs typeface="+mn-cs"/>
              </a:defRPr>
            </a:pPr>
            <a:r>
              <a:rPr lang="sl-SI" sz="1048" baseline="0">
                <a:solidFill>
                  <a:sysClr val="windowText" lastClr="000000"/>
                </a:solidFill>
                <a:latin typeface="Arial" panose="020B0604020202020204" pitchFamily="34" charset="0"/>
                <a:cs typeface="Arial" panose="020B0604020202020204" pitchFamily="34" charset="0"/>
              </a:rPr>
              <a:t>od leta 2013 - 2017</a:t>
            </a:r>
            <a:endParaRPr lang="sl-SI" sz="1050">
              <a:solidFill>
                <a:sysClr val="windowText" lastClr="000000"/>
              </a:solidFill>
              <a:latin typeface="Arial" panose="020B0604020202020204" pitchFamily="34" charset="0"/>
              <a:cs typeface="Arial" panose="020B0604020202020204" pitchFamily="34" charset="0"/>
            </a:endParaRPr>
          </a:p>
        </c:rich>
      </c:tx>
      <c:overlay val="0"/>
      <c:spPr>
        <a:noFill/>
        <a:ln w="25342">
          <a:noFill/>
        </a:ln>
      </c:spPr>
    </c:title>
    <c:autoTitleDeleted val="0"/>
    <c:plotArea>
      <c:layout/>
      <c:barChart>
        <c:barDir val="col"/>
        <c:grouping val="clustered"/>
        <c:varyColors val="0"/>
        <c:ser>
          <c:idx val="0"/>
          <c:order val="0"/>
          <c:tx>
            <c:strRef>
              <c:f>List1!$A$2</c:f>
              <c:strCache>
                <c:ptCount val="1"/>
                <c:pt idx="0">
                  <c:v>V celoti</c:v>
                </c:pt>
              </c:strCache>
            </c:strRef>
          </c:tx>
          <c:spPr>
            <a:solidFill>
              <a:schemeClr val="accent6">
                <a:lumMod val="75000"/>
              </a:schemeClr>
            </a:soli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6">
                  <a:lumMod val="75000"/>
                </a:schemeClr>
              </a:solidFill>
              <a:ln>
                <a:solidFill>
                  <a:schemeClr val="accent6">
                    <a:lumMod val="75000"/>
                  </a:schemeClr>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6FF-4B35-9C60-ACF876805FDC}"/>
              </c:ext>
            </c:extLst>
          </c:dPt>
          <c:dLbls>
            <c:spPr>
              <a:noFill/>
              <a:ln w="25342">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bg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List1!$B$1:$E$1</c:f>
              <c:numCache>
                <c:formatCode>General</c:formatCode>
                <c:ptCount val="4"/>
                <c:pt idx="0">
                  <c:v>2013</c:v>
                </c:pt>
                <c:pt idx="1">
                  <c:v>2015</c:v>
                </c:pt>
                <c:pt idx="2">
                  <c:v>2016</c:v>
                </c:pt>
                <c:pt idx="3">
                  <c:v>2017</c:v>
                </c:pt>
              </c:numCache>
            </c:numRef>
          </c:cat>
          <c:val>
            <c:numRef>
              <c:f>List1!$B$2:$E$2</c:f>
              <c:numCache>
                <c:formatCode>0%</c:formatCode>
                <c:ptCount val="4"/>
                <c:pt idx="0">
                  <c:v>0.77</c:v>
                </c:pt>
                <c:pt idx="1">
                  <c:v>0.7</c:v>
                </c:pt>
                <c:pt idx="2">
                  <c:v>0.4</c:v>
                </c:pt>
                <c:pt idx="3">
                  <c:v>0.11</c:v>
                </c:pt>
              </c:numCache>
            </c:numRef>
          </c:val>
          <c:extLst>
            <c:ext xmlns:c16="http://schemas.microsoft.com/office/drawing/2014/chart" uri="{C3380CC4-5D6E-409C-BE32-E72D297353CC}">
              <c16:uniqueId val="{00000002-36FF-4B35-9C60-ACF876805FDC}"/>
            </c:ext>
          </c:extLst>
        </c:ser>
        <c:ser>
          <c:idx val="1"/>
          <c:order val="1"/>
          <c:tx>
            <c:strRef>
              <c:f>List1!$A$3</c:f>
              <c:strCache>
                <c:ptCount val="1"/>
                <c:pt idx="0">
                  <c:v>Delno</c:v>
                </c:pt>
              </c:strCache>
            </c:strRef>
          </c:tx>
          <c:spPr>
            <a:solidFill>
              <a:srgbClr val="FFC000"/>
            </a:solidFill>
            <a:ln>
              <a:noFill/>
            </a:ln>
            <a:effectLst>
              <a:outerShdw blurRad="57150" dist="19050" dir="5400000" algn="ctr" rotWithShape="0">
                <a:srgbClr val="000000">
                  <a:alpha val="63000"/>
                </a:srgbClr>
              </a:outerShdw>
            </a:effectLst>
          </c:spPr>
          <c:invertIfNegative val="0"/>
          <c:dLbls>
            <c:spPr>
              <a:noFill/>
              <a:ln w="25342">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bg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List1!$B$1:$E$1</c:f>
              <c:numCache>
                <c:formatCode>General</c:formatCode>
                <c:ptCount val="4"/>
                <c:pt idx="0">
                  <c:v>2013</c:v>
                </c:pt>
                <c:pt idx="1">
                  <c:v>2015</c:v>
                </c:pt>
                <c:pt idx="2">
                  <c:v>2016</c:v>
                </c:pt>
                <c:pt idx="3">
                  <c:v>2017</c:v>
                </c:pt>
              </c:numCache>
            </c:numRef>
          </c:cat>
          <c:val>
            <c:numRef>
              <c:f>List1!$B$3:$E$3</c:f>
              <c:numCache>
                <c:formatCode>0%</c:formatCode>
                <c:ptCount val="4"/>
                <c:pt idx="0">
                  <c:v>0.15</c:v>
                </c:pt>
                <c:pt idx="1">
                  <c:v>0.12</c:v>
                </c:pt>
                <c:pt idx="2">
                  <c:v>0.33</c:v>
                </c:pt>
                <c:pt idx="3">
                  <c:v>0.1</c:v>
                </c:pt>
              </c:numCache>
            </c:numRef>
          </c:val>
          <c:extLst>
            <c:ext xmlns:c16="http://schemas.microsoft.com/office/drawing/2014/chart" uri="{C3380CC4-5D6E-409C-BE32-E72D297353CC}">
              <c16:uniqueId val="{00000003-36FF-4B35-9C60-ACF876805FDC}"/>
            </c:ext>
          </c:extLst>
        </c:ser>
        <c:ser>
          <c:idx val="2"/>
          <c:order val="2"/>
          <c:tx>
            <c:strRef>
              <c:f>List1!$A$4</c:f>
              <c:strCache>
                <c:ptCount val="1"/>
                <c:pt idx="0">
                  <c:v>Ne</c:v>
                </c:pt>
              </c:strCache>
            </c:strRef>
          </c:tx>
          <c:spPr>
            <a:solidFill>
              <a:srgbClr val="FF0000"/>
            </a:solidFill>
            <a:ln>
              <a:noFill/>
            </a:ln>
            <a:effectLst>
              <a:outerShdw blurRad="57150" dist="19050" dir="5400000" algn="ctr" rotWithShape="0">
                <a:srgbClr val="000000">
                  <a:alpha val="63000"/>
                </a:srgbClr>
              </a:outerShdw>
            </a:effectLst>
          </c:spPr>
          <c:invertIfNegative val="0"/>
          <c:dLbls>
            <c:spPr>
              <a:noFill/>
              <a:ln w="25342">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bg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List1!$B$1:$E$1</c:f>
              <c:numCache>
                <c:formatCode>General</c:formatCode>
                <c:ptCount val="4"/>
                <c:pt idx="0">
                  <c:v>2013</c:v>
                </c:pt>
                <c:pt idx="1">
                  <c:v>2015</c:v>
                </c:pt>
                <c:pt idx="2">
                  <c:v>2016</c:v>
                </c:pt>
                <c:pt idx="3">
                  <c:v>2017</c:v>
                </c:pt>
              </c:numCache>
            </c:numRef>
          </c:cat>
          <c:val>
            <c:numRef>
              <c:f>List1!$B$4:$E$4</c:f>
              <c:numCache>
                <c:formatCode>0%</c:formatCode>
                <c:ptCount val="4"/>
                <c:pt idx="0">
                  <c:v>0.08</c:v>
                </c:pt>
                <c:pt idx="1">
                  <c:v>0.18</c:v>
                </c:pt>
                <c:pt idx="2">
                  <c:v>0.27</c:v>
                </c:pt>
                <c:pt idx="3">
                  <c:v>0.79</c:v>
                </c:pt>
              </c:numCache>
            </c:numRef>
          </c:val>
          <c:extLst>
            <c:ext xmlns:c16="http://schemas.microsoft.com/office/drawing/2014/chart" uri="{C3380CC4-5D6E-409C-BE32-E72D297353CC}">
              <c16:uniqueId val="{00000004-36FF-4B35-9C60-ACF876805FDC}"/>
            </c:ext>
          </c:extLst>
        </c:ser>
        <c:dLbls>
          <c:showLegendKey val="0"/>
          <c:showVal val="0"/>
          <c:showCatName val="0"/>
          <c:showSerName val="0"/>
          <c:showPercent val="0"/>
          <c:showBubbleSize val="0"/>
        </c:dLbls>
        <c:gapWidth val="100"/>
        <c:overlap val="-24"/>
        <c:axId val="350824384"/>
        <c:axId val="420159496"/>
      </c:barChart>
      <c:catAx>
        <c:axId val="350824384"/>
        <c:scaling>
          <c:orientation val="minMax"/>
        </c:scaling>
        <c:delete val="0"/>
        <c:axPos val="b"/>
        <c:numFmt formatCode="General" sourceLinked="1"/>
        <c:majorTickMark val="none"/>
        <c:minorTickMark val="none"/>
        <c:tickLblPos val="nextTo"/>
        <c:spPr>
          <a:noFill/>
          <a:ln w="12671"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sl-SI"/>
          </a:p>
        </c:txPr>
        <c:crossAx val="420159496"/>
        <c:crosses val="autoZero"/>
        <c:auto val="1"/>
        <c:lblAlgn val="ctr"/>
        <c:lblOffset val="100"/>
        <c:noMultiLvlLbl val="0"/>
      </c:catAx>
      <c:valAx>
        <c:axId val="420159496"/>
        <c:scaling>
          <c:orientation val="minMax"/>
        </c:scaling>
        <c:delete val="0"/>
        <c:axPos val="l"/>
        <c:majorGridlines>
          <c:spPr>
            <a:ln w="9503" cap="flat" cmpd="sng" algn="ctr">
              <a:solidFill>
                <a:schemeClr val="tx1">
                  <a:lumMod val="15000"/>
                  <a:lumOff val="85000"/>
                </a:schemeClr>
              </a:solidFill>
              <a:round/>
            </a:ln>
            <a:effectLst/>
          </c:spPr>
        </c:majorGridlines>
        <c:numFmt formatCode="0%" sourceLinked="1"/>
        <c:majorTickMark val="none"/>
        <c:minorTickMark val="none"/>
        <c:tickLblPos val="nextTo"/>
        <c:spPr>
          <a:ln w="6336">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sl-SI"/>
          </a:p>
        </c:txPr>
        <c:crossAx val="350824384"/>
        <c:crosses val="autoZero"/>
        <c:crossBetween val="between"/>
      </c:valAx>
      <c:spPr>
        <a:noFill/>
        <a:ln w="25342">
          <a:noFill/>
        </a:ln>
      </c:spPr>
    </c:plotArea>
    <c:legend>
      <c:legendPos val="b"/>
      <c:layout>
        <c:manualLayout>
          <c:xMode val="edge"/>
          <c:yMode val="edge"/>
          <c:x val="0.32010902483343434"/>
          <c:y val="0.90625511811023618"/>
          <c:w val="0.30383789438907549"/>
          <c:h val="6.912949727437917E-2"/>
        </c:manualLayout>
      </c:layout>
      <c:overlay val="0"/>
      <c:spPr>
        <a:noFill/>
        <a:ln w="25342">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03"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sz="1050" b="1">
              <a:latin typeface="Arial" panose="020B0604020202020204" pitchFamily="34" charset="0"/>
              <a:cs typeface="Arial" panose="020B0604020202020204" pitchFamily="34" charset="0"/>
            </a:endParaRPr>
          </a:p>
          <a:p>
            <a:pPr>
              <a:defRPr/>
            </a:pPr>
            <a:r>
              <a:rPr lang="sl-SI" sz="1050" b="1">
                <a:latin typeface="Arial" panose="020B0604020202020204" pitchFamily="34" charset="0"/>
                <a:cs typeface="Arial" panose="020B0604020202020204" pitchFamily="34" charset="0"/>
              </a:rPr>
              <a:t>Uskladitev</a:t>
            </a:r>
            <a:r>
              <a:rPr lang="sl-SI" sz="1050" b="1" baseline="0">
                <a:latin typeface="Arial" panose="020B0604020202020204" pitchFamily="34" charset="0"/>
                <a:cs typeface="Arial" panose="020B0604020202020204" pitchFamily="34" charset="0"/>
              </a:rPr>
              <a:t> občinskih splošnih aktov </a:t>
            </a:r>
          </a:p>
          <a:p>
            <a:pPr>
              <a:defRPr/>
            </a:pPr>
            <a:r>
              <a:rPr lang="sl-SI" sz="1050" b="1" baseline="0">
                <a:latin typeface="Arial" panose="020B0604020202020204" pitchFamily="34" charset="0"/>
                <a:cs typeface="Arial" panose="020B0604020202020204" pitchFamily="34" charset="0"/>
              </a:rPr>
              <a:t>z opozorili MJU od leta 2013 - 2020</a:t>
            </a:r>
          </a:p>
          <a:p>
            <a:pPr>
              <a:defRPr/>
            </a:pPr>
            <a:r>
              <a:rPr lang="sl-SI" sz="1050" b="1" baseline="0">
                <a:latin typeface="Arial" panose="020B0604020202020204" pitchFamily="34" charset="0"/>
                <a:cs typeface="Arial" panose="020B0604020202020204" pitchFamily="34"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'Stanje 31_12_2019'!$A$2</c:f>
              <c:strCache>
                <c:ptCount val="1"/>
                <c:pt idx="0">
                  <c:v>V celoti</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'Stanje 31_12_2019'!$B$1:$E$1</c:f>
              <c:numCache>
                <c:formatCode>General</c:formatCode>
                <c:ptCount val="4"/>
                <c:pt idx="0">
                  <c:v>2013</c:v>
                </c:pt>
                <c:pt idx="1">
                  <c:v>2015</c:v>
                </c:pt>
                <c:pt idx="2">
                  <c:v>2016</c:v>
                </c:pt>
                <c:pt idx="3">
                  <c:v>2017</c:v>
                </c:pt>
              </c:numCache>
            </c:numRef>
          </c:cat>
          <c:val>
            <c:numRef>
              <c:f>'Stanje 31_12_2019'!$B$2:$E$2</c:f>
              <c:numCache>
                <c:formatCode>0%</c:formatCode>
                <c:ptCount val="4"/>
                <c:pt idx="0">
                  <c:v>0.81</c:v>
                </c:pt>
                <c:pt idx="1">
                  <c:v>0.78</c:v>
                </c:pt>
                <c:pt idx="2">
                  <c:v>0.64</c:v>
                </c:pt>
                <c:pt idx="3">
                  <c:v>0.4</c:v>
                </c:pt>
              </c:numCache>
            </c:numRef>
          </c:val>
          <c:extLst>
            <c:ext xmlns:c16="http://schemas.microsoft.com/office/drawing/2014/chart" uri="{C3380CC4-5D6E-409C-BE32-E72D297353CC}">
              <c16:uniqueId val="{00000000-1BA5-448A-BA24-8C21A1ABCA15}"/>
            </c:ext>
          </c:extLst>
        </c:ser>
        <c:ser>
          <c:idx val="1"/>
          <c:order val="1"/>
          <c:tx>
            <c:strRef>
              <c:f>'Stanje 31_12_2019'!$A$3</c:f>
              <c:strCache>
                <c:ptCount val="1"/>
                <c:pt idx="0">
                  <c:v>Delno</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'Stanje 31_12_2019'!$B$1:$E$1</c:f>
              <c:numCache>
                <c:formatCode>General</c:formatCode>
                <c:ptCount val="4"/>
                <c:pt idx="0">
                  <c:v>2013</c:v>
                </c:pt>
                <c:pt idx="1">
                  <c:v>2015</c:v>
                </c:pt>
                <c:pt idx="2">
                  <c:v>2016</c:v>
                </c:pt>
                <c:pt idx="3">
                  <c:v>2017</c:v>
                </c:pt>
              </c:numCache>
            </c:numRef>
          </c:cat>
          <c:val>
            <c:numRef>
              <c:f>'Stanje 31_12_2019'!$B$3:$E$3</c:f>
              <c:numCache>
                <c:formatCode>0%</c:formatCode>
                <c:ptCount val="4"/>
                <c:pt idx="0">
                  <c:v>0.13</c:v>
                </c:pt>
                <c:pt idx="1">
                  <c:v>0.14000000000000001</c:v>
                </c:pt>
                <c:pt idx="2">
                  <c:v>0.18</c:v>
                </c:pt>
                <c:pt idx="3">
                  <c:v>0.28999999999999998</c:v>
                </c:pt>
              </c:numCache>
            </c:numRef>
          </c:val>
          <c:extLst>
            <c:ext xmlns:c16="http://schemas.microsoft.com/office/drawing/2014/chart" uri="{C3380CC4-5D6E-409C-BE32-E72D297353CC}">
              <c16:uniqueId val="{00000001-1BA5-448A-BA24-8C21A1ABCA15}"/>
            </c:ext>
          </c:extLst>
        </c:ser>
        <c:ser>
          <c:idx val="2"/>
          <c:order val="2"/>
          <c:tx>
            <c:strRef>
              <c:f>'Stanje 31_12_2019'!$A$4</c:f>
              <c:strCache>
                <c:ptCount val="1"/>
                <c:pt idx="0">
                  <c:v>Ne</c:v>
                </c:pt>
              </c:strCache>
            </c:strRef>
          </c:tx>
          <c:spPr>
            <a:solidFill>
              <a:srgbClr val="FF0000"/>
            </a:solidFill>
            <a:ln>
              <a:noFill/>
            </a:ln>
            <a:effectLst/>
          </c:spPr>
          <c:invertIfNegative val="0"/>
          <c:dLbls>
            <c:dLbl>
              <c:idx val="0"/>
              <c:layout>
                <c:manualLayout>
                  <c:x val="-4.2000278459447396E-17"/>
                  <c:y val="5.660964793193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35-42F8-9011-C617ECE861DC}"/>
                </c:ext>
              </c:extLst>
            </c:dLbl>
            <c:dLbl>
              <c:idx val="1"/>
              <c:layout>
                <c:manualLayout>
                  <c:x val="0"/>
                  <c:y val="6.14308987238664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35-42F8-9011-C617ECE861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'Stanje 31_12_2019'!$B$1:$E$1</c:f>
              <c:numCache>
                <c:formatCode>General</c:formatCode>
                <c:ptCount val="4"/>
                <c:pt idx="0">
                  <c:v>2013</c:v>
                </c:pt>
                <c:pt idx="1">
                  <c:v>2015</c:v>
                </c:pt>
                <c:pt idx="2">
                  <c:v>2016</c:v>
                </c:pt>
                <c:pt idx="3">
                  <c:v>2017</c:v>
                </c:pt>
              </c:numCache>
            </c:numRef>
          </c:cat>
          <c:val>
            <c:numRef>
              <c:f>'Stanje 31_12_2019'!$B$4:$E$4</c:f>
              <c:numCache>
                <c:formatCode>0%</c:formatCode>
                <c:ptCount val="4"/>
                <c:pt idx="0">
                  <c:v>0.06</c:v>
                </c:pt>
                <c:pt idx="1">
                  <c:v>0.08</c:v>
                </c:pt>
                <c:pt idx="2">
                  <c:v>0.18</c:v>
                </c:pt>
                <c:pt idx="3">
                  <c:v>0.31</c:v>
                </c:pt>
              </c:numCache>
            </c:numRef>
          </c:val>
          <c:extLst>
            <c:ext xmlns:c16="http://schemas.microsoft.com/office/drawing/2014/chart" uri="{C3380CC4-5D6E-409C-BE32-E72D297353CC}">
              <c16:uniqueId val="{00000002-1BA5-448A-BA24-8C21A1ABCA15}"/>
            </c:ext>
          </c:extLst>
        </c:ser>
        <c:dLbls>
          <c:showLegendKey val="0"/>
          <c:showVal val="0"/>
          <c:showCatName val="0"/>
          <c:showSerName val="0"/>
          <c:showPercent val="0"/>
          <c:showBubbleSize val="0"/>
        </c:dLbls>
        <c:gapWidth val="219"/>
        <c:overlap val="-27"/>
        <c:axId val="420159888"/>
        <c:axId val="420161064"/>
      </c:barChart>
      <c:catAx>
        <c:axId val="42015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0161064"/>
        <c:crosses val="autoZero"/>
        <c:auto val="1"/>
        <c:lblAlgn val="ctr"/>
        <c:lblOffset val="100"/>
        <c:noMultiLvlLbl val="0"/>
      </c:catAx>
      <c:valAx>
        <c:axId val="420161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0159888"/>
        <c:crosses val="autoZero"/>
        <c:crossBetween val="between"/>
      </c:valAx>
      <c:spPr>
        <a:noFill/>
        <a:ln>
          <a:noFill/>
        </a:ln>
        <a:effectLst/>
      </c:spPr>
    </c:plotArea>
    <c:legend>
      <c:legendPos val="b"/>
      <c:layout>
        <c:manualLayout>
          <c:xMode val="edge"/>
          <c:yMode val="edge"/>
          <c:x val="0.31376410422923939"/>
          <c:y val="0.91235586930943979"/>
          <c:w val="0.30832517069386939"/>
          <c:h val="6.46556249434337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50" b="1">
                <a:solidFill>
                  <a:sysClr val="windowText" lastClr="000000"/>
                </a:solidFill>
                <a:latin typeface="Arial" panose="020B0604020202020204" pitchFamily="34" charset="0"/>
                <a:cs typeface="Arial" panose="020B0604020202020204" pitchFamily="34" charset="0"/>
              </a:rPr>
              <a:t>Uskladitev</a:t>
            </a:r>
            <a:r>
              <a:rPr lang="sl-SI" sz="1050" b="1" baseline="0">
                <a:solidFill>
                  <a:sysClr val="windowText" lastClr="000000"/>
                </a:solidFill>
                <a:latin typeface="Arial" panose="020B0604020202020204" pitchFamily="34" charset="0"/>
                <a:cs typeface="Arial" panose="020B0604020202020204" pitchFamily="34" charset="0"/>
              </a:rPr>
              <a:t> občinskih splošnih aktov </a:t>
            </a:r>
          </a:p>
          <a:p>
            <a:pPr>
              <a:defRPr/>
            </a:pPr>
            <a:r>
              <a:rPr lang="sl-SI" sz="1050" b="1" baseline="0">
                <a:solidFill>
                  <a:sysClr val="windowText" lastClr="000000"/>
                </a:solidFill>
                <a:latin typeface="Arial" panose="020B0604020202020204" pitchFamily="34" charset="0"/>
                <a:cs typeface="Arial" panose="020B0604020202020204" pitchFamily="34" charset="0"/>
              </a:rPr>
              <a:t>z opozorili MJU od leta 2013 - 2020</a:t>
            </a:r>
            <a:endParaRPr lang="sl-SI" sz="105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'Stanje 31_8_2020'!$A$2</c:f>
              <c:strCache>
                <c:ptCount val="1"/>
                <c:pt idx="0">
                  <c:v>V celoti</c:v>
                </c:pt>
              </c:strCache>
            </c:strRef>
          </c:tx>
          <c:spPr>
            <a:solidFill>
              <a:schemeClr val="accent6">
                <a:lumMod val="75000"/>
              </a:schemeClr>
            </a:solidFill>
            <a:ln>
              <a:noFill/>
            </a:ln>
            <a:effectLst/>
          </c:spPr>
          <c:invertIfNegative val="0"/>
          <c:dLbls>
            <c:dLbl>
              <c:idx val="0"/>
              <c:layout>
                <c:manualLayout>
                  <c:x val="-2.0645407148140529E-17"/>
                  <c:y val="8.3660142200283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15-4E78-83F7-89BB0E9D2DEA}"/>
                </c:ext>
              </c:extLst>
            </c:dLbl>
            <c:dLbl>
              <c:idx val="1"/>
              <c:layout>
                <c:manualLayout>
                  <c:x val="0"/>
                  <c:y val="8.7145981458628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15-4E78-83F7-89BB0E9D2DEA}"/>
                </c:ext>
              </c:extLst>
            </c:dLbl>
            <c:dLbl>
              <c:idx val="2"/>
              <c:layout>
                <c:manualLayout>
                  <c:x val="0"/>
                  <c:y val="6.2745106650212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15-4E78-83F7-89BB0E9D2DEA}"/>
                </c:ext>
              </c:extLst>
            </c:dLbl>
            <c:dLbl>
              <c:idx val="3"/>
              <c:layout>
                <c:manualLayout>
                  <c:x val="0"/>
                  <c:y val="6.6230945908557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15-4E78-83F7-89BB0E9D2D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'Stanje 31_8_2020'!$B$1:$E$1</c:f>
              <c:numCache>
                <c:formatCode>General</c:formatCode>
                <c:ptCount val="4"/>
                <c:pt idx="0">
                  <c:v>2013</c:v>
                </c:pt>
                <c:pt idx="1">
                  <c:v>2015</c:v>
                </c:pt>
                <c:pt idx="2">
                  <c:v>2016</c:v>
                </c:pt>
                <c:pt idx="3">
                  <c:v>2017</c:v>
                </c:pt>
              </c:numCache>
            </c:numRef>
          </c:cat>
          <c:val>
            <c:numRef>
              <c:f>'Stanje 31_8_2020'!$B$2:$E$2</c:f>
              <c:numCache>
                <c:formatCode>0%</c:formatCode>
                <c:ptCount val="4"/>
                <c:pt idx="0">
                  <c:v>0.85</c:v>
                </c:pt>
                <c:pt idx="1">
                  <c:v>0.86</c:v>
                </c:pt>
                <c:pt idx="2">
                  <c:v>0.69</c:v>
                </c:pt>
                <c:pt idx="3">
                  <c:v>0.54</c:v>
                </c:pt>
              </c:numCache>
            </c:numRef>
          </c:val>
          <c:extLst>
            <c:ext xmlns:c16="http://schemas.microsoft.com/office/drawing/2014/chart" uri="{C3380CC4-5D6E-409C-BE32-E72D297353CC}">
              <c16:uniqueId val="{00000004-9E15-4E78-83F7-89BB0E9D2DEA}"/>
            </c:ext>
          </c:extLst>
        </c:ser>
        <c:ser>
          <c:idx val="1"/>
          <c:order val="1"/>
          <c:tx>
            <c:strRef>
              <c:f>'Stanje 31_8_2020'!$A$3</c:f>
              <c:strCache>
                <c:ptCount val="1"/>
                <c:pt idx="0">
                  <c:v>Delno</c:v>
                </c:pt>
              </c:strCache>
            </c:strRef>
          </c:tx>
          <c:spPr>
            <a:solidFill>
              <a:srgbClr val="FFC000"/>
            </a:solidFill>
            <a:ln>
              <a:noFill/>
            </a:ln>
            <a:effectLst/>
          </c:spPr>
          <c:invertIfNegative val="0"/>
          <c:dLbls>
            <c:dLbl>
              <c:idx val="0"/>
              <c:layout>
                <c:manualLayout>
                  <c:x val="0"/>
                  <c:y val="5.8309037900874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15-4E78-83F7-89BB0E9D2DEA}"/>
                </c:ext>
              </c:extLst>
            </c:dLbl>
            <c:dLbl>
              <c:idx val="1"/>
              <c:layout>
                <c:manualLayout>
                  <c:x val="0"/>
                  <c:y val="5.4421768707482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15-4E78-83F7-89BB0E9D2DEA}"/>
                </c:ext>
              </c:extLst>
            </c:dLbl>
            <c:dLbl>
              <c:idx val="2"/>
              <c:layout>
                <c:manualLayout>
                  <c:x val="0"/>
                  <c:y val="5.8309037900874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15-4E78-83F7-89BB0E9D2DEA}"/>
                </c:ext>
              </c:extLst>
            </c:dLbl>
            <c:dLbl>
              <c:idx val="3"/>
              <c:layout>
                <c:manualLayout>
                  <c:x val="0"/>
                  <c:y val="6.9970845481049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15-4E78-83F7-89BB0E9D2D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'Stanje 31_8_2020'!$B$1:$E$1</c:f>
              <c:numCache>
                <c:formatCode>General</c:formatCode>
                <c:ptCount val="4"/>
                <c:pt idx="0">
                  <c:v>2013</c:v>
                </c:pt>
                <c:pt idx="1">
                  <c:v>2015</c:v>
                </c:pt>
                <c:pt idx="2">
                  <c:v>2016</c:v>
                </c:pt>
                <c:pt idx="3">
                  <c:v>2017</c:v>
                </c:pt>
              </c:numCache>
            </c:numRef>
          </c:cat>
          <c:val>
            <c:numRef>
              <c:f>'Stanje 31_8_2020'!$B$3:$E$3</c:f>
              <c:numCache>
                <c:formatCode>0%</c:formatCode>
                <c:ptCount val="4"/>
                <c:pt idx="0">
                  <c:v>0.09</c:v>
                </c:pt>
                <c:pt idx="1">
                  <c:v>0.08</c:v>
                </c:pt>
                <c:pt idx="2">
                  <c:v>0.22</c:v>
                </c:pt>
                <c:pt idx="3">
                  <c:v>0.3</c:v>
                </c:pt>
              </c:numCache>
            </c:numRef>
          </c:val>
          <c:extLst>
            <c:ext xmlns:c16="http://schemas.microsoft.com/office/drawing/2014/chart" uri="{C3380CC4-5D6E-409C-BE32-E72D297353CC}">
              <c16:uniqueId val="{00000009-9E15-4E78-83F7-89BB0E9D2DEA}"/>
            </c:ext>
          </c:extLst>
        </c:ser>
        <c:ser>
          <c:idx val="2"/>
          <c:order val="2"/>
          <c:tx>
            <c:strRef>
              <c:f>'Stanje 31_8_2020'!$A$4</c:f>
              <c:strCache>
                <c:ptCount val="1"/>
                <c:pt idx="0">
                  <c:v>Ne </c:v>
                </c:pt>
              </c:strCache>
            </c:strRef>
          </c:tx>
          <c:spPr>
            <a:solidFill>
              <a:srgbClr val="FF0000"/>
            </a:solidFill>
            <a:ln>
              <a:noFill/>
            </a:ln>
            <a:effectLst/>
          </c:spPr>
          <c:invertIfNegative val="0"/>
          <c:dLbls>
            <c:dLbl>
              <c:idx val="0"/>
              <c:layout>
                <c:manualLayout>
                  <c:x val="-4.1290814296281058E-17"/>
                  <c:y val="5.8309037900874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15-4E78-83F7-89BB0E9D2DEA}"/>
                </c:ext>
              </c:extLst>
            </c:dLbl>
            <c:dLbl>
              <c:idx val="1"/>
              <c:layout>
                <c:manualLayout>
                  <c:x val="0"/>
                  <c:y val="5.8309037900874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15-4E78-83F7-89BB0E9D2DEA}"/>
                </c:ext>
              </c:extLst>
            </c:dLbl>
            <c:dLbl>
              <c:idx val="2"/>
              <c:layout>
                <c:manualLayout>
                  <c:x val="8.2581628592562116E-17"/>
                  <c:y val="6.6083576287657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E15-4E78-83F7-89BB0E9D2DEA}"/>
                </c:ext>
              </c:extLst>
            </c:dLbl>
            <c:dLbl>
              <c:idx val="3"/>
              <c:layout>
                <c:manualLayout>
                  <c:x val="0"/>
                  <c:y val="6.6083576287657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15-4E78-83F7-89BB0E9D2D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'Stanje 31_8_2020'!$B$1:$E$1</c:f>
              <c:numCache>
                <c:formatCode>General</c:formatCode>
                <c:ptCount val="4"/>
                <c:pt idx="0">
                  <c:v>2013</c:v>
                </c:pt>
                <c:pt idx="1">
                  <c:v>2015</c:v>
                </c:pt>
                <c:pt idx="2">
                  <c:v>2016</c:v>
                </c:pt>
                <c:pt idx="3">
                  <c:v>2017</c:v>
                </c:pt>
              </c:numCache>
            </c:numRef>
          </c:cat>
          <c:val>
            <c:numRef>
              <c:f>'Stanje 31_8_2020'!$B$4:$E$4</c:f>
              <c:numCache>
                <c:formatCode>0%</c:formatCode>
                <c:ptCount val="4"/>
                <c:pt idx="0">
                  <c:v>0.06</c:v>
                </c:pt>
                <c:pt idx="1">
                  <c:v>0.06</c:v>
                </c:pt>
                <c:pt idx="2">
                  <c:v>0.09</c:v>
                </c:pt>
                <c:pt idx="3">
                  <c:v>0.16</c:v>
                </c:pt>
              </c:numCache>
            </c:numRef>
          </c:val>
          <c:extLst>
            <c:ext xmlns:c16="http://schemas.microsoft.com/office/drawing/2014/chart" uri="{C3380CC4-5D6E-409C-BE32-E72D297353CC}">
              <c16:uniqueId val="{0000000E-9E15-4E78-83F7-89BB0E9D2DEA}"/>
            </c:ext>
          </c:extLst>
        </c:ser>
        <c:dLbls>
          <c:showLegendKey val="0"/>
          <c:showVal val="0"/>
          <c:showCatName val="0"/>
          <c:showSerName val="0"/>
          <c:showPercent val="0"/>
          <c:showBubbleSize val="0"/>
        </c:dLbls>
        <c:gapWidth val="219"/>
        <c:overlap val="-27"/>
        <c:axId val="420160280"/>
        <c:axId val="420159104"/>
      </c:barChart>
      <c:catAx>
        <c:axId val="420160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0159104"/>
        <c:crosses val="autoZero"/>
        <c:auto val="1"/>
        <c:lblAlgn val="ctr"/>
        <c:lblOffset val="100"/>
        <c:noMultiLvlLbl val="0"/>
      </c:catAx>
      <c:valAx>
        <c:axId val="420159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0160280"/>
        <c:crosses val="autoZero"/>
        <c:crossBetween val="between"/>
      </c:valAx>
      <c:spPr>
        <a:noFill/>
        <a:ln>
          <a:noFill/>
        </a:ln>
        <a:effectLst/>
      </c:spPr>
    </c:plotArea>
    <c:legend>
      <c:legendPos val="b"/>
      <c:layout>
        <c:manualLayout>
          <c:xMode val="edge"/>
          <c:yMode val="edge"/>
          <c:x val="0.32542118890544086"/>
          <c:y val="0.91107825807488352"/>
          <c:w val="0.29735582038731645"/>
          <c:h val="6.55981267647666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50" b="1">
                <a:solidFill>
                  <a:sysClr val="windowText" lastClr="000000"/>
                </a:solidFill>
                <a:latin typeface="Arial" panose="020B0604020202020204" pitchFamily="34" charset="0"/>
                <a:cs typeface="Arial" panose="020B0604020202020204" pitchFamily="34" charset="0"/>
              </a:rPr>
              <a:t>Uskladitev</a:t>
            </a:r>
            <a:r>
              <a:rPr lang="sl-SI" sz="1050" b="1" baseline="0">
                <a:solidFill>
                  <a:sysClr val="windowText" lastClr="000000"/>
                </a:solidFill>
                <a:latin typeface="Arial" panose="020B0604020202020204" pitchFamily="34" charset="0"/>
                <a:cs typeface="Arial" panose="020B0604020202020204" pitchFamily="34" charset="0"/>
              </a:rPr>
              <a:t> vseh občinskih splošnih aktov </a:t>
            </a:r>
          </a:p>
          <a:p>
            <a:pPr>
              <a:defRPr/>
            </a:pPr>
            <a:r>
              <a:rPr lang="sl-SI" sz="1050" b="1" baseline="0">
                <a:solidFill>
                  <a:sysClr val="windowText" lastClr="000000"/>
                </a:solidFill>
                <a:latin typeface="Arial" panose="020B0604020202020204" pitchFamily="34" charset="0"/>
                <a:cs typeface="Arial" panose="020B0604020202020204" pitchFamily="34" charset="0"/>
              </a:rPr>
              <a:t>po številu občin</a:t>
            </a:r>
            <a:endParaRPr lang="sl-SI" sz="105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3.3333333333333333E-2"/>
          <c:y val="0.20541820217927603"/>
          <c:w val="0.93888888888888888"/>
          <c:h val="0.6714577865266842"/>
        </c:manualLayout>
      </c:layout>
      <c:pieChart>
        <c:varyColors val="1"/>
        <c:ser>
          <c:idx val="0"/>
          <c:order val="0"/>
          <c:spPr>
            <a:solidFill>
              <a:srgbClr val="00A249"/>
            </a:solidFill>
          </c:spPr>
          <c:dPt>
            <c:idx val="0"/>
            <c:bubble3D val="0"/>
            <c:spPr>
              <a:solidFill>
                <a:srgbClr val="00A249"/>
              </a:solidFill>
              <a:ln w="19050">
                <a:solidFill>
                  <a:schemeClr val="lt1"/>
                </a:solidFill>
              </a:ln>
              <a:effectLst/>
            </c:spPr>
            <c:extLst>
              <c:ext xmlns:c16="http://schemas.microsoft.com/office/drawing/2014/chart" uri="{C3380CC4-5D6E-409C-BE32-E72D297353CC}">
                <c16:uniqueId val="{00000001-4277-4ECD-A8AA-695D82BD2226}"/>
              </c:ext>
            </c:extLst>
          </c:dPt>
          <c:dPt>
            <c:idx val="1"/>
            <c:bubble3D val="0"/>
            <c:explosion val="11"/>
            <c:spPr>
              <a:solidFill>
                <a:srgbClr val="FFC000"/>
              </a:solidFill>
              <a:ln w="19050">
                <a:solidFill>
                  <a:schemeClr val="lt1"/>
                </a:solidFill>
              </a:ln>
              <a:effectLst/>
            </c:spPr>
            <c:extLst>
              <c:ext xmlns:c16="http://schemas.microsoft.com/office/drawing/2014/chart" uri="{C3380CC4-5D6E-409C-BE32-E72D297353CC}">
                <c16:uniqueId val="{00000003-4277-4ECD-A8AA-695D82BD2226}"/>
              </c:ext>
            </c:extLst>
          </c:dPt>
          <c:dPt>
            <c:idx val="2"/>
            <c:bubble3D val="0"/>
            <c:explosion val="13"/>
            <c:spPr>
              <a:solidFill>
                <a:srgbClr val="FF0000"/>
              </a:solidFill>
              <a:ln w="19050">
                <a:solidFill>
                  <a:schemeClr val="lt1"/>
                </a:solidFill>
              </a:ln>
              <a:effectLst/>
            </c:spPr>
            <c:extLst>
              <c:ext xmlns:c16="http://schemas.microsoft.com/office/drawing/2014/chart" uri="{C3380CC4-5D6E-409C-BE32-E72D297353CC}">
                <c16:uniqueId val="{00000005-4277-4ECD-A8AA-695D82BD2226}"/>
              </c:ext>
            </c:extLst>
          </c:dPt>
          <c:dLbls>
            <c:dLbl>
              <c:idx val="0"/>
              <c:layout>
                <c:manualLayout>
                  <c:x val="-0.18164238963800411"/>
                  <c:y val="-0.2196552669722255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44A94DE6-45B3-4B89-B267-350341EC5019}" type="VALUE">
                      <a:rPr lang="en-US">
                        <a:solidFill>
                          <a:schemeClr val="bg1"/>
                        </a:solidFill>
                      </a:rPr>
                      <a:pPr>
                        <a:defRPr/>
                      </a:pPr>
                      <a:t>[VREDNOST]</a:t>
                    </a:fld>
                    <a:endParaRPr lang="sl-SI"/>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0.15466666666666667"/>
                      <c:h val="0.14720413679633326"/>
                    </c:manualLayout>
                  </c15:layout>
                  <c15:dlblFieldTable/>
                  <c15:showDataLabelsRange val="0"/>
                </c:ext>
                <c:ext xmlns:c16="http://schemas.microsoft.com/office/drawing/2014/chart" uri="{C3380CC4-5D6E-409C-BE32-E72D297353CC}">
                  <c16:uniqueId val="{00000001-4277-4ECD-A8AA-695D82BD2226}"/>
                </c:ext>
              </c:extLst>
            </c:dLbl>
            <c:dLbl>
              <c:idx val="1"/>
              <c:layout>
                <c:manualLayout>
                  <c:x val="0.11068777795180661"/>
                  <c:y val="5.245003329807647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7.2555555555555554E-2"/>
                      <c:h val="8.3522544756532285E-2"/>
                    </c:manualLayout>
                  </c15:layout>
                </c:ext>
                <c:ext xmlns:c16="http://schemas.microsoft.com/office/drawing/2014/chart" uri="{C3380CC4-5D6E-409C-BE32-E72D297353CC}">
                  <c16:uniqueId val="{00000003-4277-4ECD-A8AA-695D82BD2226}"/>
                </c:ext>
              </c:extLst>
            </c:dLbl>
            <c:dLbl>
              <c:idx val="2"/>
              <c:layout>
                <c:manualLayout>
                  <c:x val="3.971389652242837E-2"/>
                  <c:y val="0.1272563168409919"/>
                </c:manualLayout>
              </c:layout>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4277-4ECD-A8AA-695D82BD22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'[Grafikon v programu Microsoft Word]Stanje vseh občin 31_8_2020'!$A$2:$A$4</c:f>
              <c:strCache>
                <c:ptCount val="3"/>
                <c:pt idx="0">
                  <c:v>V celoti</c:v>
                </c:pt>
                <c:pt idx="1">
                  <c:v>Delno</c:v>
                </c:pt>
                <c:pt idx="2">
                  <c:v>Ne</c:v>
                </c:pt>
              </c:strCache>
            </c:strRef>
          </c:cat>
          <c:val>
            <c:numRef>
              <c:f>'[Grafikon v programu Microsoft Word]Stanje vseh občin 31_8_2020'!$B$2:$B$4</c:f>
              <c:numCache>
                <c:formatCode>General</c:formatCode>
                <c:ptCount val="3"/>
                <c:pt idx="0">
                  <c:v>152</c:v>
                </c:pt>
                <c:pt idx="1">
                  <c:v>39</c:v>
                </c:pt>
                <c:pt idx="2">
                  <c:v>21</c:v>
                </c:pt>
              </c:numCache>
            </c:numRef>
          </c:val>
          <c:extLst>
            <c:ext xmlns:c16="http://schemas.microsoft.com/office/drawing/2014/chart" uri="{C3380CC4-5D6E-409C-BE32-E72D297353CC}">
              <c16:uniqueId val="{00000006-4277-4ECD-A8AA-695D82BD222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0399756992401261"/>
          <c:y val="0.9089547537901046"/>
          <c:w val="0.37753812419017246"/>
          <c:h val="6.71646491949700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D429D4-099D-4AB3-AE3B-424AE654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3505</Words>
  <Characters>19979</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Drugo poročilo ministrstva za javno upravo o opravljenih strokovnih nadzorih občinskih splošnih aktov</vt:lpstr>
    </vt:vector>
  </TitlesOfParts>
  <Company>MJU</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Drugo poročilo ministrstva za javno upravo o opravljenih strokovnih nadzorih občinskih splošnih aktov</dc:title>
  <dc:subject/>
  <dc:creator>Roman Lavtar</dc:creator>
  <cp:keywords/>
  <dc:description/>
  <cp:lastModifiedBy>Olga Golub</cp:lastModifiedBy>
  <cp:revision>7</cp:revision>
  <cp:lastPrinted>2020-07-17T10:41:00Z</cp:lastPrinted>
  <dcterms:created xsi:type="dcterms:W3CDTF">2020-11-20T10:56:00Z</dcterms:created>
  <dcterms:modified xsi:type="dcterms:W3CDTF">2020-11-20T13:51:00Z</dcterms:modified>
</cp:coreProperties>
</file>