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E4B" w:rsidRPr="00EF6F28" w:rsidRDefault="007C4E4B" w:rsidP="007C4E4B">
      <w:pPr>
        <w:spacing w:line="240" w:lineRule="auto"/>
        <w:rPr>
          <w:rFonts w:cs="Arial"/>
          <w:szCs w:val="20"/>
          <w:lang w:val="sl-SI"/>
        </w:rPr>
      </w:pPr>
    </w:p>
    <w:p w:rsidR="007C4E4B" w:rsidRDefault="007C4E4B" w:rsidP="007C4E4B">
      <w:pPr>
        <w:spacing w:line="240" w:lineRule="auto"/>
        <w:rPr>
          <w:rFonts w:cs="Arial"/>
          <w:b/>
          <w:sz w:val="24"/>
          <w:lang w:val="sl-SI"/>
        </w:rPr>
      </w:pPr>
    </w:p>
    <w:p w:rsidR="007C4E4B" w:rsidRPr="00EF6F28" w:rsidRDefault="007C4E4B" w:rsidP="007C4E4B">
      <w:pPr>
        <w:spacing w:line="240" w:lineRule="auto"/>
        <w:rPr>
          <w:rFonts w:cs="Arial"/>
          <w:b/>
          <w:sz w:val="24"/>
          <w:lang w:val="sl-SI"/>
        </w:rPr>
      </w:pPr>
      <w:r w:rsidRPr="00EF6F28">
        <w:rPr>
          <w:rFonts w:cs="Arial"/>
          <w:b/>
          <w:sz w:val="24"/>
          <w:lang w:val="sl-SI"/>
        </w:rPr>
        <w:t xml:space="preserve">Poročilo o izvedbi </w:t>
      </w:r>
      <w:r>
        <w:rPr>
          <w:rFonts w:cs="Arial"/>
          <w:b/>
          <w:sz w:val="24"/>
          <w:lang w:val="sl-SI"/>
        </w:rPr>
        <w:t>prvega rednega postopka</w:t>
      </w:r>
      <w:r w:rsidRPr="00EF6F28">
        <w:rPr>
          <w:rFonts w:cs="Arial"/>
          <w:b/>
          <w:sz w:val="24"/>
          <w:lang w:val="sl-SI"/>
        </w:rPr>
        <w:t xml:space="preserve"> CAF EPI </w:t>
      </w:r>
      <w:r>
        <w:rPr>
          <w:rFonts w:cs="Arial"/>
          <w:b/>
          <w:sz w:val="24"/>
          <w:lang w:val="sl-SI"/>
        </w:rPr>
        <w:t>2019</w:t>
      </w:r>
    </w:p>
    <w:p w:rsidR="007C4E4B" w:rsidRPr="00EF6F28" w:rsidRDefault="007C4E4B" w:rsidP="007C4E4B">
      <w:pPr>
        <w:spacing w:line="240" w:lineRule="auto"/>
        <w:rPr>
          <w:rFonts w:cs="Arial"/>
          <w:b/>
          <w:szCs w:val="20"/>
          <w:lang w:val="sl-SI"/>
        </w:rPr>
      </w:pPr>
    </w:p>
    <w:p w:rsidR="007C4E4B" w:rsidRPr="00EF6F28" w:rsidRDefault="007C4E4B" w:rsidP="007C4E4B">
      <w:pPr>
        <w:spacing w:line="240" w:lineRule="auto"/>
        <w:rPr>
          <w:rFonts w:cs="Arial"/>
          <w:szCs w:val="20"/>
          <w:lang w:val="sl-SI" w:eastAsia="sl-SI"/>
        </w:rPr>
      </w:pPr>
    </w:p>
    <w:tbl>
      <w:tblPr>
        <w:tblStyle w:val="Tabelamrea"/>
        <w:tblW w:w="0" w:type="auto"/>
        <w:tblLook w:val="04A0" w:firstRow="1" w:lastRow="0" w:firstColumn="1" w:lastColumn="0" w:noHBand="0" w:noVBand="1"/>
      </w:tblPr>
      <w:tblGrid>
        <w:gridCol w:w="1838"/>
        <w:gridCol w:w="6650"/>
      </w:tblGrid>
      <w:tr w:rsidR="007C4E4B" w:rsidRPr="002578B7" w:rsidTr="00CA05F5">
        <w:tc>
          <w:tcPr>
            <w:tcW w:w="1838" w:type="dxa"/>
          </w:tcPr>
          <w:p w:rsidR="007C4E4B" w:rsidRPr="00EF6F28" w:rsidRDefault="007C4E4B" w:rsidP="00CA05F5">
            <w:pPr>
              <w:spacing w:line="240" w:lineRule="auto"/>
              <w:rPr>
                <w:rFonts w:cs="Arial"/>
                <w:szCs w:val="20"/>
                <w:lang w:val="sl-SI"/>
              </w:rPr>
            </w:pPr>
            <w:r>
              <w:rPr>
                <w:rFonts w:cs="Arial"/>
                <w:szCs w:val="20"/>
                <w:lang w:val="sl-SI"/>
              </w:rPr>
              <w:t>Redni postopek</w:t>
            </w:r>
            <w:r w:rsidRPr="00EF6F28">
              <w:rPr>
                <w:rFonts w:cs="Arial"/>
                <w:szCs w:val="20"/>
                <w:lang w:val="sl-SI"/>
              </w:rPr>
              <w:t xml:space="preserve">: </w:t>
            </w:r>
          </w:p>
        </w:tc>
        <w:tc>
          <w:tcPr>
            <w:tcW w:w="6650" w:type="dxa"/>
          </w:tcPr>
          <w:p w:rsidR="007C4E4B" w:rsidRPr="00EF6F28" w:rsidRDefault="007C4E4B" w:rsidP="00CA05F5">
            <w:pPr>
              <w:spacing w:line="240" w:lineRule="auto"/>
              <w:rPr>
                <w:rFonts w:cs="Arial"/>
                <w:b/>
                <w:szCs w:val="20"/>
                <w:lang w:val="sl-SI"/>
              </w:rPr>
            </w:pPr>
            <w:r>
              <w:rPr>
                <w:rFonts w:cs="Arial"/>
                <w:b/>
                <w:szCs w:val="20"/>
                <w:lang w:val="sl-SI"/>
              </w:rPr>
              <w:t>CAF EPI 2019</w:t>
            </w:r>
          </w:p>
        </w:tc>
      </w:tr>
      <w:tr w:rsidR="007C4E4B" w:rsidRPr="00EF6F28" w:rsidTr="00CA05F5">
        <w:tc>
          <w:tcPr>
            <w:tcW w:w="1838" w:type="dxa"/>
          </w:tcPr>
          <w:p w:rsidR="007C4E4B" w:rsidRPr="00EF6F28" w:rsidRDefault="007C4E4B" w:rsidP="00CA05F5">
            <w:pPr>
              <w:spacing w:line="240" w:lineRule="auto"/>
              <w:rPr>
                <w:rFonts w:cs="Arial"/>
                <w:szCs w:val="20"/>
                <w:lang w:val="sl-SI"/>
              </w:rPr>
            </w:pPr>
            <w:r w:rsidRPr="00EF6F28">
              <w:rPr>
                <w:rFonts w:cs="Arial"/>
                <w:szCs w:val="20"/>
                <w:lang w:val="sl-SI"/>
              </w:rPr>
              <w:t xml:space="preserve">Projekt: </w:t>
            </w:r>
          </w:p>
        </w:tc>
        <w:tc>
          <w:tcPr>
            <w:tcW w:w="6650" w:type="dxa"/>
          </w:tcPr>
          <w:p w:rsidR="007C4E4B" w:rsidRPr="00EF6F28" w:rsidRDefault="007C4E4B" w:rsidP="00CA05F5">
            <w:pPr>
              <w:spacing w:line="240" w:lineRule="auto"/>
              <w:rPr>
                <w:rFonts w:cs="Arial"/>
                <w:szCs w:val="20"/>
                <w:lang w:val="sl-SI"/>
              </w:rPr>
            </w:pPr>
            <w:r w:rsidRPr="00EF6F28">
              <w:rPr>
                <w:rFonts w:cs="Arial"/>
                <w:b/>
                <w:szCs w:val="20"/>
                <w:lang w:val="sl-SI"/>
              </w:rPr>
              <w:t>Uvajanje sistemov vodenja kakovosti v organe javne uprave</w:t>
            </w:r>
          </w:p>
        </w:tc>
      </w:tr>
      <w:tr w:rsidR="007C4E4B" w:rsidRPr="00EF6F28" w:rsidTr="00CA05F5">
        <w:tc>
          <w:tcPr>
            <w:tcW w:w="1838" w:type="dxa"/>
          </w:tcPr>
          <w:p w:rsidR="007C4E4B" w:rsidRPr="00EF6F28" w:rsidRDefault="007C4E4B" w:rsidP="00CA05F5">
            <w:pPr>
              <w:spacing w:line="240" w:lineRule="auto"/>
              <w:rPr>
                <w:rFonts w:cs="Arial"/>
                <w:szCs w:val="20"/>
                <w:lang w:val="sl-SI"/>
              </w:rPr>
            </w:pPr>
            <w:r w:rsidRPr="00EF6F28">
              <w:rPr>
                <w:rFonts w:cs="Arial"/>
                <w:szCs w:val="20"/>
                <w:lang w:val="sl-SI"/>
              </w:rPr>
              <w:t xml:space="preserve">Povezava: </w:t>
            </w:r>
          </w:p>
        </w:tc>
        <w:tc>
          <w:tcPr>
            <w:tcW w:w="6650" w:type="dxa"/>
          </w:tcPr>
          <w:p w:rsidR="007C4E4B" w:rsidRPr="00EF6F28" w:rsidRDefault="007C4E4B" w:rsidP="00CA05F5">
            <w:pPr>
              <w:spacing w:line="240" w:lineRule="auto"/>
              <w:rPr>
                <w:rFonts w:cs="Arial"/>
                <w:szCs w:val="20"/>
                <w:lang w:val="sl-SI"/>
              </w:rPr>
            </w:pPr>
            <w:r w:rsidRPr="00EF6F28">
              <w:rPr>
                <w:rFonts w:cs="Arial"/>
                <w:b/>
                <w:szCs w:val="20"/>
                <w:lang w:val="sl-SI"/>
              </w:rPr>
              <w:t>Strategija razvoja javne uprave 2015 – 2020</w:t>
            </w:r>
          </w:p>
        </w:tc>
      </w:tr>
      <w:tr w:rsidR="007C4E4B" w:rsidRPr="00EF6F28" w:rsidTr="00CA05F5">
        <w:tc>
          <w:tcPr>
            <w:tcW w:w="1838" w:type="dxa"/>
          </w:tcPr>
          <w:p w:rsidR="007C4E4B" w:rsidRPr="00EF6F28" w:rsidRDefault="007C4E4B" w:rsidP="00CA05F5">
            <w:pPr>
              <w:spacing w:line="240" w:lineRule="auto"/>
              <w:rPr>
                <w:rFonts w:cs="Arial"/>
                <w:szCs w:val="20"/>
                <w:lang w:val="sl-SI"/>
              </w:rPr>
            </w:pPr>
            <w:r w:rsidRPr="00EF6F28">
              <w:rPr>
                <w:rFonts w:cs="Arial"/>
                <w:szCs w:val="20"/>
                <w:lang w:val="sl-SI"/>
              </w:rPr>
              <w:t xml:space="preserve">Trajanje projekta: </w:t>
            </w:r>
          </w:p>
        </w:tc>
        <w:tc>
          <w:tcPr>
            <w:tcW w:w="6650" w:type="dxa"/>
          </w:tcPr>
          <w:p w:rsidR="007C4E4B" w:rsidRPr="00EF6F28" w:rsidRDefault="007C4E4B" w:rsidP="00CA05F5">
            <w:pPr>
              <w:spacing w:line="240" w:lineRule="auto"/>
              <w:rPr>
                <w:rFonts w:cs="Arial"/>
                <w:szCs w:val="20"/>
                <w:lang w:val="sl-SI"/>
              </w:rPr>
            </w:pPr>
            <w:r w:rsidRPr="00EF6F28">
              <w:rPr>
                <w:rFonts w:cs="Arial"/>
                <w:b/>
                <w:szCs w:val="20"/>
                <w:lang w:val="sl-SI"/>
              </w:rPr>
              <w:t>2016 – 2022</w:t>
            </w:r>
          </w:p>
        </w:tc>
      </w:tr>
      <w:tr w:rsidR="007C4E4B" w:rsidRPr="007C4E4B" w:rsidTr="00CA05F5">
        <w:tc>
          <w:tcPr>
            <w:tcW w:w="1838" w:type="dxa"/>
          </w:tcPr>
          <w:p w:rsidR="007C4E4B" w:rsidRPr="00EF6F28" w:rsidRDefault="007C4E4B" w:rsidP="00CA05F5">
            <w:pPr>
              <w:spacing w:line="240" w:lineRule="auto"/>
              <w:rPr>
                <w:rFonts w:cs="Arial"/>
                <w:szCs w:val="20"/>
                <w:lang w:val="sl-SI"/>
              </w:rPr>
            </w:pPr>
            <w:r w:rsidRPr="00EF6F28">
              <w:rPr>
                <w:rFonts w:cs="Arial"/>
                <w:szCs w:val="20"/>
                <w:lang w:val="sl-SI"/>
              </w:rPr>
              <w:t xml:space="preserve">Izvajanje projekta: </w:t>
            </w:r>
          </w:p>
        </w:tc>
        <w:tc>
          <w:tcPr>
            <w:tcW w:w="6650" w:type="dxa"/>
          </w:tcPr>
          <w:p w:rsidR="007C4E4B" w:rsidRPr="00EF6F28" w:rsidRDefault="007C4E4B" w:rsidP="00CA05F5">
            <w:pPr>
              <w:spacing w:line="240" w:lineRule="auto"/>
              <w:rPr>
                <w:rFonts w:cs="Arial"/>
                <w:szCs w:val="20"/>
                <w:lang w:val="sl-SI"/>
              </w:rPr>
            </w:pPr>
            <w:r w:rsidRPr="00EF6F28">
              <w:rPr>
                <w:rFonts w:cs="Arial"/>
                <w:b/>
                <w:szCs w:val="20"/>
                <w:lang w:val="sl-SI"/>
              </w:rPr>
              <w:t xml:space="preserve">Ministrstvo za javno upravo, </w:t>
            </w:r>
            <w:r w:rsidRPr="00B719D1">
              <w:rPr>
                <w:rFonts w:cs="Arial"/>
                <w:b/>
                <w:szCs w:val="20"/>
                <w:lang w:val="sl-SI"/>
              </w:rPr>
              <w:t>Urad za razvoj, Sektor za kakovost</w:t>
            </w:r>
          </w:p>
        </w:tc>
      </w:tr>
      <w:tr w:rsidR="007C4E4B" w:rsidRPr="007C4E4B" w:rsidTr="00CA05F5">
        <w:tc>
          <w:tcPr>
            <w:tcW w:w="1838" w:type="dxa"/>
          </w:tcPr>
          <w:p w:rsidR="007C4E4B" w:rsidRPr="00EF6F28" w:rsidRDefault="007C4E4B" w:rsidP="00CA05F5">
            <w:pPr>
              <w:spacing w:line="240" w:lineRule="auto"/>
              <w:rPr>
                <w:rFonts w:cs="Arial"/>
                <w:szCs w:val="20"/>
                <w:lang w:val="sl-SI"/>
              </w:rPr>
            </w:pPr>
            <w:r w:rsidRPr="00EF6F28">
              <w:rPr>
                <w:rFonts w:cs="Arial"/>
                <w:szCs w:val="20"/>
                <w:lang w:val="sl-SI"/>
              </w:rPr>
              <w:t xml:space="preserve">Vodja projekta: </w:t>
            </w:r>
          </w:p>
        </w:tc>
        <w:tc>
          <w:tcPr>
            <w:tcW w:w="6650" w:type="dxa"/>
          </w:tcPr>
          <w:p w:rsidR="007C4E4B" w:rsidRPr="00EF6F28" w:rsidRDefault="007C4E4B" w:rsidP="00CA05F5">
            <w:pPr>
              <w:spacing w:line="240" w:lineRule="auto"/>
              <w:rPr>
                <w:rFonts w:cs="Arial"/>
                <w:szCs w:val="20"/>
                <w:lang w:val="sl-SI"/>
              </w:rPr>
            </w:pPr>
            <w:r w:rsidRPr="00EF6F28">
              <w:rPr>
                <w:rFonts w:cs="Arial"/>
                <w:b/>
                <w:szCs w:val="20"/>
                <w:lang w:val="sl-SI"/>
              </w:rPr>
              <w:t>Barbara Zupanc, vodja Sektorja za kakovost</w:t>
            </w:r>
          </w:p>
        </w:tc>
      </w:tr>
      <w:tr w:rsidR="007C4E4B" w:rsidRPr="007C4E4B" w:rsidTr="00CA05F5">
        <w:tc>
          <w:tcPr>
            <w:tcW w:w="1838" w:type="dxa"/>
          </w:tcPr>
          <w:p w:rsidR="007C4E4B" w:rsidRPr="00EF6F28" w:rsidRDefault="007C4E4B" w:rsidP="00CA05F5">
            <w:pPr>
              <w:spacing w:line="240" w:lineRule="auto"/>
              <w:rPr>
                <w:rFonts w:cs="Arial"/>
                <w:szCs w:val="20"/>
                <w:lang w:val="sl-SI"/>
              </w:rPr>
            </w:pPr>
            <w:r w:rsidRPr="00EF6F28">
              <w:rPr>
                <w:rFonts w:cs="Arial"/>
                <w:szCs w:val="20"/>
                <w:lang w:val="sl-SI"/>
              </w:rPr>
              <w:t xml:space="preserve">Sofinanciranje: </w:t>
            </w:r>
          </w:p>
        </w:tc>
        <w:tc>
          <w:tcPr>
            <w:tcW w:w="6650" w:type="dxa"/>
          </w:tcPr>
          <w:p w:rsidR="007C4E4B" w:rsidRPr="00EF6F28" w:rsidRDefault="007C4E4B" w:rsidP="00CA05F5">
            <w:pPr>
              <w:spacing w:line="240" w:lineRule="auto"/>
              <w:jc w:val="both"/>
              <w:rPr>
                <w:rFonts w:cs="Arial"/>
                <w:szCs w:val="20"/>
                <w:lang w:val="sl-SI"/>
              </w:rPr>
            </w:pPr>
            <w:r w:rsidRPr="00EF6F28">
              <w:rPr>
                <w:rFonts w:cs="Arial"/>
                <w:szCs w:val="20"/>
                <w:lang w:val="sl-SI"/>
              </w:rPr>
              <w:t>Republika Slovenija in Evropska unija iz Evropskega socialnega sklada, v okviru operacije POVEZLJIVOST, ODPRTOST, KAKOVOST (POK), aktivnost Ciljno vodenje, dvig učinkovitosti in kakovosti v javni upravi</w:t>
            </w:r>
          </w:p>
        </w:tc>
      </w:tr>
      <w:tr w:rsidR="007C4E4B" w:rsidRPr="00EF6F28" w:rsidTr="00CA05F5">
        <w:tc>
          <w:tcPr>
            <w:tcW w:w="1838" w:type="dxa"/>
          </w:tcPr>
          <w:p w:rsidR="007C4E4B" w:rsidRPr="00EF6F28" w:rsidRDefault="007C4E4B" w:rsidP="00CA05F5">
            <w:pPr>
              <w:spacing w:line="240" w:lineRule="auto"/>
              <w:rPr>
                <w:rFonts w:cs="Arial"/>
                <w:szCs w:val="20"/>
                <w:lang w:val="sl-SI"/>
              </w:rPr>
            </w:pPr>
            <w:r w:rsidRPr="00EF6F28">
              <w:rPr>
                <w:rFonts w:cs="Arial"/>
                <w:szCs w:val="20"/>
                <w:lang w:val="sl-SI"/>
              </w:rPr>
              <w:t xml:space="preserve">Datum poročila: </w:t>
            </w:r>
          </w:p>
        </w:tc>
        <w:tc>
          <w:tcPr>
            <w:tcW w:w="6650" w:type="dxa"/>
          </w:tcPr>
          <w:p w:rsidR="007C4E4B" w:rsidRPr="00EF6F28" w:rsidRDefault="007C4E4B" w:rsidP="00CA05F5">
            <w:pPr>
              <w:spacing w:line="240" w:lineRule="auto"/>
              <w:jc w:val="both"/>
              <w:rPr>
                <w:rFonts w:cs="Arial"/>
                <w:szCs w:val="20"/>
                <w:lang w:val="sl-SI"/>
              </w:rPr>
            </w:pPr>
            <w:r>
              <w:rPr>
                <w:rFonts w:cs="Arial"/>
                <w:szCs w:val="20"/>
                <w:lang w:val="sl-SI"/>
              </w:rPr>
              <w:t>September</w:t>
            </w:r>
            <w:r w:rsidRPr="00EF6F28">
              <w:rPr>
                <w:rFonts w:cs="Arial"/>
                <w:szCs w:val="20"/>
                <w:lang w:val="sl-SI"/>
              </w:rPr>
              <w:t xml:space="preserve"> 201</w:t>
            </w:r>
            <w:r>
              <w:rPr>
                <w:rFonts w:cs="Arial"/>
                <w:szCs w:val="20"/>
                <w:lang w:val="sl-SI"/>
              </w:rPr>
              <w:t>9</w:t>
            </w:r>
          </w:p>
        </w:tc>
      </w:tr>
    </w:tbl>
    <w:p w:rsidR="007C4E4B" w:rsidRPr="00EF6F28" w:rsidRDefault="007C4E4B" w:rsidP="007C4E4B">
      <w:pPr>
        <w:spacing w:line="240" w:lineRule="auto"/>
        <w:rPr>
          <w:rFonts w:cs="Arial"/>
          <w:szCs w:val="20"/>
          <w:lang w:val="sl-SI"/>
        </w:rPr>
      </w:pPr>
    </w:p>
    <w:p w:rsidR="007C4E4B" w:rsidRPr="008246DF" w:rsidRDefault="007C4E4B" w:rsidP="007C4E4B">
      <w:pPr>
        <w:jc w:val="both"/>
        <w:rPr>
          <w:rFonts w:cs="Arial"/>
          <w:szCs w:val="20"/>
          <w:u w:val="single"/>
          <w:lang w:val="sl-SI"/>
        </w:rPr>
      </w:pPr>
      <w:r w:rsidRPr="008246DF">
        <w:rPr>
          <w:rFonts w:cs="Arial"/>
          <w:szCs w:val="20"/>
          <w:u w:val="single"/>
          <w:lang w:val="sl-SI"/>
        </w:rPr>
        <w:t>Namen projekta</w:t>
      </w:r>
    </w:p>
    <w:p w:rsidR="007C4E4B" w:rsidRPr="00B06340" w:rsidRDefault="007C4E4B" w:rsidP="007C4E4B">
      <w:pPr>
        <w:spacing w:line="240" w:lineRule="auto"/>
        <w:jc w:val="both"/>
        <w:rPr>
          <w:rFonts w:cs="Arial"/>
          <w:szCs w:val="20"/>
          <w:lang w:val="sl-SI"/>
        </w:rPr>
      </w:pPr>
      <w:r w:rsidRPr="008246DF">
        <w:rPr>
          <w:rFonts w:cs="Arial"/>
          <w:szCs w:val="20"/>
          <w:lang w:val="sl-SI"/>
        </w:rPr>
        <w:t xml:space="preserve">Na podlagi izkušenj iz obeh pilotnih projektov CAF EPI in povratnih informacij sodelujočih, smo v letu 2018 izvedli še nekatere izboljšave in novosti ter letos začeli s prvim rednim postopkom zagotavljanja zunanje povratne informacije. </w:t>
      </w:r>
    </w:p>
    <w:p w:rsidR="007C4E4B" w:rsidRPr="002578B7" w:rsidRDefault="007C4E4B" w:rsidP="007C4E4B">
      <w:pPr>
        <w:spacing w:line="240" w:lineRule="auto"/>
        <w:outlineLvl w:val="1"/>
        <w:rPr>
          <w:rFonts w:cs="Arial"/>
          <w:b/>
          <w:bCs/>
          <w:caps/>
          <w:kern w:val="36"/>
          <w:szCs w:val="20"/>
          <w:highlight w:val="yellow"/>
          <w:lang w:val="sl-SI" w:eastAsia="sl-SI"/>
        </w:rPr>
      </w:pPr>
    </w:p>
    <w:p w:rsidR="007C4E4B" w:rsidRPr="00652FD1" w:rsidRDefault="007C4E4B" w:rsidP="007C4E4B">
      <w:pPr>
        <w:jc w:val="both"/>
        <w:rPr>
          <w:rFonts w:cs="Arial"/>
          <w:szCs w:val="20"/>
          <w:u w:val="single"/>
          <w:lang w:val="sl-SI"/>
        </w:rPr>
      </w:pPr>
      <w:r w:rsidRPr="00652FD1">
        <w:rPr>
          <w:rFonts w:cs="Arial"/>
          <w:szCs w:val="20"/>
          <w:u w:val="single"/>
          <w:lang w:val="sl-SI"/>
        </w:rPr>
        <w:t>Poziv k prijavi organizacij za sodelovanje</w:t>
      </w:r>
    </w:p>
    <w:p w:rsidR="007C4E4B" w:rsidRPr="00652FD1" w:rsidRDefault="007C4E4B" w:rsidP="007C4E4B">
      <w:pPr>
        <w:spacing w:line="240" w:lineRule="auto"/>
        <w:jc w:val="both"/>
        <w:rPr>
          <w:rFonts w:cs="Arial"/>
          <w:szCs w:val="20"/>
          <w:lang w:val="sl-SI"/>
        </w:rPr>
      </w:pPr>
      <w:r w:rsidRPr="00652FD1">
        <w:rPr>
          <w:rFonts w:cs="Arial"/>
          <w:szCs w:val="20"/>
          <w:lang w:val="sl-SI"/>
        </w:rPr>
        <w:t>Po uspešnem drugem pilotnem projektu, smo na MJU izvedli prvi redni postopek za zagotovitev zunanje povratne informacije CAF EPI. Ker so bile upravne enote, po kriteriju rednega uporabnika modela CAF</w:t>
      </w:r>
      <w:r>
        <w:rPr>
          <w:rFonts w:cs="Arial"/>
          <w:szCs w:val="20"/>
          <w:lang w:val="sl-SI"/>
        </w:rPr>
        <w:t xml:space="preserve"> primerne za sodelovanje</w:t>
      </w:r>
      <w:r w:rsidRPr="00652FD1">
        <w:rPr>
          <w:rFonts w:cs="Arial"/>
          <w:szCs w:val="20"/>
          <w:lang w:val="sl-SI"/>
        </w:rPr>
        <w:t>, smo jih posebej povabili k sodelovanju, da izrazijo morebitni interes za pridobit</w:t>
      </w:r>
      <w:r>
        <w:rPr>
          <w:rFonts w:cs="Arial"/>
          <w:szCs w:val="20"/>
          <w:lang w:val="sl-SI"/>
        </w:rPr>
        <w:t>e</w:t>
      </w:r>
      <w:r w:rsidRPr="00652FD1">
        <w:rPr>
          <w:rFonts w:cs="Arial"/>
          <w:szCs w:val="20"/>
          <w:lang w:val="sl-SI"/>
        </w:rPr>
        <w:t>v zunanje povratne informacije (kot prijavitelj). Interes za sodelovanje je izrazilo 5 upravnih enot</w:t>
      </w:r>
      <w:r>
        <w:rPr>
          <w:rFonts w:cs="Arial"/>
          <w:szCs w:val="20"/>
          <w:lang w:val="sl-SI"/>
        </w:rPr>
        <w:t>: UE Celje, UE Dravograd, UE Krško, UE Velenje in UE Zagorje ob Savi</w:t>
      </w:r>
      <w:r w:rsidRPr="00652FD1">
        <w:rPr>
          <w:rFonts w:cs="Arial"/>
          <w:szCs w:val="20"/>
          <w:lang w:val="sl-SI"/>
        </w:rPr>
        <w:t>. Na povabilo zunanjim ocenjevalcem pa se je za sodelovanje v postopku, odločilo 14 fizičnih oseb, usposobljenih za delo zunanjih ocenjevalcev..</w:t>
      </w:r>
    </w:p>
    <w:p w:rsidR="007C4E4B" w:rsidRPr="002578B7" w:rsidRDefault="007C4E4B" w:rsidP="007C4E4B">
      <w:pPr>
        <w:spacing w:line="240" w:lineRule="auto"/>
        <w:rPr>
          <w:rFonts w:cs="Arial"/>
          <w:szCs w:val="20"/>
          <w:highlight w:val="yellow"/>
          <w:lang w:val="sl-SI" w:eastAsia="sl-SI"/>
        </w:rPr>
      </w:pPr>
    </w:p>
    <w:p w:rsidR="007C4E4B" w:rsidRPr="00145DE6" w:rsidRDefault="007C4E4B" w:rsidP="007C4E4B">
      <w:pPr>
        <w:spacing w:line="240" w:lineRule="auto"/>
        <w:jc w:val="both"/>
        <w:rPr>
          <w:rFonts w:cs="Arial"/>
          <w:szCs w:val="20"/>
          <w:lang w:val="sl-SI"/>
        </w:rPr>
      </w:pPr>
      <w:r w:rsidRPr="00145DE6">
        <w:rPr>
          <w:rFonts w:cs="Arial"/>
          <w:szCs w:val="20"/>
          <w:lang w:val="sl-SI"/>
        </w:rPr>
        <w:t>Pogoje za sodelovanje smo, po posvetovanju z EIPA, nekoliko prilagodili slovenskim razmeram. Tako smo k prijavi povabili organizacije, ki s</w:t>
      </w:r>
      <w:r>
        <w:rPr>
          <w:rFonts w:cs="Arial"/>
          <w:szCs w:val="20"/>
          <w:lang w:val="sl-SI"/>
        </w:rPr>
        <w:t>o</w:t>
      </w:r>
      <w:r w:rsidRPr="00145DE6">
        <w:rPr>
          <w:rFonts w:cs="Arial"/>
          <w:szCs w:val="20"/>
          <w:lang w:val="sl-SI"/>
        </w:rPr>
        <w:t xml:space="preserve"> že najmanj dvakrat izvedl</w:t>
      </w:r>
      <w:r>
        <w:rPr>
          <w:rFonts w:cs="Arial"/>
          <w:szCs w:val="20"/>
          <w:lang w:val="sl-SI"/>
        </w:rPr>
        <w:t>e</w:t>
      </w:r>
      <w:r w:rsidRPr="00145DE6">
        <w:rPr>
          <w:rFonts w:cs="Arial"/>
          <w:szCs w:val="20"/>
          <w:lang w:val="sl-SI"/>
        </w:rPr>
        <w:t xml:space="preserve"> samooceno po modelu CAF, izdelal</w:t>
      </w:r>
      <w:r>
        <w:rPr>
          <w:rFonts w:cs="Arial"/>
          <w:szCs w:val="20"/>
          <w:lang w:val="sl-SI"/>
        </w:rPr>
        <w:t>e</w:t>
      </w:r>
      <w:r w:rsidRPr="00145DE6">
        <w:rPr>
          <w:rFonts w:cs="Arial"/>
          <w:szCs w:val="20"/>
          <w:lang w:val="sl-SI"/>
        </w:rPr>
        <w:t xml:space="preserve"> in vodstvu poslal</w:t>
      </w:r>
      <w:r>
        <w:rPr>
          <w:rFonts w:cs="Arial"/>
          <w:szCs w:val="20"/>
          <w:lang w:val="sl-SI"/>
        </w:rPr>
        <w:t>e</w:t>
      </w:r>
      <w:r w:rsidRPr="00145DE6">
        <w:rPr>
          <w:rFonts w:cs="Arial"/>
          <w:szCs w:val="20"/>
          <w:lang w:val="sl-SI"/>
        </w:rPr>
        <w:t xml:space="preserve"> poročilo o samoocenitvi </w:t>
      </w:r>
      <w:r>
        <w:rPr>
          <w:rFonts w:cs="Arial"/>
          <w:szCs w:val="20"/>
          <w:lang w:val="sl-SI"/>
        </w:rPr>
        <w:t>ter</w:t>
      </w:r>
      <w:r w:rsidRPr="00145DE6">
        <w:rPr>
          <w:rFonts w:cs="Arial"/>
          <w:szCs w:val="20"/>
          <w:lang w:val="sl-SI"/>
        </w:rPr>
        <w:t xml:space="preserve"> ima</w:t>
      </w:r>
      <w:r>
        <w:rPr>
          <w:rFonts w:cs="Arial"/>
          <w:szCs w:val="20"/>
          <w:lang w:val="sl-SI"/>
        </w:rPr>
        <w:t>jo</w:t>
      </w:r>
      <w:r w:rsidRPr="00145DE6">
        <w:rPr>
          <w:rFonts w:cs="Arial"/>
          <w:szCs w:val="20"/>
          <w:lang w:val="sl-SI"/>
        </w:rPr>
        <w:t xml:space="preserve"> akcijski načrt izboljšav potrjen s strani vodstva. </w:t>
      </w:r>
      <w:r>
        <w:rPr>
          <w:rFonts w:cs="Arial"/>
          <w:szCs w:val="20"/>
          <w:lang w:val="sl-SI"/>
        </w:rPr>
        <w:t>Pomembno je p</w:t>
      </w:r>
      <w:r w:rsidRPr="00145DE6">
        <w:rPr>
          <w:rFonts w:cs="Arial"/>
          <w:szCs w:val="20"/>
          <w:lang w:val="sl-SI"/>
        </w:rPr>
        <w:t xml:space="preserve">ri tem </w:t>
      </w:r>
      <w:r>
        <w:rPr>
          <w:rFonts w:cs="Arial"/>
          <w:szCs w:val="20"/>
          <w:lang w:val="sl-SI"/>
        </w:rPr>
        <w:t>bilo</w:t>
      </w:r>
      <w:r w:rsidRPr="00145DE6">
        <w:rPr>
          <w:rFonts w:cs="Arial"/>
          <w:szCs w:val="20"/>
          <w:lang w:val="sl-SI"/>
        </w:rPr>
        <w:t xml:space="preserve">, da </w:t>
      </w:r>
      <w:r>
        <w:rPr>
          <w:rFonts w:cs="Arial"/>
          <w:szCs w:val="20"/>
          <w:lang w:val="sl-SI"/>
        </w:rPr>
        <w:t>je bilo</w:t>
      </w:r>
      <w:r w:rsidRPr="00145DE6">
        <w:rPr>
          <w:rFonts w:cs="Arial"/>
          <w:szCs w:val="20"/>
          <w:lang w:val="sl-SI"/>
        </w:rPr>
        <w:t xml:space="preserve"> zadnje poročilo o samoocenitvi posla</w:t>
      </w:r>
      <w:r>
        <w:rPr>
          <w:rFonts w:cs="Arial"/>
          <w:szCs w:val="20"/>
          <w:lang w:val="sl-SI"/>
        </w:rPr>
        <w:t>no</w:t>
      </w:r>
      <w:r w:rsidRPr="00145DE6">
        <w:rPr>
          <w:rFonts w:cs="Arial"/>
          <w:szCs w:val="20"/>
          <w:lang w:val="sl-SI"/>
        </w:rPr>
        <w:t xml:space="preserve"> vodstvu pred najmanj 6 in največ 18 meseci od roka za prijavo (25. 1. 2019).</w:t>
      </w:r>
    </w:p>
    <w:p w:rsidR="007C4E4B" w:rsidRPr="002578B7" w:rsidRDefault="007C4E4B" w:rsidP="007C4E4B">
      <w:pPr>
        <w:spacing w:line="240" w:lineRule="auto"/>
        <w:rPr>
          <w:rFonts w:cs="Arial"/>
          <w:szCs w:val="20"/>
          <w:highlight w:val="yellow"/>
          <w:lang w:val="sl-SI"/>
        </w:rPr>
      </w:pPr>
    </w:p>
    <w:p w:rsidR="007C4E4B" w:rsidRPr="003A1214" w:rsidRDefault="007C4E4B" w:rsidP="007C4E4B">
      <w:pPr>
        <w:jc w:val="both"/>
        <w:rPr>
          <w:rFonts w:cs="Arial"/>
          <w:szCs w:val="20"/>
          <w:u w:val="single"/>
          <w:lang w:val="sl-SI"/>
        </w:rPr>
      </w:pPr>
      <w:r w:rsidRPr="003A1214">
        <w:rPr>
          <w:rFonts w:cs="Arial"/>
          <w:szCs w:val="20"/>
          <w:u w:val="single"/>
          <w:lang w:val="sl-SI"/>
        </w:rPr>
        <w:t>Posvet za prijavitelje</w:t>
      </w:r>
    </w:p>
    <w:p w:rsidR="007C4E4B" w:rsidRPr="003A1214" w:rsidRDefault="007C4E4B" w:rsidP="007C4E4B">
      <w:pPr>
        <w:spacing w:line="240" w:lineRule="auto"/>
        <w:jc w:val="both"/>
        <w:rPr>
          <w:rFonts w:cs="Arial"/>
          <w:szCs w:val="20"/>
          <w:lang w:val="sl-SI"/>
        </w:rPr>
      </w:pPr>
      <w:r w:rsidRPr="003A1214">
        <w:rPr>
          <w:rFonts w:cs="Arial"/>
          <w:szCs w:val="20"/>
          <w:lang w:val="sl-SI"/>
        </w:rPr>
        <w:t>19. 2. 2019 smo za prijavitelje izvedli kratek posvet, kjer jim je bil predstavljen potek postopka, terminski načrt s časovnimi roki za predložitev ustrezne dokumentacije</w:t>
      </w:r>
      <w:r>
        <w:rPr>
          <w:rFonts w:cs="Arial"/>
          <w:szCs w:val="20"/>
          <w:lang w:val="sl-SI"/>
        </w:rPr>
        <w:t>. Predstavljene so jim bile tudi</w:t>
      </w:r>
      <w:r w:rsidRPr="003A1214">
        <w:rPr>
          <w:rFonts w:cs="Arial"/>
          <w:szCs w:val="20"/>
          <w:lang w:val="sl-SI"/>
        </w:rPr>
        <w:t xml:space="preserve"> izboljšav</w:t>
      </w:r>
      <w:r>
        <w:rPr>
          <w:rFonts w:cs="Arial"/>
          <w:szCs w:val="20"/>
          <w:lang w:val="sl-SI"/>
        </w:rPr>
        <w:t>e</w:t>
      </w:r>
      <w:r w:rsidRPr="003A1214">
        <w:rPr>
          <w:rFonts w:cs="Arial"/>
          <w:szCs w:val="20"/>
          <w:lang w:val="sl-SI"/>
        </w:rPr>
        <w:t xml:space="preserve"> in novostmi, ki smo jih uvedli na podlagi izkušenj dveh pilotnih projektov</w:t>
      </w:r>
      <w:r>
        <w:rPr>
          <w:rFonts w:cs="Arial"/>
          <w:szCs w:val="20"/>
          <w:lang w:val="sl-SI"/>
        </w:rPr>
        <w:t>: dodatni obisk prijaviteljev z namenom obrazložitve končnega poročila in imenovanje Komisije CAF, ki med drugim potrjuje izbor prijaviteljev in zunanjih ocenjevalcev v postopku ter predloge prejemnikov priznanj CAF in CAF EPI</w:t>
      </w:r>
      <w:r w:rsidRPr="003A1214">
        <w:rPr>
          <w:rFonts w:cs="Arial"/>
          <w:szCs w:val="20"/>
          <w:lang w:val="sl-SI"/>
        </w:rPr>
        <w:t xml:space="preserve">. </w:t>
      </w:r>
    </w:p>
    <w:p w:rsidR="007C4E4B" w:rsidRDefault="007C4E4B">
      <w:pPr>
        <w:spacing w:after="160" w:line="259" w:lineRule="auto"/>
        <w:rPr>
          <w:rFonts w:cs="Arial"/>
          <w:szCs w:val="20"/>
          <w:lang w:val="sl-SI" w:eastAsia="sl-SI"/>
        </w:rPr>
      </w:pPr>
      <w:r>
        <w:rPr>
          <w:rFonts w:cs="Arial"/>
          <w:szCs w:val="20"/>
          <w:lang w:val="sl-SI" w:eastAsia="sl-SI"/>
        </w:rPr>
        <w:br w:type="page"/>
      </w:r>
    </w:p>
    <w:p w:rsidR="007C4E4B" w:rsidRPr="003A1214" w:rsidRDefault="007C4E4B" w:rsidP="007C4E4B">
      <w:pPr>
        <w:spacing w:line="240" w:lineRule="auto"/>
        <w:rPr>
          <w:rFonts w:cs="Arial"/>
          <w:szCs w:val="20"/>
          <w:lang w:val="sl-SI" w:eastAsia="sl-SI"/>
        </w:rPr>
      </w:pPr>
    </w:p>
    <w:p w:rsidR="007C4E4B" w:rsidRPr="00CE03DE" w:rsidRDefault="007C4E4B" w:rsidP="007C4E4B">
      <w:pPr>
        <w:jc w:val="both"/>
        <w:rPr>
          <w:rFonts w:cs="Arial"/>
          <w:szCs w:val="20"/>
          <w:u w:val="single"/>
          <w:lang w:val="sl-SI"/>
        </w:rPr>
      </w:pPr>
      <w:r w:rsidRPr="00CE03DE">
        <w:rPr>
          <w:rFonts w:cs="Arial"/>
          <w:szCs w:val="20"/>
          <w:u w:val="single"/>
          <w:lang w:val="sl-SI"/>
        </w:rPr>
        <w:t xml:space="preserve">Strokovni posvet za zunanje </w:t>
      </w:r>
      <w:bookmarkStart w:id="1" w:name="_GoBack"/>
      <w:bookmarkEnd w:id="1"/>
      <w:r w:rsidRPr="00CE03DE">
        <w:rPr>
          <w:rFonts w:cs="Arial"/>
          <w:szCs w:val="20"/>
          <w:u w:val="single"/>
          <w:lang w:val="sl-SI"/>
        </w:rPr>
        <w:t>ocenjevalce</w:t>
      </w:r>
    </w:p>
    <w:p w:rsidR="007C4E4B" w:rsidRDefault="007C4E4B" w:rsidP="007C4E4B">
      <w:pPr>
        <w:spacing w:line="240" w:lineRule="auto"/>
        <w:jc w:val="both"/>
        <w:rPr>
          <w:rFonts w:cs="Arial"/>
          <w:szCs w:val="20"/>
          <w:lang w:val="sl-SI"/>
        </w:rPr>
      </w:pPr>
      <w:r w:rsidRPr="00CE03DE">
        <w:rPr>
          <w:rFonts w:cs="Arial"/>
          <w:szCs w:val="20"/>
          <w:lang w:val="sl-SI"/>
        </w:rPr>
        <w:t xml:space="preserve">Za zunanje ocenjevalce, ki so se prijavili za ocenjevanje prijaviteljev v postopku, smo 21. 3. 2019 </w:t>
      </w:r>
      <w:r>
        <w:rPr>
          <w:rFonts w:cs="Arial"/>
          <w:szCs w:val="20"/>
          <w:lang w:val="sl-SI"/>
        </w:rPr>
        <w:t>organizirali</w:t>
      </w:r>
      <w:r w:rsidRPr="00CE03DE">
        <w:rPr>
          <w:rFonts w:cs="Arial"/>
          <w:szCs w:val="20"/>
          <w:lang w:val="sl-SI"/>
        </w:rPr>
        <w:t xml:space="preserve"> </w:t>
      </w:r>
      <w:r w:rsidRPr="00525A4F">
        <w:rPr>
          <w:rFonts w:cs="Arial"/>
          <w:szCs w:val="20"/>
          <w:u w:val="single"/>
          <w:lang w:val="sl-SI"/>
        </w:rPr>
        <w:t>obvezen</w:t>
      </w:r>
      <w:r w:rsidRPr="00CE03DE">
        <w:rPr>
          <w:rFonts w:cs="Arial"/>
          <w:szCs w:val="20"/>
          <w:lang w:val="sl-SI"/>
        </w:rPr>
        <w:t xml:space="preserve"> strokovni posvet, na katerem smo jim predstavili</w:t>
      </w:r>
      <w:r>
        <w:rPr>
          <w:rFonts w:cs="Arial"/>
          <w:szCs w:val="20"/>
          <w:lang w:val="sl-SI"/>
        </w:rPr>
        <w:t>:</w:t>
      </w:r>
      <w:r w:rsidRPr="00CE03DE">
        <w:rPr>
          <w:rFonts w:cs="Arial"/>
          <w:szCs w:val="20"/>
          <w:lang w:val="sl-SI"/>
        </w:rPr>
        <w:t xml:space="preserve"> </w:t>
      </w:r>
      <w:r>
        <w:rPr>
          <w:rFonts w:cs="Arial"/>
          <w:szCs w:val="20"/>
          <w:lang w:val="sl-SI"/>
        </w:rPr>
        <w:t xml:space="preserve">letošnji </w:t>
      </w:r>
      <w:r w:rsidRPr="00CE03DE">
        <w:rPr>
          <w:rFonts w:cs="Arial"/>
          <w:szCs w:val="20"/>
          <w:lang w:val="sl-SI"/>
        </w:rPr>
        <w:t>potek postopka</w:t>
      </w:r>
      <w:r>
        <w:rPr>
          <w:rFonts w:cs="Arial"/>
          <w:szCs w:val="20"/>
          <w:lang w:val="sl-SI"/>
        </w:rPr>
        <w:t xml:space="preserve"> </w:t>
      </w:r>
      <w:r w:rsidRPr="00CE03DE">
        <w:rPr>
          <w:rFonts w:cs="Arial"/>
          <w:szCs w:val="20"/>
          <w:lang w:val="sl-SI"/>
        </w:rPr>
        <w:t>s terminskim načrtom aktivnosti</w:t>
      </w:r>
      <w:r>
        <w:rPr>
          <w:rFonts w:cs="Arial"/>
          <w:szCs w:val="20"/>
          <w:lang w:val="sl-SI"/>
        </w:rPr>
        <w:t xml:space="preserve"> in</w:t>
      </w:r>
      <w:r w:rsidRPr="00086130">
        <w:rPr>
          <w:rFonts w:cs="Arial"/>
          <w:szCs w:val="20"/>
          <w:lang w:val="sl-SI"/>
        </w:rPr>
        <w:t xml:space="preserve"> </w:t>
      </w:r>
      <w:r w:rsidRPr="00CE03DE">
        <w:rPr>
          <w:rFonts w:cs="Arial"/>
          <w:szCs w:val="20"/>
          <w:lang w:val="sl-SI"/>
        </w:rPr>
        <w:t xml:space="preserve">novosti </w:t>
      </w:r>
      <w:r>
        <w:rPr>
          <w:rFonts w:cs="Arial"/>
          <w:szCs w:val="20"/>
          <w:lang w:val="sl-SI"/>
        </w:rPr>
        <w:t>ter</w:t>
      </w:r>
      <w:r w:rsidRPr="00CE03DE">
        <w:rPr>
          <w:rFonts w:cs="Arial"/>
          <w:szCs w:val="20"/>
          <w:lang w:val="sl-SI"/>
        </w:rPr>
        <w:t xml:space="preserve"> izboljšave glede na izkušnje iz drugega pilotnega projekta (</w:t>
      </w:r>
      <w:r>
        <w:rPr>
          <w:rFonts w:cs="Arial"/>
          <w:szCs w:val="20"/>
          <w:lang w:val="sl-SI"/>
        </w:rPr>
        <w:t xml:space="preserve">navzkrižje interesov ocenjevalec-prijavitelj, </w:t>
      </w:r>
      <w:r w:rsidRPr="00CE03DE">
        <w:rPr>
          <w:rFonts w:cs="Arial"/>
          <w:szCs w:val="20"/>
          <w:lang w:val="sl-SI"/>
        </w:rPr>
        <w:t xml:space="preserve">izboljšan terminski načrt, podrobna ocenitev </w:t>
      </w:r>
      <w:r>
        <w:rPr>
          <w:rFonts w:cs="Arial"/>
          <w:szCs w:val="20"/>
          <w:lang w:val="sl-SI"/>
        </w:rPr>
        <w:t xml:space="preserve">(ponovno samo) </w:t>
      </w:r>
      <w:r w:rsidRPr="00CE03DE">
        <w:rPr>
          <w:rFonts w:cs="Arial"/>
          <w:szCs w:val="20"/>
          <w:lang w:val="sl-SI"/>
        </w:rPr>
        <w:t xml:space="preserve">2 načel odličnosti, dodatni obisk prijavitelja). </w:t>
      </w:r>
      <w:r>
        <w:rPr>
          <w:rFonts w:cs="Arial"/>
          <w:szCs w:val="20"/>
          <w:lang w:val="sl-SI"/>
        </w:rPr>
        <w:t xml:space="preserve">Posveta se je udeležilo 21 ocenjevalcev. </w:t>
      </w:r>
      <w:r w:rsidRPr="00CE03DE">
        <w:rPr>
          <w:rFonts w:cs="Arial"/>
          <w:szCs w:val="20"/>
          <w:lang w:val="sl-SI"/>
        </w:rPr>
        <w:t xml:space="preserve">V </w:t>
      </w:r>
      <w:r>
        <w:rPr>
          <w:rFonts w:cs="Arial"/>
          <w:szCs w:val="20"/>
          <w:lang w:val="sl-SI"/>
        </w:rPr>
        <w:t>drugem</w:t>
      </w:r>
      <w:r w:rsidRPr="00CE03DE">
        <w:rPr>
          <w:rFonts w:cs="Arial"/>
          <w:szCs w:val="20"/>
          <w:lang w:val="sl-SI"/>
        </w:rPr>
        <w:t xml:space="preserve"> delu so si ocenjevalci najprej osvežili znanje s področja metodologije ocenjevanja</w:t>
      </w:r>
      <w:r>
        <w:rPr>
          <w:rFonts w:cs="Arial"/>
          <w:szCs w:val="20"/>
          <w:lang w:val="sl-SI"/>
        </w:rPr>
        <w:t xml:space="preserve"> in praktičnih navodil, kaj naj vsebuje končno poročilo in česa ne sme. Navodila za pripravo poročil je dr. Jelko Urbančič, ki je vodil praktični del posveta in je sicer ocenjevalec CAF EPI in izvajalec tečajev za ocenjevalce, podkrepil s praktičnimi vajami.</w:t>
      </w:r>
      <w:r w:rsidRPr="00CE03DE">
        <w:rPr>
          <w:rFonts w:cs="Arial"/>
          <w:szCs w:val="20"/>
          <w:lang w:val="sl-SI"/>
        </w:rPr>
        <w:t xml:space="preserve"> </w:t>
      </w:r>
    </w:p>
    <w:p w:rsidR="007C4E4B" w:rsidRDefault="007C4E4B" w:rsidP="007C4E4B">
      <w:pPr>
        <w:spacing w:line="240" w:lineRule="auto"/>
        <w:rPr>
          <w:rFonts w:cs="Arial"/>
          <w:szCs w:val="20"/>
          <w:highlight w:val="yellow"/>
          <w:lang w:val="sl-SI" w:eastAsia="sl-SI"/>
        </w:rPr>
      </w:pPr>
    </w:p>
    <w:tbl>
      <w:tblPr>
        <w:tblStyle w:val="Tabelamrea"/>
        <w:tblW w:w="8956" w:type="dxa"/>
        <w:tblLook w:val="04A0" w:firstRow="1" w:lastRow="0" w:firstColumn="1" w:lastColumn="0" w:noHBand="0" w:noVBand="1"/>
      </w:tblPr>
      <w:tblGrid>
        <w:gridCol w:w="3967"/>
        <w:gridCol w:w="4989"/>
      </w:tblGrid>
      <w:tr w:rsidR="007C4E4B" w:rsidTr="00CA05F5">
        <w:trPr>
          <w:trHeight w:val="4545"/>
        </w:trPr>
        <w:tc>
          <w:tcPr>
            <w:tcW w:w="3967" w:type="dxa"/>
          </w:tcPr>
          <w:p w:rsidR="007C4E4B" w:rsidRDefault="007C4E4B" w:rsidP="00CA05F5">
            <w:pPr>
              <w:spacing w:line="240" w:lineRule="auto"/>
              <w:rPr>
                <w:rFonts w:cs="Arial"/>
                <w:szCs w:val="20"/>
                <w:highlight w:val="yellow"/>
                <w:lang w:val="sl-SI"/>
              </w:rPr>
            </w:pPr>
          </w:p>
          <w:p w:rsidR="007C4E4B" w:rsidRDefault="007C4E4B" w:rsidP="00CA05F5">
            <w:pPr>
              <w:spacing w:line="240" w:lineRule="auto"/>
              <w:rPr>
                <w:rFonts w:cs="Arial"/>
                <w:szCs w:val="20"/>
                <w:highlight w:val="yellow"/>
                <w:lang w:val="sl-SI"/>
              </w:rPr>
            </w:pPr>
            <w:r>
              <w:rPr>
                <w:rFonts w:cs="Arial"/>
                <w:noProof/>
                <w:szCs w:val="20"/>
                <w:lang w:val="sl-SI"/>
              </w:rPr>
              <w:drawing>
                <wp:inline distT="0" distB="0" distL="0" distR="0" wp14:anchorId="6EBF341E" wp14:editId="383F5038">
                  <wp:extent cx="3792143" cy="2382177"/>
                  <wp:effectExtent l="0" t="0" r="0" b="0"/>
                  <wp:docPr id="3" name="Slika 3" descr="Slika 1 Strokovni posvet za ocenjevalce CAF EPI (21.3.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321_130335.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3851218" cy="2419287"/>
                          </a:xfrm>
                          <a:prstGeom prst="rect">
                            <a:avLst/>
                          </a:prstGeom>
                        </pic:spPr>
                      </pic:pic>
                    </a:graphicData>
                  </a:graphic>
                </wp:inline>
              </w:drawing>
            </w:r>
          </w:p>
        </w:tc>
        <w:tc>
          <w:tcPr>
            <w:tcW w:w="4989" w:type="dxa"/>
          </w:tcPr>
          <w:p w:rsidR="007C4E4B" w:rsidRDefault="007C4E4B" w:rsidP="00CA05F5">
            <w:pPr>
              <w:spacing w:line="240" w:lineRule="auto"/>
              <w:rPr>
                <w:rFonts w:cs="Arial"/>
                <w:szCs w:val="20"/>
                <w:highlight w:val="yellow"/>
                <w:lang w:val="sl-SI"/>
              </w:rPr>
            </w:pPr>
            <w:r>
              <w:rPr>
                <w:rFonts w:cs="Arial"/>
                <w:noProof/>
                <w:szCs w:val="20"/>
                <w:lang w:val="sl-SI"/>
              </w:rPr>
              <w:drawing>
                <wp:inline distT="0" distB="0" distL="0" distR="0" wp14:anchorId="6FF54EC8" wp14:editId="30DC31B6">
                  <wp:extent cx="3031147" cy="1704975"/>
                  <wp:effectExtent l="0" t="0" r="0" b="0"/>
                  <wp:docPr id="6" name="Slika 6" descr="Slika 2 Strokovni posvet za ocenjevalce CAF EPI (21.3.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90321_14272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0206" cy="1715695"/>
                          </a:xfrm>
                          <a:prstGeom prst="rect">
                            <a:avLst/>
                          </a:prstGeom>
                        </pic:spPr>
                      </pic:pic>
                    </a:graphicData>
                  </a:graphic>
                </wp:inline>
              </w:drawing>
            </w:r>
          </w:p>
        </w:tc>
      </w:tr>
    </w:tbl>
    <w:p w:rsidR="007C4E4B" w:rsidRDefault="007C4E4B" w:rsidP="007C4E4B">
      <w:pPr>
        <w:spacing w:line="240" w:lineRule="auto"/>
        <w:rPr>
          <w:rFonts w:cs="Arial"/>
          <w:szCs w:val="20"/>
          <w:highlight w:val="yellow"/>
          <w:lang w:val="sl-SI" w:eastAsia="sl-SI"/>
        </w:rPr>
      </w:pPr>
    </w:p>
    <w:p w:rsidR="007C4E4B" w:rsidRPr="00AE6752" w:rsidRDefault="007C4E4B" w:rsidP="007C4E4B">
      <w:pPr>
        <w:spacing w:line="240" w:lineRule="auto"/>
        <w:jc w:val="center"/>
        <w:rPr>
          <w:rFonts w:cs="Arial"/>
          <w:szCs w:val="20"/>
          <w:lang w:val="sl-SI" w:eastAsia="sl-SI"/>
        </w:rPr>
      </w:pPr>
      <w:r w:rsidRPr="00AE6752">
        <w:rPr>
          <w:rFonts w:cs="Arial"/>
          <w:szCs w:val="20"/>
          <w:lang w:val="sl-SI" w:eastAsia="sl-SI"/>
        </w:rPr>
        <w:t>Slika 1</w:t>
      </w:r>
      <w:r>
        <w:rPr>
          <w:rFonts w:cs="Arial"/>
          <w:szCs w:val="20"/>
          <w:lang w:val="sl-SI" w:eastAsia="sl-SI"/>
        </w:rPr>
        <w:t xml:space="preserve"> in 2</w:t>
      </w:r>
      <w:r w:rsidRPr="00AE6752">
        <w:rPr>
          <w:rFonts w:cs="Arial"/>
          <w:szCs w:val="20"/>
          <w:lang w:val="sl-SI" w:eastAsia="sl-SI"/>
        </w:rPr>
        <w:t>: Strokovni posvet za ocenjevalce CAF EPI 2019 (21.3.2019)</w:t>
      </w:r>
    </w:p>
    <w:p w:rsidR="007C4E4B" w:rsidRDefault="007C4E4B" w:rsidP="007C4E4B">
      <w:pPr>
        <w:spacing w:line="240" w:lineRule="auto"/>
        <w:rPr>
          <w:rFonts w:cs="Arial"/>
          <w:szCs w:val="20"/>
          <w:highlight w:val="yellow"/>
          <w:lang w:val="sl-SI" w:eastAsia="sl-SI"/>
        </w:rPr>
      </w:pPr>
    </w:p>
    <w:p w:rsidR="007C4E4B" w:rsidRPr="00797B26" w:rsidRDefault="007C4E4B" w:rsidP="007C4E4B">
      <w:pPr>
        <w:jc w:val="both"/>
        <w:rPr>
          <w:rFonts w:cs="Arial"/>
          <w:szCs w:val="20"/>
          <w:u w:val="single"/>
          <w:lang w:val="sl-SI"/>
        </w:rPr>
      </w:pPr>
      <w:bookmarkStart w:id="2" w:name="_Hlk11855186"/>
      <w:r w:rsidRPr="00797B26">
        <w:rPr>
          <w:rFonts w:cs="Arial"/>
          <w:szCs w:val="20"/>
          <w:u w:val="single"/>
          <w:lang w:val="sl-SI"/>
        </w:rPr>
        <w:t>Dostava dokumentacije prijaviteljev</w:t>
      </w:r>
    </w:p>
    <w:p w:rsidR="007C4E4B" w:rsidRPr="00797B26" w:rsidRDefault="007C4E4B" w:rsidP="007C4E4B">
      <w:pPr>
        <w:jc w:val="both"/>
        <w:rPr>
          <w:rFonts w:cs="Arial"/>
          <w:szCs w:val="20"/>
          <w:lang w:val="sl-SI"/>
        </w:rPr>
      </w:pPr>
      <w:r w:rsidRPr="00797B26">
        <w:rPr>
          <w:rFonts w:cs="Arial"/>
          <w:szCs w:val="20"/>
          <w:lang w:val="sl-SI"/>
        </w:rPr>
        <w:t xml:space="preserve">Za namen ocenjevanja, so prijavitelji do 8. 3. 2019 poslali na ministrstvo naslednjo dokumentacijo: </w:t>
      </w:r>
    </w:p>
    <w:p w:rsidR="007C4E4B" w:rsidRPr="00797B26" w:rsidRDefault="007C4E4B" w:rsidP="007C4E4B">
      <w:pPr>
        <w:pStyle w:val="Odstavekseznama"/>
        <w:numPr>
          <w:ilvl w:val="0"/>
          <w:numId w:val="1"/>
        </w:numPr>
        <w:spacing w:after="0" w:line="260" w:lineRule="exact"/>
        <w:jc w:val="both"/>
        <w:rPr>
          <w:rFonts w:ascii="Arial" w:hAnsi="Arial" w:cs="Arial"/>
          <w:sz w:val="20"/>
          <w:szCs w:val="20"/>
        </w:rPr>
      </w:pPr>
      <w:r w:rsidRPr="00797B26">
        <w:rPr>
          <w:rFonts w:ascii="Arial" w:hAnsi="Arial" w:cs="Arial"/>
          <w:sz w:val="20"/>
          <w:szCs w:val="20"/>
        </w:rPr>
        <w:t>kratko predstavitev organizacije,</w:t>
      </w:r>
    </w:p>
    <w:p w:rsidR="007C4E4B" w:rsidRPr="00797B26" w:rsidRDefault="007C4E4B" w:rsidP="007C4E4B">
      <w:pPr>
        <w:pStyle w:val="Odstavekseznama"/>
        <w:numPr>
          <w:ilvl w:val="0"/>
          <w:numId w:val="1"/>
        </w:numPr>
        <w:spacing w:after="0" w:line="260" w:lineRule="exact"/>
        <w:jc w:val="both"/>
        <w:rPr>
          <w:rFonts w:ascii="Arial" w:hAnsi="Arial" w:cs="Arial"/>
          <w:sz w:val="20"/>
          <w:szCs w:val="20"/>
        </w:rPr>
      </w:pPr>
      <w:r w:rsidRPr="00797B26">
        <w:rPr>
          <w:rFonts w:ascii="Arial" w:hAnsi="Arial" w:cs="Arial"/>
          <w:sz w:val="20"/>
          <w:szCs w:val="20"/>
        </w:rPr>
        <w:t>kratek opis procesa zadnje samoocenitve po CAF,</w:t>
      </w:r>
    </w:p>
    <w:p w:rsidR="007C4E4B" w:rsidRPr="00797B26" w:rsidRDefault="007C4E4B" w:rsidP="007C4E4B">
      <w:pPr>
        <w:pStyle w:val="Odstavekseznama"/>
        <w:numPr>
          <w:ilvl w:val="0"/>
          <w:numId w:val="1"/>
        </w:numPr>
        <w:spacing w:after="0" w:line="260" w:lineRule="exact"/>
        <w:jc w:val="both"/>
        <w:rPr>
          <w:rFonts w:ascii="Arial" w:hAnsi="Arial" w:cs="Arial"/>
          <w:sz w:val="20"/>
          <w:szCs w:val="20"/>
        </w:rPr>
      </w:pPr>
      <w:r w:rsidRPr="00797B26">
        <w:rPr>
          <w:rFonts w:ascii="Arial" w:hAnsi="Arial" w:cs="Arial"/>
          <w:sz w:val="20"/>
          <w:szCs w:val="20"/>
        </w:rPr>
        <w:t>zadnje samoocenitveno poročilo, ki je bilo predstavljeno vodstvu organizacije,</w:t>
      </w:r>
    </w:p>
    <w:p w:rsidR="007C4E4B" w:rsidRPr="00797B26" w:rsidRDefault="007C4E4B" w:rsidP="007C4E4B">
      <w:pPr>
        <w:pStyle w:val="Odstavekseznama"/>
        <w:numPr>
          <w:ilvl w:val="0"/>
          <w:numId w:val="1"/>
        </w:numPr>
        <w:spacing w:after="0" w:line="260" w:lineRule="exact"/>
        <w:jc w:val="both"/>
        <w:rPr>
          <w:rFonts w:ascii="Arial" w:hAnsi="Arial" w:cs="Arial"/>
          <w:sz w:val="20"/>
          <w:szCs w:val="20"/>
        </w:rPr>
      </w:pPr>
      <w:r w:rsidRPr="00797B26">
        <w:rPr>
          <w:rFonts w:ascii="Arial" w:hAnsi="Arial" w:cs="Arial"/>
          <w:sz w:val="20"/>
          <w:szCs w:val="20"/>
        </w:rPr>
        <w:t xml:space="preserve">zadnji akcijski načrt izboljšav, </w:t>
      </w:r>
    </w:p>
    <w:p w:rsidR="007C4E4B" w:rsidRPr="00797B26" w:rsidRDefault="007C4E4B" w:rsidP="007C4E4B">
      <w:pPr>
        <w:pStyle w:val="Odstavekseznama"/>
        <w:numPr>
          <w:ilvl w:val="0"/>
          <w:numId w:val="1"/>
        </w:numPr>
        <w:spacing w:after="0" w:line="260" w:lineRule="exact"/>
        <w:jc w:val="both"/>
        <w:rPr>
          <w:rFonts w:ascii="Arial" w:hAnsi="Arial" w:cs="Arial"/>
          <w:sz w:val="20"/>
          <w:szCs w:val="20"/>
        </w:rPr>
      </w:pPr>
      <w:r w:rsidRPr="00797B26">
        <w:rPr>
          <w:rFonts w:ascii="Arial" w:hAnsi="Arial" w:cs="Arial"/>
          <w:sz w:val="20"/>
          <w:szCs w:val="20"/>
        </w:rPr>
        <w:t>izpolnjen Vprašalnik 1 – Proces samoocenjevanja (1.steber),</w:t>
      </w:r>
    </w:p>
    <w:p w:rsidR="007C4E4B" w:rsidRPr="00797B26" w:rsidRDefault="007C4E4B" w:rsidP="007C4E4B">
      <w:pPr>
        <w:pStyle w:val="Odstavekseznama"/>
        <w:numPr>
          <w:ilvl w:val="0"/>
          <w:numId w:val="1"/>
        </w:numPr>
        <w:spacing w:after="0" w:line="260" w:lineRule="exact"/>
        <w:jc w:val="both"/>
        <w:rPr>
          <w:rFonts w:ascii="Arial" w:hAnsi="Arial" w:cs="Arial"/>
          <w:sz w:val="20"/>
          <w:szCs w:val="20"/>
        </w:rPr>
      </w:pPr>
      <w:r w:rsidRPr="00797B26">
        <w:rPr>
          <w:rFonts w:ascii="Arial" w:hAnsi="Arial" w:cs="Arial"/>
          <w:sz w:val="20"/>
          <w:szCs w:val="20"/>
        </w:rPr>
        <w:t>izpolnjen Vprašalnik 2 – Načrt izboljšav (2.steber) in</w:t>
      </w:r>
    </w:p>
    <w:p w:rsidR="007C4E4B" w:rsidRPr="00797B26" w:rsidRDefault="007C4E4B" w:rsidP="007C4E4B">
      <w:pPr>
        <w:pStyle w:val="Odstavekseznama"/>
        <w:numPr>
          <w:ilvl w:val="0"/>
          <w:numId w:val="1"/>
        </w:numPr>
        <w:spacing w:after="0" w:line="260" w:lineRule="exact"/>
        <w:jc w:val="both"/>
        <w:rPr>
          <w:rFonts w:ascii="Arial" w:hAnsi="Arial" w:cs="Arial"/>
          <w:sz w:val="20"/>
          <w:szCs w:val="20"/>
        </w:rPr>
      </w:pPr>
      <w:r w:rsidRPr="00797B26">
        <w:rPr>
          <w:rFonts w:ascii="Arial" w:hAnsi="Arial" w:cs="Arial"/>
          <w:sz w:val="20"/>
          <w:szCs w:val="20"/>
        </w:rPr>
        <w:t>izpolnjen Vprašalnik 3 – Osem načel odličnosti (3.steber).</w:t>
      </w:r>
    </w:p>
    <w:p w:rsidR="007C4E4B" w:rsidRDefault="007C4E4B" w:rsidP="007C4E4B">
      <w:pPr>
        <w:spacing w:line="240" w:lineRule="auto"/>
        <w:rPr>
          <w:rFonts w:cs="Arial"/>
          <w:szCs w:val="20"/>
          <w:lang w:val="sl-SI" w:eastAsia="sl-SI"/>
        </w:rPr>
      </w:pPr>
      <w:r>
        <w:rPr>
          <w:rFonts w:cs="Arial"/>
          <w:szCs w:val="20"/>
          <w:lang w:val="sl-SI" w:eastAsia="sl-SI"/>
        </w:rPr>
        <w:t>V dokumentaciji so prijavitelji označili kateri dve načeli odličnosti želijo, da ocenjevalna skupina podrobneje obravnava.</w:t>
      </w:r>
    </w:p>
    <w:p w:rsidR="007C4E4B" w:rsidRPr="00797B26" w:rsidRDefault="007C4E4B" w:rsidP="007C4E4B">
      <w:pPr>
        <w:spacing w:line="240" w:lineRule="auto"/>
        <w:rPr>
          <w:rFonts w:cs="Arial"/>
          <w:szCs w:val="20"/>
          <w:lang w:val="sl-SI" w:eastAsia="sl-SI"/>
        </w:rPr>
      </w:pPr>
    </w:p>
    <w:p w:rsidR="007C4E4B" w:rsidRPr="00797B26" w:rsidRDefault="007C4E4B" w:rsidP="007C4E4B">
      <w:pPr>
        <w:spacing w:line="240" w:lineRule="auto"/>
        <w:rPr>
          <w:rFonts w:cs="Arial"/>
          <w:szCs w:val="20"/>
          <w:lang w:val="sl-SI"/>
        </w:rPr>
      </w:pPr>
      <w:r>
        <w:rPr>
          <w:rFonts w:cs="Arial"/>
          <w:szCs w:val="20"/>
          <w:lang w:val="sl-SI"/>
        </w:rPr>
        <w:lastRenderedPageBreak/>
        <w:t>Prejeto d</w:t>
      </w:r>
      <w:r w:rsidRPr="00797B26">
        <w:rPr>
          <w:rFonts w:cs="Arial"/>
          <w:szCs w:val="20"/>
          <w:lang w:val="sl-SI"/>
        </w:rPr>
        <w:t xml:space="preserve">okumentacijo smo na ministrstvu pregledali in </w:t>
      </w:r>
      <w:r>
        <w:rPr>
          <w:rFonts w:cs="Arial"/>
          <w:szCs w:val="20"/>
          <w:lang w:val="sl-SI"/>
        </w:rPr>
        <w:t>ga v začetku meseca aprila posredovali ocenjevalcem.</w:t>
      </w:r>
    </w:p>
    <w:bookmarkEnd w:id="2"/>
    <w:p w:rsidR="007C4E4B" w:rsidRPr="002578B7" w:rsidRDefault="007C4E4B" w:rsidP="007C4E4B">
      <w:pPr>
        <w:spacing w:line="240" w:lineRule="auto"/>
        <w:rPr>
          <w:rFonts w:cs="Arial"/>
          <w:szCs w:val="20"/>
          <w:highlight w:val="yellow"/>
          <w:u w:val="single"/>
          <w:lang w:val="sl-SI"/>
        </w:rPr>
      </w:pPr>
    </w:p>
    <w:p w:rsidR="007C4E4B" w:rsidRPr="00E2760C" w:rsidRDefault="007C4E4B" w:rsidP="007C4E4B">
      <w:pPr>
        <w:spacing w:line="240" w:lineRule="auto"/>
        <w:rPr>
          <w:rFonts w:cs="Arial"/>
          <w:szCs w:val="20"/>
          <w:u w:val="single"/>
          <w:lang w:val="sl-SI"/>
        </w:rPr>
      </w:pPr>
      <w:r w:rsidRPr="00E2760C">
        <w:rPr>
          <w:rFonts w:cs="Arial"/>
          <w:szCs w:val="20"/>
          <w:u w:val="single"/>
          <w:lang w:val="sl-SI"/>
        </w:rPr>
        <w:t xml:space="preserve">Postopek ocenjevanja </w:t>
      </w:r>
    </w:p>
    <w:p w:rsidR="007C4E4B" w:rsidRPr="00E2760C" w:rsidRDefault="007C4E4B" w:rsidP="007C4E4B">
      <w:pPr>
        <w:spacing w:line="240" w:lineRule="auto"/>
        <w:jc w:val="both"/>
        <w:rPr>
          <w:rFonts w:cs="Arial"/>
          <w:szCs w:val="20"/>
          <w:lang w:val="sl-SI"/>
        </w:rPr>
      </w:pPr>
      <w:r w:rsidRPr="00E2760C">
        <w:rPr>
          <w:rFonts w:cs="Arial"/>
          <w:szCs w:val="20"/>
          <w:lang w:val="sl-SI"/>
        </w:rPr>
        <w:t>Ocenjevanje je potekalo po enakem postopku kot v prvem in drugem pilotnem projektu. Usposobljene ocenjevalce smo razporedili v toliko ocenjevalnih skupin, kot je bilo prijaviteljev, pri čemer sta bila v vsaki skupini najmanj dva ocenjevalca. Pri tem smo upoštevali načelo čim večje heterogenosti in uravnoteženosti skupin glede na izkušnje ocenjevalcev.</w:t>
      </w:r>
    </w:p>
    <w:p w:rsidR="007C4E4B" w:rsidRPr="002578B7" w:rsidRDefault="007C4E4B" w:rsidP="007C4E4B">
      <w:pPr>
        <w:spacing w:line="240" w:lineRule="auto"/>
        <w:jc w:val="both"/>
        <w:rPr>
          <w:rFonts w:cs="Arial"/>
          <w:szCs w:val="20"/>
          <w:highlight w:val="yellow"/>
          <w:lang w:val="sl-SI"/>
        </w:rPr>
      </w:pPr>
    </w:p>
    <w:p w:rsidR="007C4E4B" w:rsidRPr="00B719D1" w:rsidRDefault="007C4E4B" w:rsidP="007C4E4B">
      <w:pPr>
        <w:spacing w:line="240" w:lineRule="auto"/>
        <w:jc w:val="both"/>
        <w:rPr>
          <w:rFonts w:cs="Arial"/>
          <w:szCs w:val="20"/>
          <w:lang w:val="sl-SI"/>
        </w:rPr>
      </w:pPr>
      <w:r w:rsidRPr="00B719D1">
        <w:rPr>
          <w:rFonts w:cs="Arial"/>
          <w:szCs w:val="20"/>
          <w:lang w:val="sl-SI"/>
        </w:rPr>
        <w:t>Vsak prijavitelj je bil obveščen o sestavi njihove ocenjevalne skupine, ocenjevalcem pa smo  poslali dokumentacijo, ki smo jo na ministrstvo prejeli s strani prijaviteljev, kot tudi ostalo dokumentacijo, ki so jo potrebovali pri svojem delu (Navodila, obrazce).</w:t>
      </w:r>
    </w:p>
    <w:p w:rsidR="007C4E4B" w:rsidRPr="00B719D1" w:rsidRDefault="007C4E4B" w:rsidP="007C4E4B">
      <w:pPr>
        <w:spacing w:line="240" w:lineRule="auto"/>
        <w:jc w:val="both"/>
        <w:rPr>
          <w:rFonts w:cs="Arial"/>
          <w:szCs w:val="20"/>
          <w:lang w:val="sl-SI"/>
        </w:rPr>
      </w:pPr>
      <w:r w:rsidRPr="00B719D1">
        <w:rPr>
          <w:rFonts w:cs="Arial"/>
          <w:szCs w:val="20"/>
          <w:lang w:val="sl-SI"/>
        </w:rPr>
        <w:t>Letos smo še dodatno prisluhnili predlogom ocenjevalcev glede rokov za posamezna opravila v postopku. Ocenjevalne skupine so tako prijavitelje ocenile do konca meseca maja.</w:t>
      </w:r>
    </w:p>
    <w:p w:rsidR="007C4E4B" w:rsidRPr="00B719D1" w:rsidRDefault="007C4E4B" w:rsidP="007C4E4B">
      <w:pPr>
        <w:spacing w:line="240" w:lineRule="auto"/>
        <w:jc w:val="both"/>
        <w:rPr>
          <w:rFonts w:cs="Arial"/>
          <w:szCs w:val="20"/>
          <w:lang w:val="sl-SI"/>
        </w:rPr>
      </w:pPr>
      <w:r w:rsidRPr="00B719D1">
        <w:rPr>
          <w:rFonts w:cs="Arial"/>
          <w:szCs w:val="20"/>
          <w:lang w:val="sl-SI"/>
        </w:rPr>
        <w:t>Ocenjevalci so pregledali pisno dokumentacijo prijaviteljev, na podlagi gradiva je vsak podal samostojno mnenje, nato je sledilo usklajevanje mnenj in ocen v skupini. Skladno s terminskim načrtom in v dogovoru s posameznim prijaviteljem, so ocenjevalne skupine v mesecu maju obiskale prijavitelje in izvedle pogovore z vodstvom in izbranimi zaposlenimi.</w:t>
      </w:r>
    </w:p>
    <w:p w:rsidR="007C4E4B" w:rsidRPr="00B719D1" w:rsidRDefault="007C4E4B" w:rsidP="007C4E4B">
      <w:pPr>
        <w:spacing w:line="240" w:lineRule="auto"/>
        <w:rPr>
          <w:rFonts w:cs="Arial"/>
          <w:szCs w:val="20"/>
          <w:lang w:val="sl-SI" w:eastAsia="sl-SI"/>
        </w:rPr>
      </w:pPr>
    </w:p>
    <w:p w:rsidR="007C4E4B" w:rsidRPr="00B719D1" w:rsidRDefault="007C4E4B" w:rsidP="007C4E4B">
      <w:pPr>
        <w:spacing w:line="240" w:lineRule="auto"/>
        <w:rPr>
          <w:rFonts w:cs="Arial"/>
          <w:szCs w:val="20"/>
          <w:lang w:val="sl-SI"/>
        </w:rPr>
      </w:pPr>
      <w:r w:rsidRPr="00B719D1">
        <w:rPr>
          <w:rFonts w:cs="Arial"/>
          <w:szCs w:val="20"/>
          <w:lang w:val="sl-SI"/>
        </w:rPr>
        <w:t>Ocenjevanje prijaviteljev je potekalo po enaki metodi kot v obeh pilotnih projektih, in sicer o:</w:t>
      </w:r>
    </w:p>
    <w:p w:rsidR="007C4E4B" w:rsidRPr="00B719D1" w:rsidRDefault="007C4E4B" w:rsidP="007C4E4B">
      <w:pPr>
        <w:rPr>
          <w:rFonts w:cs="Arial"/>
          <w:szCs w:val="20"/>
          <w:lang w:val="sl-SI"/>
        </w:rPr>
      </w:pPr>
      <w:r w:rsidRPr="00B719D1">
        <w:rPr>
          <w:rFonts w:cs="Arial"/>
          <w:szCs w:val="20"/>
          <w:lang w:val="sl-SI"/>
        </w:rPr>
        <w:t xml:space="preserve">- devetih korakih procesa samoocenjevanja (1. in 2. steber) in </w:t>
      </w:r>
    </w:p>
    <w:p w:rsidR="007C4E4B" w:rsidRPr="00B719D1" w:rsidRDefault="007C4E4B" w:rsidP="007C4E4B">
      <w:pPr>
        <w:rPr>
          <w:rFonts w:cs="Arial"/>
          <w:szCs w:val="20"/>
          <w:lang w:val="sl-SI"/>
        </w:rPr>
      </w:pPr>
      <w:r w:rsidRPr="00B719D1">
        <w:rPr>
          <w:rFonts w:cs="Arial"/>
          <w:szCs w:val="20"/>
          <w:lang w:val="sl-SI"/>
        </w:rPr>
        <w:t xml:space="preserve">- osmih načelih odličnosti (3. steber): </w:t>
      </w:r>
    </w:p>
    <w:p w:rsidR="007C4E4B" w:rsidRPr="00B719D1" w:rsidRDefault="007C4E4B" w:rsidP="007C4E4B">
      <w:pPr>
        <w:spacing w:line="240" w:lineRule="auto"/>
        <w:rPr>
          <w:rFonts w:cs="Arial"/>
          <w:szCs w:val="20"/>
          <w:lang w:val="sl-SI"/>
        </w:rPr>
      </w:pPr>
    </w:p>
    <w:p w:rsidR="007C4E4B" w:rsidRPr="00B719D1" w:rsidRDefault="007C4E4B" w:rsidP="007C4E4B">
      <w:pPr>
        <w:spacing w:line="240" w:lineRule="auto"/>
        <w:jc w:val="both"/>
        <w:rPr>
          <w:rFonts w:cs="Arial"/>
          <w:szCs w:val="20"/>
          <w:lang w:val="sl-SI"/>
        </w:rPr>
      </w:pPr>
      <w:r w:rsidRPr="00B719D1">
        <w:rPr>
          <w:rFonts w:cs="Arial"/>
          <w:szCs w:val="20"/>
          <w:lang w:val="sl-SI"/>
        </w:rPr>
        <w:t>Po zaključenih obiskih prijaviteljev so ocenjevalci do sredine meseca junija izdelali končna poročila s prednostmi</w:t>
      </w:r>
      <w:r>
        <w:rPr>
          <w:rFonts w:cs="Arial"/>
          <w:szCs w:val="20"/>
          <w:lang w:val="sl-SI"/>
        </w:rPr>
        <w:t>,</w:t>
      </w:r>
      <w:r w:rsidRPr="00B719D1">
        <w:rPr>
          <w:rFonts w:cs="Arial"/>
          <w:szCs w:val="20"/>
          <w:lang w:val="sl-SI"/>
        </w:rPr>
        <w:t xml:space="preserve"> predlogi izboljšav</w:t>
      </w:r>
      <w:r>
        <w:rPr>
          <w:rFonts w:cs="Arial"/>
          <w:szCs w:val="20"/>
          <w:lang w:val="sl-SI"/>
        </w:rPr>
        <w:t xml:space="preserve">, priporočili in </w:t>
      </w:r>
      <w:r w:rsidRPr="00B719D1">
        <w:rPr>
          <w:rFonts w:cs="Arial"/>
          <w:szCs w:val="20"/>
          <w:lang w:val="sl-SI"/>
        </w:rPr>
        <w:t xml:space="preserve">ocenami. </w:t>
      </w:r>
      <w:r>
        <w:rPr>
          <w:rFonts w:cs="Arial"/>
          <w:szCs w:val="20"/>
          <w:lang w:val="sl-SI"/>
        </w:rPr>
        <w:t xml:space="preserve">Vsaka ocenjevalna skupina je v poročilo napisala tudi ali predlaga, da se organizaciji podeli priznanje. </w:t>
      </w:r>
      <w:r w:rsidRPr="00B719D1">
        <w:rPr>
          <w:rFonts w:cs="Arial"/>
          <w:szCs w:val="20"/>
          <w:lang w:val="sl-SI"/>
        </w:rPr>
        <w:t xml:space="preserve">Po pregledu poročil s strani sodelavcev Sektorja za kakovost na MJU, so bila poročila poslana prijaviteljem. </w:t>
      </w:r>
    </w:p>
    <w:p w:rsidR="007C4E4B" w:rsidRDefault="007C4E4B" w:rsidP="007C4E4B">
      <w:pPr>
        <w:spacing w:line="240" w:lineRule="auto"/>
        <w:rPr>
          <w:rFonts w:cs="Arial"/>
          <w:szCs w:val="20"/>
          <w:lang w:val="sl-SI"/>
        </w:rPr>
      </w:pPr>
    </w:p>
    <w:p w:rsidR="007C4E4B" w:rsidRPr="00F01AFF" w:rsidRDefault="007C4E4B" w:rsidP="007C4E4B">
      <w:pPr>
        <w:spacing w:line="240" w:lineRule="auto"/>
        <w:jc w:val="both"/>
        <w:rPr>
          <w:rFonts w:cs="Arial"/>
          <w:szCs w:val="20"/>
          <w:lang w:val="sl-SI"/>
        </w:rPr>
      </w:pPr>
      <w:r w:rsidRPr="00F01AFF">
        <w:rPr>
          <w:rFonts w:cs="Arial"/>
          <w:szCs w:val="20"/>
          <w:lang w:val="sl-SI"/>
        </w:rPr>
        <w:t>Vsi prijavitelji so bili s strani ocenjevalnih skupin predlagani za podelitev priznanja »Uspešen CAF uporabnik«. Slovesnost</w:t>
      </w:r>
      <w:r>
        <w:rPr>
          <w:rFonts w:cs="Arial"/>
          <w:szCs w:val="20"/>
          <w:lang w:val="sl-SI"/>
        </w:rPr>
        <w:t xml:space="preserve"> ob podelitvi priznanj</w:t>
      </w:r>
      <w:r w:rsidRPr="00F01AFF">
        <w:rPr>
          <w:rFonts w:cs="Arial"/>
          <w:szCs w:val="20"/>
          <w:lang w:val="sl-SI"/>
        </w:rPr>
        <w:t xml:space="preserve"> bo predvidoma v januarju 2020. </w:t>
      </w:r>
    </w:p>
    <w:p w:rsidR="007C4E4B" w:rsidRDefault="007C4E4B" w:rsidP="007C4E4B">
      <w:pPr>
        <w:spacing w:line="240" w:lineRule="auto"/>
        <w:jc w:val="both"/>
        <w:rPr>
          <w:rFonts w:cs="Arial"/>
          <w:szCs w:val="20"/>
          <w:lang w:val="sl-SI"/>
        </w:rPr>
      </w:pPr>
    </w:p>
    <w:p w:rsidR="007C4E4B" w:rsidRDefault="007C4E4B" w:rsidP="007C4E4B">
      <w:pPr>
        <w:spacing w:line="240" w:lineRule="auto"/>
        <w:jc w:val="both"/>
        <w:rPr>
          <w:rFonts w:cs="Arial"/>
          <w:szCs w:val="20"/>
          <w:lang w:val="sl-SI"/>
        </w:rPr>
      </w:pPr>
      <w:r w:rsidRPr="003C3E1C">
        <w:rPr>
          <w:rFonts w:cs="Arial"/>
          <w:szCs w:val="20"/>
          <w:lang w:val="sl-SI"/>
        </w:rPr>
        <w:t>Na podlagi dogovora na zaključnem sestanku prijaviteljev in ocenjevalcev v 2. pilotnem projektu dne 18. 9. 2018, da MJU dopolni proces CAF EPI s fazo individualnih zaključnih sestankov med prijavitelji in ocenjevalnimi skupinami, so do</w:t>
      </w:r>
      <w:r>
        <w:rPr>
          <w:rFonts w:cs="Arial"/>
          <w:szCs w:val="20"/>
          <w:lang w:val="sl-SI"/>
        </w:rPr>
        <w:t xml:space="preserve"> sredine meseca septembra ocenjevalne skupine izvedle še drugi obisk prijaviteljev, v okviru katerih so prijavitelji prejeli še dodatna pojasnila glede navedb oz. ugotovitev v postopku, zapisanimi v končnem poročilu. Namen obiska je bil izključno pojasnjevalne narave.</w:t>
      </w:r>
    </w:p>
    <w:p w:rsidR="007C4E4B" w:rsidRDefault="007C4E4B" w:rsidP="007C4E4B">
      <w:pPr>
        <w:spacing w:line="240" w:lineRule="auto"/>
        <w:jc w:val="both"/>
        <w:rPr>
          <w:rFonts w:cs="Arial"/>
          <w:szCs w:val="20"/>
          <w:highlight w:val="yellow"/>
          <w:lang w:val="sl-SI"/>
        </w:rPr>
      </w:pPr>
    </w:p>
    <w:p w:rsidR="007C4E4B" w:rsidRPr="00B0306A" w:rsidRDefault="007C4E4B" w:rsidP="007C4E4B">
      <w:pPr>
        <w:spacing w:line="240" w:lineRule="auto"/>
        <w:jc w:val="both"/>
        <w:rPr>
          <w:rFonts w:cs="Arial"/>
          <w:szCs w:val="20"/>
          <w:lang w:val="sl-SI"/>
        </w:rPr>
      </w:pPr>
      <w:r w:rsidRPr="00B0306A">
        <w:rPr>
          <w:rFonts w:cs="Arial"/>
          <w:szCs w:val="20"/>
          <w:lang w:val="sl-SI"/>
        </w:rPr>
        <w:t>V CAF EPI 2019 so sodelovali naslednji zunanji ocenjevalci (skupno 14): Alenka Burnik, Nina Hadžimulić, Nataša Čelik Žakelj, Elena Hari Pertovt, Majda Meško, Damijana Miklavčič, Gordana Mikunovič, Barbara Peharc (MJU), Sara Pernuš, Terezija Povše Pesrl, Janja Sever Gombač, Tatjana Trček, Jelko Urbančič in Sebastijan Veniger.</w:t>
      </w:r>
    </w:p>
    <w:p w:rsidR="007C4E4B" w:rsidRPr="00B0306A" w:rsidRDefault="007C4E4B" w:rsidP="007C4E4B">
      <w:pPr>
        <w:rPr>
          <w:rFonts w:cs="Arial"/>
          <w:szCs w:val="20"/>
          <w:highlight w:val="yellow"/>
          <w:lang w:val="sl-SI"/>
        </w:rPr>
      </w:pPr>
    </w:p>
    <w:p w:rsidR="007C4E4B" w:rsidRPr="004E4A26" w:rsidRDefault="007C4E4B" w:rsidP="007C4E4B">
      <w:pPr>
        <w:spacing w:line="240" w:lineRule="auto"/>
        <w:rPr>
          <w:rFonts w:cs="Arial"/>
          <w:szCs w:val="20"/>
          <w:lang w:val="sl-SI" w:eastAsia="sl-SI"/>
        </w:rPr>
      </w:pPr>
      <w:r w:rsidRPr="004E4A26">
        <w:rPr>
          <w:rFonts w:cs="Arial"/>
          <w:szCs w:val="20"/>
          <w:u w:val="single"/>
          <w:lang w:val="sl-SI"/>
        </w:rPr>
        <w:t>Zaključni sestanek sodelujočih v postopku</w:t>
      </w:r>
      <w:r w:rsidRPr="004E4A26">
        <w:rPr>
          <w:rFonts w:cs="Arial"/>
          <w:szCs w:val="20"/>
          <w:lang w:val="sl-SI" w:eastAsia="sl-SI"/>
        </w:rPr>
        <w:t xml:space="preserve"> </w:t>
      </w:r>
    </w:p>
    <w:p w:rsidR="007C4E4B" w:rsidRPr="004E4A26" w:rsidRDefault="007C4E4B" w:rsidP="007C4E4B">
      <w:pPr>
        <w:spacing w:line="240" w:lineRule="auto"/>
        <w:jc w:val="both"/>
        <w:rPr>
          <w:rFonts w:cs="Arial"/>
          <w:szCs w:val="20"/>
          <w:u w:val="single"/>
          <w:lang w:val="sl-SI"/>
        </w:rPr>
      </w:pPr>
      <w:r w:rsidRPr="004E4A26">
        <w:rPr>
          <w:rFonts w:cs="Arial"/>
          <w:szCs w:val="20"/>
          <w:lang w:val="sl-SI" w:eastAsia="sl-SI"/>
        </w:rPr>
        <w:t>Dne 26. 9. 2019 smo postopek zaključili s srečanjem vseh sodelujočih v postopku, na katerem smo predstavili rezultate ocenjevanja CAF EPI 2019, rezultate ugotavljanja zadovoljstva prijaviteljev in ocenjevalcev, si izmenjali izkušnje in strnili zaključke. Proces ocenjevanja je bil izveden skladno s predvidenim terminskim načrtom tako, da so bila končna poročila pravočasno poslana prijaviteljem.</w:t>
      </w:r>
    </w:p>
    <w:p w:rsidR="007C4E4B" w:rsidRDefault="007C4E4B" w:rsidP="007C4E4B">
      <w:pPr>
        <w:spacing w:line="240" w:lineRule="auto"/>
        <w:jc w:val="both"/>
        <w:rPr>
          <w:rFonts w:cs="Arial"/>
          <w:szCs w:val="20"/>
          <w:highlight w:val="yellow"/>
          <w:lang w:val="sl-SI" w:eastAsia="sl-SI"/>
        </w:rPr>
      </w:pPr>
    </w:p>
    <w:p w:rsidR="007C4E4B" w:rsidRPr="004E4A26" w:rsidRDefault="007C4E4B" w:rsidP="007C4E4B">
      <w:pPr>
        <w:spacing w:line="240" w:lineRule="auto"/>
        <w:rPr>
          <w:rFonts w:cs="Arial"/>
          <w:szCs w:val="20"/>
          <w:u w:val="single"/>
          <w:lang w:val="sl-SI"/>
        </w:rPr>
      </w:pPr>
      <w:r w:rsidRPr="004E4A26">
        <w:rPr>
          <w:rFonts w:cs="Arial"/>
          <w:szCs w:val="20"/>
          <w:u w:val="single"/>
          <w:lang w:val="sl-SI"/>
        </w:rPr>
        <w:t xml:space="preserve">Rezultati ocenjevanja </w:t>
      </w:r>
    </w:p>
    <w:p w:rsidR="007C4E4B" w:rsidRPr="004E4A26" w:rsidRDefault="007C4E4B" w:rsidP="007C4E4B">
      <w:pPr>
        <w:rPr>
          <w:rFonts w:cs="Arial"/>
          <w:szCs w:val="20"/>
          <w:lang w:val="sl-SI"/>
        </w:rPr>
      </w:pPr>
      <w:r w:rsidRPr="004E4A26">
        <w:rPr>
          <w:rFonts w:cs="Arial"/>
          <w:szCs w:val="20"/>
          <w:lang w:val="sl-SI" w:eastAsia="sl-SI"/>
        </w:rPr>
        <w:t>Prijavitelji so bili glede faz postopka izvajanja SO v</w:t>
      </w:r>
      <w:r w:rsidRPr="004E4A26">
        <w:rPr>
          <w:rFonts w:cs="Arial"/>
          <w:szCs w:val="20"/>
          <w:lang w:val="sl-SI"/>
        </w:rPr>
        <w:t xml:space="preserve"> povprečju </w:t>
      </w:r>
      <w:r>
        <w:rPr>
          <w:rFonts w:cs="Arial"/>
          <w:szCs w:val="20"/>
          <w:lang w:val="sl-SI"/>
        </w:rPr>
        <w:t>najbolje</w:t>
      </w:r>
      <w:r w:rsidRPr="004E4A26">
        <w:rPr>
          <w:rFonts w:cs="Arial"/>
          <w:szCs w:val="20"/>
          <w:lang w:val="sl-SI"/>
        </w:rPr>
        <w:t xml:space="preserve"> ocen</w:t>
      </w:r>
      <w:r>
        <w:rPr>
          <w:rFonts w:cs="Arial"/>
          <w:szCs w:val="20"/>
          <w:lang w:val="sl-SI"/>
        </w:rPr>
        <w:t>jeni</w:t>
      </w:r>
      <w:r w:rsidRPr="004E4A26">
        <w:rPr>
          <w:rFonts w:cs="Arial"/>
          <w:szCs w:val="20"/>
          <w:lang w:val="sl-SI"/>
        </w:rPr>
        <w:t xml:space="preserve"> na področjih: 1. organiziranja in načrtovanja samoocenjevanj, vključno s 3. sestavo samoocenjevalnih skupin in 4. organiziranjem usposabljanj, 6. priprave poročila o rezultatih izvedenih SO ter 9. izvajanju načrta izboljšav.</w:t>
      </w:r>
    </w:p>
    <w:p w:rsidR="007C4E4B" w:rsidRPr="004E4A26" w:rsidRDefault="007C4E4B" w:rsidP="007C4E4B">
      <w:pPr>
        <w:rPr>
          <w:rFonts w:cs="Arial"/>
          <w:szCs w:val="20"/>
          <w:lang w:val="sl-SI"/>
        </w:rPr>
      </w:pPr>
      <w:r w:rsidRPr="004E4A26">
        <w:rPr>
          <w:rFonts w:cs="Arial"/>
          <w:szCs w:val="20"/>
          <w:lang w:val="sl-SI"/>
        </w:rPr>
        <w:t>Nekoliko manj na področjih: 2. komuniciranja o poteku projekta SO, 5. izvajanju samoocenjevanja ter 8. sporočanju načrta izboljšav.</w:t>
      </w:r>
    </w:p>
    <w:p w:rsidR="007C4E4B" w:rsidRPr="004E4A26" w:rsidRDefault="007C4E4B" w:rsidP="007C4E4B">
      <w:pPr>
        <w:rPr>
          <w:rFonts w:cs="Arial"/>
          <w:szCs w:val="20"/>
          <w:lang w:val="sl-SI"/>
        </w:rPr>
      </w:pPr>
      <w:r w:rsidRPr="004E4A26">
        <w:rPr>
          <w:rFonts w:cs="Arial"/>
          <w:szCs w:val="20"/>
          <w:lang w:val="sl-SI"/>
        </w:rPr>
        <w:lastRenderedPageBreak/>
        <w:t>Najslabše pa so bili prijavitelji v povprečju ocenjeni na področju 7. priprave osnutka izboljšav.</w:t>
      </w:r>
      <w:r>
        <w:rPr>
          <w:rFonts w:cs="Arial"/>
          <w:szCs w:val="20"/>
          <w:lang w:val="sl-SI"/>
        </w:rPr>
        <w:t xml:space="preserve"> Rezultati so prikazani v spodnjem Grafu 1.</w:t>
      </w:r>
    </w:p>
    <w:p w:rsidR="007C4E4B" w:rsidRDefault="007C4E4B" w:rsidP="007C4E4B">
      <w:pPr>
        <w:spacing w:line="240" w:lineRule="auto"/>
        <w:jc w:val="both"/>
        <w:rPr>
          <w:rFonts w:cs="Arial"/>
          <w:szCs w:val="20"/>
          <w:highlight w:val="yellow"/>
          <w:lang w:val="sl-SI" w:eastAsia="sl-SI"/>
        </w:rPr>
      </w:pPr>
    </w:p>
    <w:p w:rsidR="007C4E4B" w:rsidRDefault="007C4E4B" w:rsidP="007C4E4B">
      <w:pPr>
        <w:spacing w:line="240" w:lineRule="auto"/>
        <w:jc w:val="center"/>
        <w:rPr>
          <w:rFonts w:cs="Arial"/>
          <w:szCs w:val="20"/>
          <w:highlight w:val="yellow"/>
          <w:lang w:val="sl-SI" w:eastAsia="sl-SI"/>
        </w:rPr>
      </w:pPr>
      <w:r w:rsidRPr="00BA13B0">
        <w:rPr>
          <w:rFonts w:cs="Arial"/>
          <w:noProof/>
          <w:szCs w:val="20"/>
          <w:highlight w:val="yellow"/>
          <w:lang w:eastAsia="sl-SI"/>
        </w:rPr>
        <w:drawing>
          <wp:inline distT="0" distB="0" distL="0" distR="0" wp14:anchorId="0A6BF20E" wp14:editId="6A31BBE1">
            <wp:extent cx="4158533" cy="3381595"/>
            <wp:effectExtent l="0" t="0" r="13970" b="9525"/>
            <wp:docPr id="5" name="Grafikon 5" descr="V grafu je s stolpci prikazano besedilo pred grafom." title="Graf 1: CAF EPI 2019 – povprečje ocen prijaviteljev (1. in 2. steber)">
              <a:extLst xmlns:a="http://schemas.openxmlformats.org/drawingml/2006/main">
                <a:ext uri="{FF2B5EF4-FFF2-40B4-BE49-F238E27FC236}">
                  <a16:creationId xmlns:a16="http://schemas.microsoft.com/office/drawing/2014/main" id="{D13FEE8E-D38D-418E-BB18-8BD86D8124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C4E4B" w:rsidRPr="005E4CA1" w:rsidRDefault="007C4E4B" w:rsidP="007C4E4B">
      <w:pPr>
        <w:spacing w:line="240" w:lineRule="auto"/>
        <w:jc w:val="center"/>
        <w:rPr>
          <w:rFonts w:cs="Arial"/>
          <w:szCs w:val="20"/>
          <w:lang w:val="sl-SI" w:eastAsia="sl-SI"/>
        </w:rPr>
      </w:pPr>
      <w:r w:rsidRPr="005E4CA1">
        <w:rPr>
          <w:rFonts w:cs="Arial"/>
          <w:szCs w:val="20"/>
          <w:lang w:val="sl-SI" w:eastAsia="sl-SI"/>
        </w:rPr>
        <w:t>Graf 1: CAF EPI 2019 – povprečje ocen prijaviteljev (1. in 2. steber)</w:t>
      </w:r>
    </w:p>
    <w:p w:rsidR="007C4E4B" w:rsidRDefault="007C4E4B" w:rsidP="007C4E4B">
      <w:pPr>
        <w:spacing w:line="240" w:lineRule="auto"/>
        <w:jc w:val="center"/>
        <w:rPr>
          <w:rFonts w:cs="Arial"/>
          <w:szCs w:val="20"/>
          <w:highlight w:val="yellow"/>
          <w:lang w:val="sl-SI" w:eastAsia="sl-SI"/>
        </w:rPr>
      </w:pPr>
    </w:p>
    <w:p w:rsidR="007C4E4B" w:rsidRPr="00D90E62" w:rsidRDefault="007C4E4B" w:rsidP="007C4E4B">
      <w:pPr>
        <w:rPr>
          <w:rFonts w:cs="Arial"/>
          <w:szCs w:val="20"/>
          <w:lang w:val="sl-SI" w:eastAsia="sl-SI"/>
        </w:rPr>
      </w:pPr>
      <w:r w:rsidRPr="00D90E62">
        <w:rPr>
          <w:rFonts w:cs="Arial"/>
          <w:szCs w:val="20"/>
          <w:lang w:val="sl-SI" w:eastAsia="sl-SI"/>
        </w:rPr>
        <w:t>Pri preverjanju zrelosti organizacij po pristopu celovitega obvladovanja kakovosti (načela odličnosti) pa smo prišli do ugotovitev, da so bili prijavitelji v povprečju najbolje ocenjeni po načelu Usmerjenost k rezultatom (3), najslabše pa po načelu Nenehno učenje, izboljševanje in inoviranje (6),</w:t>
      </w:r>
    </w:p>
    <w:p w:rsidR="007C4E4B" w:rsidRPr="00D90E62" w:rsidRDefault="007C4E4B" w:rsidP="007C4E4B">
      <w:pPr>
        <w:rPr>
          <w:rFonts w:cs="Arial"/>
          <w:szCs w:val="20"/>
          <w:lang w:val="sl-SI" w:eastAsia="sl-SI"/>
        </w:rPr>
      </w:pPr>
      <w:r w:rsidRPr="00D90E62">
        <w:rPr>
          <w:rFonts w:cs="Arial"/>
          <w:szCs w:val="20"/>
          <w:lang w:val="sl-SI" w:eastAsia="sl-SI"/>
        </w:rPr>
        <w:t>V zgornji polovici so bili ocenjeni tudi po načelih Voditeljstva (1) in Osredotočenosti na državljana (2),</w:t>
      </w:r>
    </w:p>
    <w:p w:rsidR="007C4E4B" w:rsidRDefault="007C4E4B" w:rsidP="007C4E4B">
      <w:pPr>
        <w:rPr>
          <w:rFonts w:cs="Arial"/>
          <w:szCs w:val="20"/>
          <w:lang w:val="sl-SI"/>
        </w:rPr>
      </w:pPr>
      <w:r w:rsidRPr="00D90E62">
        <w:rPr>
          <w:rFonts w:cs="Arial"/>
          <w:szCs w:val="20"/>
          <w:lang w:val="sl-SI" w:eastAsia="sl-SI"/>
        </w:rPr>
        <w:t>Kar nekaj prostora za izboljšave pa imajo prijavitelji še na področju Družbene odgovornosti  organizacije (8), sledi Razvijanje partnerstev (7), Vključenost zaposlenih (5) in Vodenje na podlagi rezultatov (4).</w:t>
      </w:r>
      <w:r>
        <w:rPr>
          <w:rFonts w:cs="Arial"/>
          <w:szCs w:val="20"/>
          <w:lang w:val="sl-SI" w:eastAsia="sl-SI"/>
        </w:rPr>
        <w:t xml:space="preserve"> </w:t>
      </w:r>
      <w:r>
        <w:rPr>
          <w:rFonts w:cs="Arial"/>
          <w:szCs w:val="20"/>
          <w:lang w:val="sl-SI"/>
        </w:rPr>
        <w:t>Rezultati so prikazani v Grafu 2.</w:t>
      </w:r>
    </w:p>
    <w:p w:rsidR="007C4E4B" w:rsidRDefault="007C4E4B" w:rsidP="007C4E4B">
      <w:pPr>
        <w:spacing w:line="240" w:lineRule="auto"/>
        <w:jc w:val="both"/>
        <w:rPr>
          <w:rFonts w:cs="Arial"/>
          <w:szCs w:val="20"/>
          <w:highlight w:val="yellow"/>
          <w:lang w:val="sl-SI" w:eastAsia="sl-SI"/>
        </w:rPr>
      </w:pPr>
    </w:p>
    <w:p w:rsidR="007C4E4B" w:rsidRDefault="007C4E4B" w:rsidP="007C4E4B">
      <w:pPr>
        <w:spacing w:line="240" w:lineRule="auto"/>
        <w:jc w:val="center"/>
        <w:rPr>
          <w:rFonts w:cs="Arial"/>
          <w:szCs w:val="20"/>
          <w:highlight w:val="yellow"/>
          <w:lang w:val="sl-SI" w:eastAsia="sl-SI"/>
        </w:rPr>
      </w:pPr>
      <w:r>
        <w:rPr>
          <w:noProof/>
        </w:rPr>
        <w:drawing>
          <wp:inline distT="0" distB="0" distL="0" distR="0" wp14:anchorId="11019ACE" wp14:editId="059C922D">
            <wp:extent cx="4564049" cy="2806451"/>
            <wp:effectExtent l="0" t="0" r="8255" b="13335"/>
            <wp:docPr id="4" name="Grafikon 4" descr="Graf prikazuje rezultate preverjanja zrelosti organizacij po pristopu celovitega obvladovanja kakovosti." title="Graf 2: CAF EPI 2019 - Povprečje ocen prijaviteljev - Načela odličnosti">
              <a:extLst xmlns:a="http://schemas.openxmlformats.org/drawingml/2006/main">
                <a:ext uri="{FF2B5EF4-FFF2-40B4-BE49-F238E27FC236}">
                  <a16:creationId xmlns:a16="http://schemas.microsoft.com/office/drawing/2014/main" id="{C910D2AA-9E7B-47E9-96D7-E961000E48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C4E4B" w:rsidRPr="00BA13B0" w:rsidRDefault="007C4E4B" w:rsidP="007C4E4B">
      <w:pPr>
        <w:spacing w:line="240" w:lineRule="auto"/>
        <w:jc w:val="center"/>
        <w:rPr>
          <w:rFonts w:cs="Arial"/>
          <w:szCs w:val="20"/>
          <w:lang w:val="sl-SI" w:eastAsia="sl-SI"/>
        </w:rPr>
      </w:pPr>
      <w:r w:rsidRPr="00BA13B0">
        <w:rPr>
          <w:rFonts w:cs="Arial"/>
          <w:szCs w:val="20"/>
          <w:lang w:val="sl-SI" w:eastAsia="sl-SI"/>
        </w:rPr>
        <w:lastRenderedPageBreak/>
        <w:t>Graf 2: CAF EPI 2019 - Povprečje ocen prijaviteljev - Načela odličnosti</w:t>
      </w:r>
    </w:p>
    <w:p w:rsidR="007C4E4B" w:rsidRPr="002578B7" w:rsidRDefault="007C4E4B" w:rsidP="007C4E4B">
      <w:pPr>
        <w:spacing w:line="240" w:lineRule="auto"/>
        <w:jc w:val="center"/>
        <w:rPr>
          <w:rFonts w:cs="Arial"/>
          <w:szCs w:val="20"/>
          <w:highlight w:val="yellow"/>
          <w:lang w:val="sl-SI" w:eastAsia="sl-SI"/>
        </w:rPr>
      </w:pPr>
    </w:p>
    <w:p w:rsidR="007C4E4B" w:rsidRPr="009237CF" w:rsidRDefault="007C4E4B" w:rsidP="007C4E4B">
      <w:pPr>
        <w:spacing w:line="240" w:lineRule="auto"/>
        <w:jc w:val="both"/>
        <w:rPr>
          <w:rFonts w:cs="Arial"/>
          <w:szCs w:val="20"/>
          <w:lang w:val="sl-SI" w:eastAsia="sl-SI"/>
        </w:rPr>
      </w:pPr>
      <w:bookmarkStart w:id="3" w:name="_Hlk22281483"/>
      <w:r w:rsidRPr="009237CF">
        <w:rPr>
          <w:rFonts w:cs="Arial"/>
          <w:szCs w:val="20"/>
          <w:lang w:val="sl-SI" w:eastAsia="sl-SI"/>
        </w:rPr>
        <w:t xml:space="preserve">Ocenjevalci so v poročilih pohvalili </w:t>
      </w:r>
      <w:r>
        <w:rPr>
          <w:rFonts w:cs="Arial"/>
          <w:szCs w:val="20"/>
          <w:lang w:val="sl-SI" w:eastAsia="sl-SI"/>
        </w:rPr>
        <w:t xml:space="preserve">proaktivni pristop in visoko zavezanost vodstva za napredovanje v smeri nenehnih izboljšav s pomočjo uporabe modela CAF, </w:t>
      </w:r>
      <w:r w:rsidRPr="009237CF">
        <w:rPr>
          <w:rFonts w:cs="Arial"/>
          <w:szCs w:val="20"/>
          <w:lang w:val="sl-SI" w:eastAsia="sl-SI"/>
        </w:rPr>
        <w:t xml:space="preserve">sodelovanje s ključnimi partnerji organizacije, dobro informiranje strank o ciljih in pričakovanih rezultatih, </w:t>
      </w:r>
      <w:r>
        <w:rPr>
          <w:rFonts w:cs="Arial"/>
          <w:szCs w:val="20"/>
          <w:lang w:val="sl-SI" w:eastAsia="sl-SI"/>
        </w:rPr>
        <w:t xml:space="preserve">ponekod zaznane izboljšave v strukturi akcijskih načrtov, </w:t>
      </w:r>
      <w:r w:rsidRPr="009237CF">
        <w:rPr>
          <w:rFonts w:cs="Arial"/>
          <w:szCs w:val="20"/>
          <w:lang w:val="sl-SI" w:eastAsia="sl-SI"/>
        </w:rPr>
        <w:t xml:space="preserve">sistematično zbiranje in analiziranje podatkov ter samoiniciativno delovanje zaposlenih pri iskanju in analiziranju povratnih informacij odjemalcev. </w:t>
      </w:r>
    </w:p>
    <w:p w:rsidR="007C4E4B" w:rsidRPr="00FF0F0C" w:rsidRDefault="007C4E4B" w:rsidP="007C4E4B">
      <w:pPr>
        <w:spacing w:line="240" w:lineRule="auto"/>
        <w:jc w:val="both"/>
        <w:rPr>
          <w:rFonts w:cs="Arial"/>
          <w:szCs w:val="20"/>
          <w:lang w:val="sl-SI" w:eastAsia="sl-SI"/>
        </w:rPr>
      </w:pPr>
      <w:r w:rsidRPr="00FF0F0C">
        <w:rPr>
          <w:rFonts w:cs="Arial"/>
          <w:szCs w:val="20"/>
          <w:lang w:val="sl-SI" w:eastAsia="sl-SI"/>
        </w:rPr>
        <w:t xml:space="preserve">Med priložnosti za izboljšave pa je bilo izpostavljeno zlasti: povečati uporabo PDCA kroga – krog nenehnih izboljšav, stalne naloge ne morejo biti predmet </w:t>
      </w:r>
      <w:r>
        <w:rPr>
          <w:rFonts w:cs="Arial"/>
          <w:szCs w:val="20"/>
          <w:lang w:val="sl-SI" w:eastAsia="sl-SI"/>
        </w:rPr>
        <w:t>akcijskega načrta</w:t>
      </w:r>
      <w:r w:rsidRPr="00FF0F0C">
        <w:rPr>
          <w:rFonts w:cs="Arial"/>
          <w:szCs w:val="20"/>
          <w:lang w:val="sl-SI" w:eastAsia="sl-SI"/>
        </w:rPr>
        <w:t xml:space="preserve">, izpostavitev prednostnih področij </w:t>
      </w:r>
      <w:r>
        <w:rPr>
          <w:rFonts w:cs="Arial"/>
          <w:szCs w:val="20"/>
          <w:lang w:val="sl-SI" w:eastAsia="sl-SI"/>
        </w:rPr>
        <w:t xml:space="preserve">organizacije </w:t>
      </w:r>
      <w:r w:rsidRPr="00FF0F0C">
        <w:rPr>
          <w:rFonts w:cs="Arial"/>
          <w:szCs w:val="20"/>
          <w:lang w:val="sl-SI" w:eastAsia="sl-SI"/>
        </w:rPr>
        <w:t>(izstopa</w:t>
      </w:r>
      <w:r>
        <w:rPr>
          <w:rFonts w:cs="Arial"/>
          <w:szCs w:val="20"/>
          <w:lang w:val="sl-SI" w:eastAsia="sl-SI"/>
        </w:rPr>
        <w:t>nje</w:t>
      </w:r>
      <w:r w:rsidRPr="00FF0F0C">
        <w:rPr>
          <w:rFonts w:cs="Arial"/>
          <w:szCs w:val="20"/>
          <w:lang w:val="sl-SI" w:eastAsia="sl-SI"/>
        </w:rPr>
        <w:t xml:space="preserve"> iz povprečja)</w:t>
      </w:r>
      <w:r>
        <w:rPr>
          <w:rFonts w:cs="Arial"/>
          <w:szCs w:val="20"/>
          <w:lang w:val="sl-SI" w:eastAsia="sl-SI"/>
        </w:rPr>
        <w:t>, redno ocenjevanje ukrepov izboljšav</w:t>
      </w:r>
      <w:r w:rsidRPr="00FF0F0C">
        <w:rPr>
          <w:rFonts w:cs="Arial"/>
          <w:szCs w:val="20"/>
          <w:lang w:val="sl-SI" w:eastAsia="sl-SI"/>
        </w:rPr>
        <w:t xml:space="preserve"> ter izvajanje načrta komuniciranja. </w:t>
      </w:r>
    </w:p>
    <w:p w:rsidR="007C4E4B" w:rsidRPr="00FF0BF1" w:rsidRDefault="007C4E4B" w:rsidP="007C4E4B">
      <w:pPr>
        <w:spacing w:line="240" w:lineRule="auto"/>
        <w:jc w:val="both"/>
        <w:rPr>
          <w:rFonts w:cs="Arial"/>
          <w:szCs w:val="20"/>
          <w:lang w:val="sl-SI" w:eastAsia="sl-SI"/>
        </w:rPr>
      </w:pPr>
      <w:r w:rsidRPr="00FF0BF1">
        <w:rPr>
          <w:rFonts w:cs="Arial"/>
          <w:szCs w:val="20"/>
          <w:lang w:val="sl-SI" w:eastAsia="sl-SI"/>
        </w:rPr>
        <w:t>Med priporočila pa so zapisali: intenzivirati aktivno vključevanje zaposlenih v projekte, razpršiti funkcije nosilca ukrepov med zaposlene, organiziranje tematskih izmenjav znanj in praks med UE ter razmisliti o možnosti prehoda na podrobno točkovanje.</w:t>
      </w:r>
    </w:p>
    <w:bookmarkEnd w:id="3"/>
    <w:p w:rsidR="007C4E4B" w:rsidRDefault="007C4E4B" w:rsidP="007C4E4B">
      <w:pPr>
        <w:spacing w:line="240" w:lineRule="auto"/>
        <w:jc w:val="both"/>
        <w:rPr>
          <w:rFonts w:cs="Arial"/>
          <w:szCs w:val="20"/>
          <w:highlight w:val="yellow"/>
          <w:lang w:val="sl-SI" w:eastAsia="sl-SI"/>
        </w:rPr>
      </w:pPr>
    </w:p>
    <w:p w:rsidR="007C4E4B" w:rsidRPr="0018122E" w:rsidRDefault="007C4E4B" w:rsidP="007C4E4B">
      <w:pPr>
        <w:spacing w:line="240" w:lineRule="auto"/>
        <w:jc w:val="both"/>
        <w:rPr>
          <w:rFonts w:cs="Arial"/>
          <w:szCs w:val="20"/>
          <w:lang w:val="sl-SI" w:eastAsia="sl-SI"/>
        </w:rPr>
      </w:pPr>
      <w:r w:rsidRPr="0018122E">
        <w:rPr>
          <w:rFonts w:cs="Arial"/>
          <w:szCs w:val="20"/>
          <w:lang w:val="sl-SI" w:eastAsia="sl-SI"/>
        </w:rPr>
        <w:t>Primerjave rezultatov ocenjevanja</w:t>
      </w:r>
    </w:p>
    <w:p w:rsidR="007C4E4B" w:rsidRDefault="007C4E4B" w:rsidP="007C4E4B">
      <w:pPr>
        <w:spacing w:line="240" w:lineRule="auto"/>
        <w:jc w:val="both"/>
        <w:rPr>
          <w:rFonts w:cs="Arial"/>
          <w:szCs w:val="20"/>
          <w:highlight w:val="yellow"/>
          <w:lang w:val="sl-SI" w:eastAsia="sl-SI"/>
        </w:rPr>
      </w:pPr>
    </w:p>
    <w:p w:rsidR="007C4E4B" w:rsidRPr="0018122E" w:rsidRDefault="007C4E4B" w:rsidP="007C4E4B">
      <w:pPr>
        <w:spacing w:line="240" w:lineRule="auto"/>
        <w:jc w:val="both"/>
        <w:rPr>
          <w:rFonts w:cs="Arial"/>
          <w:szCs w:val="20"/>
          <w:lang w:val="sl-SI" w:eastAsia="sl-SI"/>
        </w:rPr>
      </w:pPr>
      <w:r w:rsidRPr="0018122E">
        <w:rPr>
          <w:rFonts w:cs="Arial"/>
          <w:szCs w:val="20"/>
          <w:lang w:val="sl-SI" w:eastAsia="sl-SI"/>
        </w:rPr>
        <w:t>Analiza rezultatov ocenjevanja prijaviteljev-povratnikov</w:t>
      </w:r>
      <w:r w:rsidRPr="0018122E">
        <w:rPr>
          <w:lang w:val="sl-SI"/>
        </w:rPr>
        <w:footnoteReference w:id="1"/>
      </w:r>
      <w:r>
        <w:rPr>
          <w:rFonts w:cs="Arial"/>
          <w:szCs w:val="20"/>
          <w:lang w:val="sl-SI" w:eastAsia="sl-SI"/>
        </w:rPr>
        <w:t xml:space="preserve"> </w:t>
      </w:r>
      <w:r w:rsidRPr="0018122E">
        <w:rPr>
          <w:rFonts w:cs="Arial"/>
          <w:szCs w:val="20"/>
          <w:lang w:val="sl-SI" w:eastAsia="sl-SI"/>
        </w:rPr>
        <w:t xml:space="preserve">je pokazala </w:t>
      </w:r>
      <w:bookmarkStart w:id="5" w:name="_Hlk22281818"/>
      <w:r w:rsidRPr="0018122E">
        <w:rPr>
          <w:rFonts w:cs="Arial"/>
          <w:szCs w:val="20"/>
          <w:lang w:val="sl-SI" w:eastAsia="sl-SI"/>
        </w:rPr>
        <w:t>izboljšave povprečnih rezultatov po vseh korakih,</w:t>
      </w:r>
    </w:p>
    <w:p w:rsidR="007C4E4B" w:rsidRPr="0018122E" w:rsidRDefault="007C4E4B" w:rsidP="007C4E4B">
      <w:pPr>
        <w:spacing w:line="240" w:lineRule="auto"/>
        <w:jc w:val="both"/>
        <w:rPr>
          <w:rFonts w:cs="Arial"/>
          <w:szCs w:val="20"/>
          <w:lang w:val="sl-SI" w:eastAsia="sl-SI"/>
        </w:rPr>
      </w:pPr>
      <w:bookmarkStart w:id="6" w:name="_Hlk22282057"/>
      <w:bookmarkEnd w:id="5"/>
      <w:r w:rsidRPr="0018122E">
        <w:rPr>
          <w:rFonts w:cs="Arial"/>
          <w:szCs w:val="20"/>
          <w:lang w:val="sl-SI" w:eastAsia="sl-SI"/>
        </w:rPr>
        <w:t xml:space="preserve">Enak opazen napredek je bil dosežen na področjih: 6. Sestavite poročilo o SO, 7. Naredite osnutek načrta izboljšav, 8. Sporočajte načrt izboljšav in 9. Izvajajte načrt izboljšav. </w:t>
      </w:r>
      <w:bookmarkEnd w:id="6"/>
      <w:r w:rsidRPr="0018122E">
        <w:rPr>
          <w:rFonts w:cs="Arial"/>
          <w:szCs w:val="20"/>
          <w:lang w:val="sl-SI" w:eastAsia="sl-SI"/>
        </w:rPr>
        <w:t xml:space="preserve">(Graf </w:t>
      </w:r>
      <w:r>
        <w:rPr>
          <w:rFonts w:cs="Arial"/>
          <w:szCs w:val="20"/>
          <w:lang w:val="sl-SI" w:eastAsia="sl-SI"/>
        </w:rPr>
        <w:t>3</w:t>
      </w:r>
      <w:r w:rsidRPr="0018122E">
        <w:rPr>
          <w:rFonts w:cs="Arial"/>
          <w:szCs w:val="20"/>
          <w:lang w:val="sl-SI" w:eastAsia="sl-SI"/>
        </w:rPr>
        <w:t>)</w:t>
      </w:r>
    </w:p>
    <w:p w:rsidR="007C4E4B" w:rsidRPr="002578B7" w:rsidRDefault="007C4E4B" w:rsidP="007C4E4B">
      <w:pPr>
        <w:spacing w:line="240" w:lineRule="auto"/>
        <w:jc w:val="center"/>
        <w:rPr>
          <w:rFonts w:cs="Arial"/>
          <w:szCs w:val="20"/>
          <w:highlight w:val="yellow"/>
          <w:lang w:val="sl-SI" w:eastAsia="sl-SI"/>
        </w:rPr>
      </w:pPr>
      <w:r>
        <w:rPr>
          <w:noProof/>
        </w:rPr>
        <w:drawing>
          <wp:inline distT="0" distB="0" distL="0" distR="0" wp14:anchorId="62A08ACF" wp14:editId="43FA0576">
            <wp:extent cx="4731026" cy="3007995"/>
            <wp:effectExtent l="0" t="0" r="12700" b="1905"/>
            <wp:docPr id="8" name="Grafikon 8" descr="Graf prikazuje rezultate analiza rezultatov ocenjevanja prijaviteljev-povratnikov." title="Graf 3: Povprečne ocene - prijavitelji povratniki - primerjava (1. in 2. steber)">
              <a:extLst xmlns:a="http://schemas.openxmlformats.org/drawingml/2006/main">
                <a:ext uri="{FF2B5EF4-FFF2-40B4-BE49-F238E27FC236}">
                  <a16:creationId xmlns:a16="http://schemas.microsoft.com/office/drawing/2014/main" id="{017083C5-50F2-4AC4-8E37-19994258FD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C4E4B" w:rsidRDefault="007C4E4B" w:rsidP="007C4E4B">
      <w:pPr>
        <w:spacing w:line="240" w:lineRule="auto"/>
        <w:jc w:val="both"/>
        <w:rPr>
          <w:rFonts w:cs="Arial"/>
          <w:szCs w:val="20"/>
          <w:highlight w:val="yellow"/>
          <w:lang w:val="sl-SI" w:eastAsia="sl-SI"/>
        </w:rPr>
      </w:pPr>
    </w:p>
    <w:p w:rsidR="007C4E4B" w:rsidRPr="0095706E" w:rsidRDefault="007C4E4B" w:rsidP="007C4E4B">
      <w:pPr>
        <w:jc w:val="center"/>
        <w:rPr>
          <w:rFonts w:cs="Arial"/>
          <w:szCs w:val="20"/>
          <w:lang w:val="sl-SI"/>
        </w:rPr>
      </w:pPr>
      <w:r w:rsidRPr="0095706E">
        <w:rPr>
          <w:rFonts w:cs="Arial"/>
          <w:szCs w:val="20"/>
          <w:lang w:val="sl-SI" w:eastAsia="sl-SI"/>
        </w:rPr>
        <w:t xml:space="preserve">Graf 3: </w:t>
      </w:r>
      <w:r w:rsidRPr="0095706E">
        <w:rPr>
          <w:rFonts w:cs="Arial"/>
          <w:szCs w:val="20"/>
          <w:lang w:val="sl-SI"/>
        </w:rPr>
        <w:t xml:space="preserve">Povprečne ocene - prijavitelji povratniki - primerjava </w:t>
      </w:r>
      <w:r>
        <w:rPr>
          <w:rFonts w:cs="Arial"/>
          <w:szCs w:val="20"/>
          <w:lang w:val="sl-SI"/>
        </w:rPr>
        <w:t>(1. in 2. steber)</w:t>
      </w:r>
    </w:p>
    <w:p w:rsidR="007C4E4B" w:rsidRDefault="007C4E4B" w:rsidP="007C4E4B">
      <w:pPr>
        <w:spacing w:line="240" w:lineRule="auto"/>
        <w:jc w:val="both"/>
        <w:rPr>
          <w:rFonts w:cs="Arial"/>
          <w:szCs w:val="20"/>
          <w:highlight w:val="yellow"/>
          <w:lang w:val="sl-SI" w:eastAsia="sl-SI"/>
        </w:rPr>
      </w:pPr>
    </w:p>
    <w:p w:rsidR="007C4E4B" w:rsidRPr="0018122E" w:rsidRDefault="007C4E4B" w:rsidP="007C4E4B">
      <w:pPr>
        <w:spacing w:line="240" w:lineRule="auto"/>
        <w:jc w:val="both"/>
        <w:rPr>
          <w:rFonts w:cs="Arial"/>
          <w:szCs w:val="20"/>
          <w:lang w:val="sl-SI" w:eastAsia="sl-SI"/>
        </w:rPr>
      </w:pPr>
      <w:bookmarkStart w:id="7" w:name="_Hlk22282191"/>
      <w:r w:rsidRPr="0018122E">
        <w:rPr>
          <w:rFonts w:cs="Arial"/>
          <w:szCs w:val="20"/>
          <w:lang w:val="sl-SI" w:eastAsia="sl-SI"/>
        </w:rPr>
        <w:t>Pri večini rezultatov se kaže pozitivni trend, razen pri načelu 7. Razvijanje partnerstev in 8. Družbena odgovornost organizacije, kjer pri slednjem opazimo nazadovanje (glej spodnji graf 4).</w:t>
      </w:r>
    </w:p>
    <w:p w:rsidR="007C4E4B" w:rsidRDefault="007C4E4B" w:rsidP="007C4E4B">
      <w:pPr>
        <w:spacing w:line="240" w:lineRule="auto"/>
        <w:jc w:val="both"/>
        <w:rPr>
          <w:rFonts w:cs="Arial"/>
          <w:szCs w:val="20"/>
          <w:lang w:val="sl-SI" w:eastAsia="sl-SI"/>
        </w:rPr>
      </w:pPr>
      <w:r w:rsidRPr="0018122E">
        <w:rPr>
          <w:rFonts w:cs="Arial"/>
          <w:szCs w:val="20"/>
          <w:lang w:val="sl-SI" w:eastAsia="sl-SI"/>
        </w:rPr>
        <w:t>Največji porast povprečnih ocen je viden pri načelu 2. Osredotočenost na državljane, sledi 4. Vodenje na podlagi dejstev.</w:t>
      </w:r>
    </w:p>
    <w:bookmarkEnd w:id="7"/>
    <w:p w:rsidR="007C4E4B" w:rsidRPr="0018122E" w:rsidRDefault="007C4E4B" w:rsidP="007C4E4B">
      <w:pPr>
        <w:spacing w:line="240" w:lineRule="auto"/>
        <w:jc w:val="both"/>
        <w:rPr>
          <w:rFonts w:cs="Arial"/>
          <w:szCs w:val="20"/>
          <w:lang w:val="sl-SI" w:eastAsia="sl-SI"/>
        </w:rPr>
      </w:pPr>
    </w:p>
    <w:p w:rsidR="007C4E4B" w:rsidRDefault="007C4E4B" w:rsidP="007C4E4B">
      <w:pPr>
        <w:spacing w:line="240" w:lineRule="auto"/>
        <w:jc w:val="center"/>
        <w:rPr>
          <w:rFonts w:cs="Arial"/>
          <w:szCs w:val="20"/>
          <w:highlight w:val="yellow"/>
          <w:lang w:val="sl-SI" w:eastAsia="sl-SI"/>
        </w:rPr>
      </w:pPr>
      <w:r>
        <w:rPr>
          <w:noProof/>
        </w:rPr>
        <w:lastRenderedPageBreak/>
        <w:drawing>
          <wp:inline distT="0" distB="0" distL="0" distR="0" wp14:anchorId="69B046AC" wp14:editId="2A942747">
            <wp:extent cx="4961614" cy="2971000"/>
            <wp:effectExtent l="0" t="0" r="10795" b="1270"/>
            <wp:docPr id="10" name="Grafikon 10" descr="Graf prikazuje pozitivni trend." title="Graf 4: Prijavitelji-povratniki - povpr.ocene za Načela odličnosti ">
              <a:extLst xmlns:a="http://schemas.openxmlformats.org/drawingml/2006/main">
                <a:ext uri="{FF2B5EF4-FFF2-40B4-BE49-F238E27FC236}">
                  <a16:creationId xmlns:a16="http://schemas.microsoft.com/office/drawing/2014/main" id="{0BE8EAB7-0E93-45C2-97A5-CE1C80A287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C4E4B" w:rsidRDefault="007C4E4B" w:rsidP="007C4E4B">
      <w:pPr>
        <w:spacing w:line="240" w:lineRule="auto"/>
        <w:jc w:val="both"/>
        <w:rPr>
          <w:rFonts w:cs="Arial"/>
          <w:szCs w:val="20"/>
          <w:highlight w:val="yellow"/>
          <w:lang w:val="sl-SI" w:eastAsia="sl-SI"/>
        </w:rPr>
      </w:pPr>
    </w:p>
    <w:p w:rsidR="007C4E4B" w:rsidRDefault="007C4E4B" w:rsidP="007C4E4B">
      <w:pPr>
        <w:spacing w:line="720" w:lineRule="auto"/>
        <w:jc w:val="center"/>
        <w:rPr>
          <w:rFonts w:cs="Arial"/>
          <w:szCs w:val="20"/>
          <w:highlight w:val="cyan"/>
          <w:lang w:val="sl-SI"/>
        </w:rPr>
      </w:pPr>
      <w:r w:rsidRPr="0018122E">
        <w:rPr>
          <w:rFonts w:cs="Arial"/>
          <w:szCs w:val="20"/>
          <w:lang w:val="sl-SI" w:eastAsia="sl-SI"/>
        </w:rPr>
        <w:t xml:space="preserve">Graf 4: </w:t>
      </w:r>
      <w:r w:rsidRPr="0018122E">
        <w:rPr>
          <w:rFonts w:cs="Arial"/>
          <w:szCs w:val="20"/>
          <w:lang w:val="sl-SI"/>
        </w:rPr>
        <w:t>Prijavitelji-povratniki - povpr.ocene za Načela odličnosti</w:t>
      </w:r>
    </w:p>
    <w:p w:rsidR="007C4E4B" w:rsidRPr="0018122E" w:rsidRDefault="007C4E4B" w:rsidP="007C4E4B">
      <w:pPr>
        <w:spacing w:line="240" w:lineRule="auto"/>
        <w:jc w:val="both"/>
        <w:rPr>
          <w:rFonts w:cs="Arial"/>
          <w:szCs w:val="20"/>
          <w:u w:val="single"/>
          <w:lang w:val="sl-SI"/>
        </w:rPr>
      </w:pPr>
      <w:r w:rsidRPr="0018122E">
        <w:rPr>
          <w:rFonts w:cs="Arial"/>
          <w:szCs w:val="20"/>
          <w:u w:val="single"/>
          <w:lang w:val="sl-SI"/>
        </w:rPr>
        <w:t>Povratne informacije s strani prijaviteljev – analiza zadovoljstva</w:t>
      </w:r>
    </w:p>
    <w:p w:rsidR="007C4E4B" w:rsidRDefault="007C4E4B" w:rsidP="007C4E4B">
      <w:pPr>
        <w:spacing w:line="240" w:lineRule="auto"/>
        <w:jc w:val="both"/>
        <w:rPr>
          <w:rFonts w:cs="Arial"/>
          <w:szCs w:val="20"/>
          <w:lang w:val="sl-SI"/>
        </w:rPr>
      </w:pPr>
      <w:r w:rsidRPr="0018122E">
        <w:rPr>
          <w:rFonts w:cs="Arial"/>
          <w:szCs w:val="20"/>
          <w:lang w:val="sl-SI"/>
        </w:rPr>
        <w:t xml:space="preserve">Kot običajno, smo vse vključene v postopek, preko spletne aplikacije </w:t>
      </w:r>
      <w:r>
        <w:rPr>
          <w:rFonts w:cs="Arial"/>
          <w:szCs w:val="20"/>
          <w:lang w:val="sl-SI"/>
        </w:rPr>
        <w:t>1-ka na gov.ankete.si,</w:t>
      </w:r>
      <w:r w:rsidRPr="0018122E">
        <w:rPr>
          <w:rFonts w:cs="Arial"/>
          <w:szCs w:val="20"/>
          <w:lang w:val="sl-SI"/>
        </w:rPr>
        <w:t xml:space="preserve"> zaprosili za povratne informacije o njihovi izkušnji</w:t>
      </w:r>
      <w:r>
        <w:rPr>
          <w:rFonts w:cs="Arial"/>
          <w:szCs w:val="20"/>
          <w:lang w:val="sl-SI"/>
        </w:rPr>
        <w:t>.</w:t>
      </w:r>
    </w:p>
    <w:p w:rsidR="007C4E4B" w:rsidRPr="0018122E" w:rsidRDefault="007C4E4B" w:rsidP="007C4E4B">
      <w:pPr>
        <w:spacing w:line="240" w:lineRule="auto"/>
        <w:jc w:val="both"/>
        <w:rPr>
          <w:rFonts w:cs="Arial"/>
          <w:szCs w:val="20"/>
          <w:lang w:val="sl-SI"/>
        </w:rPr>
      </w:pPr>
    </w:p>
    <w:p w:rsidR="007C4E4B" w:rsidRPr="006E5F84" w:rsidRDefault="007C4E4B" w:rsidP="007C4E4B">
      <w:pPr>
        <w:spacing w:line="240" w:lineRule="auto"/>
        <w:jc w:val="both"/>
        <w:rPr>
          <w:rFonts w:cs="Arial"/>
          <w:szCs w:val="20"/>
          <w:lang w:val="sl-SI" w:eastAsia="sl-SI"/>
        </w:rPr>
      </w:pPr>
      <w:bookmarkStart w:id="8" w:name="_Hlk22283431"/>
      <w:r w:rsidRPr="006E5F84">
        <w:rPr>
          <w:rFonts w:cs="Arial"/>
          <w:szCs w:val="20"/>
          <w:lang w:val="sl-SI" w:eastAsia="sl-SI"/>
        </w:rPr>
        <w:t xml:space="preserve">Rezultati merjenja zadovoljstva prijaviteljev so pokazali visoko raven zadovoljstva, kar je bilo izraženo v maksimalnih ocenah njihovega zadovoljstva z delom ocenjevalnih skupin in s končnim poročilom o ocenjevanju (100%), vsi vprašani pa bi sodelovanje v postopku CAF EPI priporočili tudi drugim. </w:t>
      </w:r>
    </w:p>
    <w:p w:rsidR="007C4E4B" w:rsidRDefault="007C4E4B" w:rsidP="007C4E4B">
      <w:pPr>
        <w:spacing w:line="240" w:lineRule="auto"/>
        <w:jc w:val="both"/>
        <w:rPr>
          <w:rFonts w:cs="Arial"/>
          <w:szCs w:val="20"/>
          <w:highlight w:val="yellow"/>
          <w:lang w:val="sl-SI" w:eastAsia="sl-SI"/>
        </w:rPr>
      </w:pPr>
    </w:p>
    <w:p w:rsidR="007C4E4B" w:rsidRPr="005E575A" w:rsidRDefault="007C4E4B" w:rsidP="007C4E4B">
      <w:pPr>
        <w:spacing w:line="240" w:lineRule="auto"/>
        <w:jc w:val="both"/>
        <w:rPr>
          <w:rFonts w:cs="Arial"/>
          <w:szCs w:val="20"/>
          <w:lang w:val="sl-SI" w:eastAsia="sl-SI"/>
        </w:rPr>
      </w:pPr>
      <w:r w:rsidRPr="005E575A">
        <w:rPr>
          <w:rFonts w:cs="Arial"/>
          <w:szCs w:val="20"/>
          <w:lang w:val="sl-SI" w:eastAsia="sl-SI"/>
        </w:rPr>
        <w:t xml:space="preserve">Prijavitelji so bili zadovoljni predvsem s potekom obiska in profesionalnostjo članov ocenjevalne skupine. Dodano vrednost so videli v neposredni izmenjavi mnenj, izkušenj in dragocenih predlogov za izboljšanje ter ostalih priporočil za izvajanje samoocenitev v prihodnje. Med priložnostmi za izboljšave pa so navedli, da bi si želeli več konkretnih predlogov izboljšav s strani zunanjih ocenjevalcev in </w:t>
      </w:r>
      <w:r>
        <w:rPr>
          <w:rFonts w:cs="Arial"/>
          <w:szCs w:val="20"/>
          <w:lang w:val="sl-SI" w:eastAsia="sl-SI"/>
        </w:rPr>
        <w:t>priprava zbira splošnih usmeritev (iz vseh priporočil ZO) kot</w:t>
      </w:r>
      <w:r w:rsidRPr="00A060E8">
        <w:rPr>
          <w:rFonts w:cs="Arial"/>
          <w:szCs w:val="20"/>
          <w:lang w:val="sl-SI" w:eastAsia="sl-SI"/>
        </w:rPr>
        <w:t xml:space="preserve"> pomoč vsem, ki bodo v prihodnje izvajali samoocenitev</w:t>
      </w:r>
      <w:r w:rsidRPr="005E575A">
        <w:rPr>
          <w:rFonts w:cs="Arial"/>
          <w:szCs w:val="20"/>
          <w:lang w:val="sl-SI" w:eastAsia="sl-SI"/>
        </w:rPr>
        <w:t xml:space="preserve">. </w:t>
      </w:r>
    </w:p>
    <w:p w:rsidR="007C4E4B" w:rsidRPr="005E575A" w:rsidRDefault="007C4E4B" w:rsidP="007C4E4B">
      <w:pPr>
        <w:spacing w:line="240" w:lineRule="auto"/>
        <w:jc w:val="both"/>
        <w:rPr>
          <w:rFonts w:cs="Arial"/>
          <w:szCs w:val="20"/>
          <w:lang w:val="sl-SI" w:eastAsia="sl-SI"/>
        </w:rPr>
      </w:pPr>
    </w:p>
    <w:bookmarkEnd w:id="8"/>
    <w:p w:rsidR="007C4E4B" w:rsidRDefault="007C4E4B" w:rsidP="007C4E4B">
      <w:pPr>
        <w:spacing w:line="240" w:lineRule="auto"/>
        <w:jc w:val="both"/>
        <w:rPr>
          <w:rFonts w:cs="Arial"/>
          <w:szCs w:val="20"/>
          <w:lang w:val="sl-SI" w:eastAsia="sl-SI"/>
        </w:rPr>
      </w:pPr>
      <w:r w:rsidRPr="005E575A">
        <w:rPr>
          <w:rFonts w:cs="Arial"/>
          <w:szCs w:val="20"/>
          <w:lang w:val="sl-SI" w:eastAsia="sl-SI"/>
        </w:rPr>
        <w:t xml:space="preserve">Zanimive rezultate pa smo dobili z odgovori na vprašanje kako ocenjujejo koristnost drugega obiska ocenjevalne skupine, kjer so prijavitelji podali </w:t>
      </w:r>
      <w:r>
        <w:rPr>
          <w:rFonts w:cs="Arial"/>
          <w:szCs w:val="20"/>
          <w:lang w:val="sl-SI" w:eastAsia="sl-SI"/>
        </w:rPr>
        <w:t xml:space="preserve">povsem </w:t>
      </w:r>
      <w:r w:rsidRPr="005E575A">
        <w:rPr>
          <w:rFonts w:cs="Arial"/>
          <w:szCs w:val="20"/>
          <w:lang w:val="sl-SI" w:eastAsia="sl-SI"/>
        </w:rPr>
        <w:t xml:space="preserve">diametralno sliko koristnosti obiska v primerjavi z oceno, ki smo jo pridobili iz </w:t>
      </w:r>
      <w:r>
        <w:rPr>
          <w:rFonts w:cs="Arial"/>
          <w:szCs w:val="20"/>
          <w:lang w:val="sl-SI" w:eastAsia="sl-SI"/>
        </w:rPr>
        <w:t xml:space="preserve">analize </w:t>
      </w:r>
      <w:r w:rsidRPr="005E575A">
        <w:rPr>
          <w:rFonts w:cs="Arial"/>
          <w:szCs w:val="20"/>
          <w:lang w:val="sl-SI" w:eastAsia="sl-SI"/>
        </w:rPr>
        <w:t xml:space="preserve">odgovorov ocenjevalcev. </w:t>
      </w:r>
    </w:p>
    <w:p w:rsidR="007C4E4B" w:rsidRDefault="007C4E4B" w:rsidP="007C4E4B">
      <w:pPr>
        <w:jc w:val="both"/>
        <w:rPr>
          <w:rFonts w:cs="Arial"/>
          <w:szCs w:val="20"/>
          <w:lang w:val="sl-SI" w:eastAsia="sl-SI"/>
        </w:rPr>
      </w:pPr>
    </w:p>
    <w:p w:rsidR="007C4E4B" w:rsidRPr="0018122E" w:rsidRDefault="007C4E4B" w:rsidP="007C4E4B">
      <w:pPr>
        <w:spacing w:line="240" w:lineRule="auto"/>
        <w:jc w:val="both"/>
        <w:rPr>
          <w:rFonts w:cs="Arial"/>
          <w:szCs w:val="20"/>
          <w:u w:val="single"/>
          <w:lang w:val="sl-SI"/>
        </w:rPr>
      </w:pPr>
      <w:r w:rsidRPr="0018122E">
        <w:rPr>
          <w:rFonts w:cs="Arial"/>
          <w:szCs w:val="20"/>
          <w:u w:val="single"/>
          <w:lang w:val="sl-SI"/>
        </w:rPr>
        <w:t xml:space="preserve">Povratne informacije s strani </w:t>
      </w:r>
      <w:r>
        <w:rPr>
          <w:rFonts w:cs="Arial"/>
          <w:szCs w:val="20"/>
          <w:u w:val="single"/>
          <w:lang w:val="sl-SI"/>
        </w:rPr>
        <w:t>ocenjevalcev</w:t>
      </w:r>
      <w:r w:rsidRPr="0018122E">
        <w:rPr>
          <w:rFonts w:cs="Arial"/>
          <w:szCs w:val="20"/>
          <w:u w:val="single"/>
          <w:lang w:val="sl-SI"/>
        </w:rPr>
        <w:t xml:space="preserve"> – analiza zadovoljstva</w:t>
      </w:r>
    </w:p>
    <w:p w:rsidR="007C4E4B" w:rsidRDefault="007C4E4B" w:rsidP="007C4E4B">
      <w:pPr>
        <w:spacing w:line="240" w:lineRule="auto"/>
        <w:jc w:val="both"/>
        <w:rPr>
          <w:rFonts w:cs="Arial"/>
          <w:szCs w:val="20"/>
          <w:lang w:val="sl-SI" w:eastAsia="sl-SI"/>
        </w:rPr>
      </w:pPr>
      <w:r w:rsidRPr="005E575A">
        <w:rPr>
          <w:rFonts w:cs="Arial"/>
          <w:szCs w:val="20"/>
          <w:lang w:val="sl-SI" w:eastAsia="sl-SI"/>
        </w:rPr>
        <w:t>Medtem</w:t>
      </w:r>
      <w:r>
        <w:rPr>
          <w:rFonts w:cs="Arial"/>
          <w:szCs w:val="20"/>
          <w:lang w:val="sl-SI" w:eastAsia="sl-SI"/>
        </w:rPr>
        <w:t>,</w:t>
      </w:r>
      <w:r w:rsidRPr="005E575A">
        <w:rPr>
          <w:rFonts w:cs="Arial"/>
          <w:szCs w:val="20"/>
          <w:lang w:val="sl-SI" w:eastAsia="sl-SI"/>
        </w:rPr>
        <w:t xml:space="preserve"> ko je 60% vprašanih prijaviteljev ocenilo obisk kot koristen ali zelo koristen, je več kot 70% ocenjevalcev </w:t>
      </w:r>
      <w:r>
        <w:rPr>
          <w:rFonts w:cs="Arial"/>
          <w:szCs w:val="20"/>
          <w:lang w:val="sl-SI" w:eastAsia="sl-SI"/>
        </w:rPr>
        <w:t>menilo</w:t>
      </w:r>
      <w:r w:rsidRPr="005E575A">
        <w:rPr>
          <w:rFonts w:cs="Arial"/>
          <w:szCs w:val="20"/>
          <w:lang w:val="sl-SI" w:eastAsia="sl-SI"/>
        </w:rPr>
        <w:t>, da je drugi obisk brez dodane vrednosti</w:t>
      </w:r>
      <w:r>
        <w:rPr>
          <w:rFonts w:cs="Arial"/>
          <w:szCs w:val="20"/>
          <w:lang w:val="sl-SI" w:eastAsia="sl-SI"/>
        </w:rPr>
        <w:t>, ker so ocenjevalci ugotovitve povedali že po prvem obisku in ker ta dodatni obisk nima vpliva na oceno.</w:t>
      </w:r>
    </w:p>
    <w:p w:rsidR="007C4E4B" w:rsidRDefault="007C4E4B" w:rsidP="007C4E4B">
      <w:pPr>
        <w:spacing w:line="240" w:lineRule="auto"/>
        <w:jc w:val="both"/>
        <w:rPr>
          <w:rFonts w:cs="Arial"/>
          <w:szCs w:val="20"/>
          <w:lang w:val="sl-SI" w:eastAsia="sl-SI"/>
        </w:rPr>
      </w:pPr>
    </w:p>
    <w:p w:rsidR="007C4E4B" w:rsidRPr="001F01BB" w:rsidRDefault="007C4E4B" w:rsidP="007C4E4B">
      <w:pPr>
        <w:spacing w:line="240" w:lineRule="auto"/>
        <w:jc w:val="both"/>
        <w:rPr>
          <w:rFonts w:cs="Arial"/>
          <w:szCs w:val="20"/>
          <w:lang w:val="sl-SI" w:eastAsia="sl-SI"/>
        </w:rPr>
      </w:pPr>
      <w:r>
        <w:rPr>
          <w:rFonts w:cs="Arial"/>
          <w:szCs w:val="20"/>
          <w:lang w:val="sl-SI" w:eastAsia="sl-SI"/>
        </w:rPr>
        <w:t>Ocenjevalci so pohvalili izvedbo strokovnega posveta za ocenjevalce, pri čemer si želijo še več praktičnih primerov (delo po skupinah, delavnice). V večini primerov so bili ocenjevalci zadovoljni s sodelovanjem med člani ocenjevalne skupine. Izražena je bila težnja za večjo podporo s strani MJU v zvezi s koriščenjem dopusta za udeležbo na sestankih. Analiza je pokazala, da se je skoraj polovica ocenjevalcev za sodelovanje v rednem postopku odločila zaradi možnosti pridobitve novih znanj in v enakem deležu zaradi izmenjave izkušenj med ocenjevalci.</w:t>
      </w:r>
    </w:p>
    <w:p w:rsidR="007C4E4B" w:rsidRPr="002578B7" w:rsidRDefault="007C4E4B" w:rsidP="007C4E4B">
      <w:pPr>
        <w:spacing w:line="240" w:lineRule="auto"/>
        <w:jc w:val="both"/>
        <w:rPr>
          <w:rFonts w:cs="Arial"/>
          <w:szCs w:val="20"/>
          <w:highlight w:val="yellow"/>
          <w:lang w:val="sl-SI" w:eastAsia="sl-SI"/>
        </w:rPr>
      </w:pPr>
    </w:p>
    <w:p w:rsidR="007C4E4B" w:rsidRPr="007D0F3B" w:rsidRDefault="007C4E4B" w:rsidP="007C4E4B">
      <w:pPr>
        <w:spacing w:line="240" w:lineRule="auto"/>
        <w:jc w:val="both"/>
        <w:rPr>
          <w:rFonts w:cs="Arial"/>
          <w:szCs w:val="20"/>
          <w:u w:val="single"/>
          <w:lang w:val="sl-SI"/>
        </w:rPr>
      </w:pPr>
      <w:r w:rsidRPr="007D0F3B">
        <w:rPr>
          <w:rFonts w:cs="Arial"/>
          <w:szCs w:val="20"/>
          <w:u w:val="single"/>
          <w:lang w:val="sl-SI"/>
        </w:rPr>
        <w:t>Ocena uspešnosti izvedenega postopka</w:t>
      </w:r>
    </w:p>
    <w:p w:rsidR="007C4E4B" w:rsidRDefault="007C4E4B" w:rsidP="007C4E4B">
      <w:pPr>
        <w:spacing w:line="240" w:lineRule="auto"/>
        <w:jc w:val="both"/>
        <w:rPr>
          <w:rFonts w:cs="Arial"/>
          <w:szCs w:val="20"/>
          <w:lang w:val="sl-SI" w:eastAsia="sl-SI"/>
        </w:rPr>
      </w:pPr>
      <w:r>
        <w:rPr>
          <w:rFonts w:cs="Arial"/>
          <w:szCs w:val="20"/>
          <w:lang w:val="sl-SI" w:eastAsia="sl-SI"/>
        </w:rPr>
        <w:lastRenderedPageBreak/>
        <w:t xml:space="preserve">Izhajajoč  iz dogovorov zaključnega sestanka v 2. pilotnem projektu, smo potrebam postopka prilagodili obrazec končnega poročila in izvedli strokovni posvet za zunanje ocenjevalce. </w:t>
      </w:r>
    </w:p>
    <w:p w:rsidR="007C4E4B" w:rsidRPr="001F01BB" w:rsidRDefault="007C4E4B" w:rsidP="007C4E4B">
      <w:pPr>
        <w:spacing w:line="240" w:lineRule="auto"/>
        <w:jc w:val="both"/>
        <w:rPr>
          <w:rFonts w:cs="Arial"/>
          <w:szCs w:val="20"/>
          <w:lang w:val="sl-SI" w:eastAsia="sl-SI"/>
        </w:rPr>
      </w:pPr>
      <w:r w:rsidRPr="001F01BB">
        <w:rPr>
          <w:rFonts w:cs="Arial"/>
          <w:szCs w:val="20"/>
          <w:lang w:val="sl-SI" w:eastAsia="sl-SI"/>
        </w:rPr>
        <w:t>Proces ocenjevanja je potekal po terminskem načrtu, kjer so bile aktivnosti, vezane na pripravo končnega poročila, zaključene do začetka letnih dopustov, tako da so prijavitelji prejeli končna poročila dva tedna prej kot lani (sredi meseca junija); za vse prijavitelje so bili izvedeni tudi dodatni obiski ocenjevalnih skupin z namenom dodatne obrazložitve končnega poročila</w:t>
      </w:r>
      <w:r>
        <w:rPr>
          <w:rFonts w:cs="Arial"/>
          <w:szCs w:val="20"/>
          <w:lang w:val="sl-SI" w:eastAsia="sl-SI"/>
        </w:rPr>
        <w:t>. Zaradi slednjega je bilo povišano tudi plačilo za njihovo opravljeno delo.</w:t>
      </w:r>
    </w:p>
    <w:p w:rsidR="007C4E4B" w:rsidRPr="007D0F3B" w:rsidRDefault="007C4E4B" w:rsidP="007C4E4B">
      <w:pPr>
        <w:spacing w:line="240" w:lineRule="auto"/>
        <w:jc w:val="both"/>
        <w:rPr>
          <w:rFonts w:cs="Arial"/>
          <w:szCs w:val="20"/>
          <w:lang w:val="sl-SI" w:eastAsia="sl-SI"/>
        </w:rPr>
      </w:pPr>
      <w:r>
        <w:rPr>
          <w:rFonts w:cs="Arial"/>
          <w:szCs w:val="20"/>
          <w:lang w:val="sl-SI" w:eastAsia="sl-SI"/>
        </w:rPr>
        <w:t>Iz vsebinskega vidika m</w:t>
      </w:r>
      <w:r w:rsidRPr="007D0F3B">
        <w:rPr>
          <w:rFonts w:cs="Arial"/>
          <w:szCs w:val="20"/>
          <w:lang w:val="sl-SI" w:eastAsia="sl-SI"/>
        </w:rPr>
        <w:t xml:space="preserve">enimo, da je bil postopek dobro izveden in da smo že </w:t>
      </w:r>
      <w:r>
        <w:rPr>
          <w:rFonts w:cs="Arial"/>
          <w:szCs w:val="20"/>
          <w:lang w:val="sl-SI" w:eastAsia="sl-SI"/>
        </w:rPr>
        <w:t xml:space="preserve">letos </w:t>
      </w:r>
      <w:r w:rsidRPr="007D0F3B">
        <w:rPr>
          <w:rFonts w:cs="Arial"/>
          <w:szCs w:val="20"/>
          <w:lang w:val="sl-SI" w:eastAsia="sl-SI"/>
        </w:rPr>
        <w:t>zaznali določene učinke izboljšav</w:t>
      </w:r>
      <w:r>
        <w:rPr>
          <w:rFonts w:cs="Arial"/>
          <w:szCs w:val="20"/>
          <w:lang w:val="sl-SI" w:eastAsia="sl-SI"/>
        </w:rPr>
        <w:t xml:space="preserve"> pri prijaviteljih</w:t>
      </w:r>
      <w:r w:rsidRPr="007D0F3B">
        <w:rPr>
          <w:rFonts w:cs="Arial"/>
          <w:szCs w:val="20"/>
          <w:lang w:val="sl-SI" w:eastAsia="sl-SI"/>
        </w:rPr>
        <w:t xml:space="preserve">, izhajajočih iz zunanjih povratnih informacij v preteklih dveh pilotnih projektih, kar kažejo že prikazani rezultati v tem poročilu. </w:t>
      </w:r>
    </w:p>
    <w:p w:rsidR="007C4E4B" w:rsidRDefault="007C4E4B" w:rsidP="007C4E4B">
      <w:pPr>
        <w:spacing w:line="240" w:lineRule="auto"/>
        <w:jc w:val="both"/>
        <w:rPr>
          <w:rFonts w:cs="Arial"/>
          <w:szCs w:val="20"/>
          <w:highlight w:val="yellow"/>
          <w:lang w:val="sl-SI"/>
        </w:rPr>
      </w:pPr>
    </w:p>
    <w:p w:rsidR="007C4E4B" w:rsidRPr="008D3160" w:rsidRDefault="007C4E4B" w:rsidP="007C4E4B">
      <w:pPr>
        <w:spacing w:line="240" w:lineRule="auto"/>
        <w:jc w:val="both"/>
        <w:rPr>
          <w:rFonts w:cs="Arial"/>
          <w:szCs w:val="20"/>
          <w:u w:val="single"/>
          <w:lang w:val="sl-SI"/>
        </w:rPr>
      </w:pPr>
      <w:r>
        <w:rPr>
          <w:rFonts w:cs="Arial"/>
          <w:szCs w:val="20"/>
          <w:u w:val="single"/>
          <w:lang w:val="sl-SI"/>
        </w:rPr>
        <w:t>Usmeritve za</w:t>
      </w:r>
      <w:r w:rsidRPr="008D3160">
        <w:rPr>
          <w:rFonts w:cs="Arial"/>
          <w:szCs w:val="20"/>
          <w:u w:val="single"/>
          <w:lang w:val="sl-SI"/>
        </w:rPr>
        <w:t xml:space="preserve"> naprej</w:t>
      </w:r>
    </w:p>
    <w:p w:rsidR="007C4E4B" w:rsidRPr="00B97BC1" w:rsidRDefault="007C4E4B" w:rsidP="007C4E4B">
      <w:pPr>
        <w:contextualSpacing/>
        <w:jc w:val="both"/>
        <w:rPr>
          <w:rFonts w:cs="Arial"/>
          <w:szCs w:val="20"/>
          <w:lang w:val="sl-SI" w:eastAsia="sl-SI"/>
        </w:rPr>
      </w:pPr>
      <w:r>
        <w:rPr>
          <w:rFonts w:cs="Arial"/>
          <w:szCs w:val="20"/>
          <w:lang w:val="sl-SI" w:eastAsia="sl-SI"/>
        </w:rPr>
        <w:t xml:space="preserve">Glede na ugotovitve iz ankete zadovoljstva prijaviteljev na eni in ocenjevalcev na drugi strani in pogovorov na zaključnem sestanku, </w:t>
      </w:r>
      <w:r w:rsidRPr="00B97BC1">
        <w:rPr>
          <w:rFonts w:cs="Arial"/>
          <w:szCs w:val="20"/>
          <w:lang w:val="sl-SI" w:eastAsia="sl-SI"/>
        </w:rPr>
        <w:t>MJU v zvezi z izvedbo drugega obiska prijaviteljev preuči dve možnosti: možnost izbire izvedbe obiska (upoštevanje potreb prijaviteljev) oz. izvedba obiskov v popoldanskem času</w:t>
      </w:r>
      <w:r>
        <w:rPr>
          <w:rFonts w:cs="Arial"/>
          <w:szCs w:val="20"/>
          <w:lang w:val="sl-SI" w:eastAsia="sl-SI"/>
        </w:rPr>
        <w:t xml:space="preserve">. </w:t>
      </w:r>
      <w:r w:rsidRPr="00B97BC1">
        <w:rPr>
          <w:rFonts w:cs="Arial"/>
          <w:szCs w:val="20"/>
          <w:lang w:val="sl-SI" w:eastAsia="sl-SI"/>
        </w:rPr>
        <w:t>Vsebin</w:t>
      </w:r>
      <w:r>
        <w:rPr>
          <w:rFonts w:cs="Arial"/>
          <w:szCs w:val="20"/>
          <w:lang w:val="sl-SI" w:eastAsia="sl-SI"/>
        </w:rPr>
        <w:t>a</w:t>
      </w:r>
      <w:r w:rsidRPr="00B97BC1">
        <w:rPr>
          <w:rFonts w:cs="Arial"/>
          <w:szCs w:val="20"/>
          <w:lang w:val="sl-SI" w:eastAsia="sl-SI"/>
        </w:rPr>
        <w:t xml:space="preserve"> strokovnih posvetov za ocenjevalce </w:t>
      </w:r>
      <w:r>
        <w:rPr>
          <w:rFonts w:cs="Arial"/>
          <w:szCs w:val="20"/>
          <w:lang w:val="sl-SI" w:eastAsia="sl-SI"/>
        </w:rPr>
        <w:t xml:space="preserve">se še bolj </w:t>
      </w:r>
      <w:r w:rsidRPr="00B97BC1">
        <w:rPr>
          <w:rFonts w:cs="Arial"/>
          <w:szCs w:val="20"/>
          <w:lang w:val="sl-SI" w:eastAsia="sl-SI"/>
        </w:rPr>
        <w:t xml:space="preserve">podkrepi </w:t>
      </w:r>
      <w:r>
        <w:rPr>
          <w:rFonts w:cs="Arial"/>
          <w:szCs w:val="20"/>
          <w:lang w:val="sl-SI" w:eastAsia="sl-SI"/>
        </w:rPr>
        <w:t>s</w:t>
      </w:r>
      <w:r w:rsidRPr="00B97BC1">
        <w:rPr>
          <w:rFonts w:cs="Arial"/>
          <w:szCs w:val="20"/>
          <w:lang w:val="sl-SI" w:eastAsia="sl-SI"/>
        </w:rPr>
        <w:t xml:space="preserve"> praktičnimi primeri.</w:t>
      </w:r>
    </w:p>
    <w:p w:rsidR="007C4E4B" w:rsidRDefault="007C4E4B" w:rsidP="007C4E4B">
      <w:pPr>
        <w:spacing w:line="240" w:lineRule="auto"/>
        <w:rPr>
          <w:rFonts w:cs="Arial"/>
          <w:b/>
          <w:bCs/>
          <w:szCs w:val="20"/>
          <w:lang w:val="sl-SI" w:eastAsia="sl-SI"/>
        </w:rPr>
      </w:pPr>
    </w:p>
    <w:p w:rsidR="007C4E4B" w:rsidRDefault="007C4E4B" w:rsidP="007C4E4B">
      <w:pPr>
        <w:spacing w:line="240" w:lineRule="auto"/>
        <w:rPr>
          <w:rFonts w:cs="Arial"/>
          <w:b/>
          <w:bCs/>
          <w:szCs w:val="20"/>
          <w:lang w:val="sl-SI" w:eastAsia="sl-SI"/>
        </w:rPr>
      </w:pPr>
      <w:r>
        <w:rPr>
          <w:rFonts w:cs="Arial"/>
          <w:b/>
          <w:bCs/>
          <w:noProof/>
          <w:szCs w:val="20"/>
          <w:lang w:val="sl-SI" w:eastAsia="sl-SI"/>
        </w:rPr>
        <w:drawing>
          <wp:inline distT="0" distB="0" distL="0" distR="0" wp14:anchorId="10B38CC3" wp14:editId="532BD0A2">
            <wp:extent cx="4905375" cy="2759201"/>
            <wp:effectExtent l="0" t="0" r="0" b="3175"/>
            <wp:docPr id="2" name="Slika 2" descr="Slika 3: zaključni sestanek udeležencev v postopku CAF EPI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926_13372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08333" cy="2760865"/>
                    </a:xfrm>
                    <a:prstGeom prst="rect">
                      <a:avLst/>
                    </a:prstGeom>
                  </pic:spPr>
                </pic:pic>
              </a:graphicData>
            </a:graphic>
          </wp:inline>
        </w:drawing>
      </w:r>
    </w:p>
    <w:p w:rsidR="007C4E4B" w:rsidRDefault="007C4E4B" w:rsidP="007C4E4B">
      <w:pPr>
        <w:spacing w:line="240" w:lineRule="auto"/>
        <w:rPr>
          <w:rFonts w:cs="Arial"/>
          <w:b/>
          <w:bCs/>
          <w:szCs w:val="20"/>
          <w:lang w:val="sl-SI" w:eastAsia="sl-SI"/>
        </w:rPr>
      </w:pPr>
    </w:p>
    <w:p w:rsidR="007C4E4B" w:rsidRPr="005A4502" w:rsidRDefault="007C4E4B" w:rsidP="007C4E4B">
      <w:pPr>
        <w:spacing w:line="240" w:lineRule="auto"/>
        <w:jc w:val="center"/>
        <w:rPr>
          <w:rFonts w:cs="Arial"/>
          <w:bCs/>
          <w:szCs w:val="20"/>
          <w:lang w:val="sl-SI" w:eastAsia="sl-SI"/>
        </w:rPr>
      </w:pPr>
      <w:r w:rsidRPr="005A4502">
        <w:rPr>
          <w:rFonts w:cs="Arial"/>
          <w:bCs/>
          <w:szCs w:val="20"/>
          <w:lang w:val="sl-SI" w:eastAsia="sl-SI"/>
        </w:rPr>
        <w:t>Slika</w:t>
      </w:r>
      <w:r>
        <w:rPr>
          <w:rFonts w:cs="Arial"/>
          <w:bCs/>
          <w:szCs w:val="20"/>
          <w:lang w:val="sl-SI" w:eastAsia="sl-SI"/>
        </w:rPr>
        <w:t xml:space="preserve"> 3</w:t>
      </w:r>
      <w:r w:rsidRPr="005A4502">
        <w:rPr>
          <w:rFonts w:cs="Arial"/>
          <w:bCs/>
          <w:szCs w:val="20"/>
          <w:lang w:val="sl-SI" w:eastAsia="sl-SI"/>
        </w:rPr>
        <w:t>: zaključni sestanek udeležencev v postopku CAF EPI 2019</w:t>
      </w:r>
    </w:p>
    <w:p w:rsidR="00EE7483" w:rsidRPr="007C4E4B" w:rsidRDefault="00EE7483">
      <w:pPr>
        <w:rPr>
          <w:lang w:val="sl-SI"/>
        </w:rPr>
      </w:pPr>
    </w:p>
    <w:sectPr w:rsidR="00EE7483" w:rsidRPr="007C4E4B" w:rsidSect="00155D35">
      <w:headerReference w:type="default" r:id="rId14"/>
      <w:footerReference w:type="default" r:id="rId15"/>
      <w:headerReference w:type="first" r:id="rId16"/>
      <w:pgSz w:w="11906" w:h="16838"/>
      <w:pgMar w:top="1701" w:right="1417" w:bottom="1417" w:left="1417" w:header="79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DC4" w:rsidRDefault="00B55DC4" w:rsidP="00B55DC4">
      <w:pPr>
        <w:spacing w:line="240" w:lineRule="auto"/>
      </w:pPr>
      <w:r>
        <w:separator/>
      </w:r>
    </w:p>
  </w:endnote>
  <w:endnote w:type="continuationSeparator" w:id="0">
    <w:p w:rsidR="00B55DC4" w:rsidRDefault="00B55DC4" w:rsidP="00B55D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DC4" w:rsidRDefault="00F43BC1">
    <w:pPr>
      <w:pStyle w:val="Noga"/>
    </w:pPr>
    <w:r>
      <w:rPr>
        <w:noProof/>
      </w:rPr>
      <w:drawing>
        <wp:inline distT="0" distB="0" distL="0" distR="0" wp14:anchorId="721E0BFC">
          <wp:extent cx="5598543" cy="667385"/>
          <wp:effectExtent l="0" t="0" r="2540" b="0"/>
          <wp:docPr id="878" name="Slika 878" descr="Dekorativna slika CAF Izboljšujemo in skupaj napreduj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F_pasica_728 x 90 px_1kor.jpg"/>
                  <pic:cNvPicPr/>
                </pic:nvPicPr>
                <pic:blipFill>
                  <a:blip r:embed="rId1">
                    <a:extLst>
                      <a:ext uri="{28A0092B-C50C-407E-A947-70E740481C1C}">
                        <a14:useLocalDpi xmlns:a14="http://schemas.microsoft.com/office/drawing/2010/main" val="0"/>
                      </a:ext>
                    </a:extLst>
                  </a:blip>
                  <a:stretch>
                    <a:fillRect/>
                  </a:stretch>
                </pic:blipFill>
                <pic:spPr>
                  <a:xfrm>
                    <a:off x="0" y="0"/>
                    <a:ext cx="5598543" cy="6673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DC4" w:rsidRDefault="00B55DC4" w:rsidP="00B55DC4">
      <w:pPr>
        <w:spacing w:line="240" w:lineRule="auto"/>
      </w:pPr>
      <w:bookmarkStart w:id="0" w:name="_Hlk53611069"/>
      <w:bookmarkEnd w:id="0"/>
      <w:r>
        <w:separator/>
      </w:r>
    </w:p>
  </w:footnote>
  <w:footnote w:type="continuationSeparator" w:id="0">
    <w:p w:rsidR="00B55DC4" w:rsidRDefault="00B55DC4" w:rsidP="00B55DC4">
      <w:pPr>
        <w:spacing w:line="240" w:lineRule="auto"/>
      </w:pPr>
      <w:r>
        <w:continuationSeparator/>
      </w:r>
    </w:p>
  </w:footnote>
  <w:footnote w:id="1">
    <w:p w:rsidR="007C4E4B" w:rsidRPr="007A52C8" w:rsidRDefault="007C4E4B" w:rsidP="007C4E4B">
      <w:pPr>
        <w:rPr>
          <w:szCs w:val="20"/>
        </w:rPr>
      </w:pPr>
      <w:r>
        <w:rPr>
          <w:rStyle w:val="Sprotnaopomba-sklic"/>
        </w:rPr>
        <w:footnoteRef/>
      </w:r>
      <w:r>
        <w:t xml:space="preserve"> </w:t>
      </w:r>
      <w:r w:rsidRPr="007A52C8">
        <w:rPr>
          <w:szCs w:val="20"/>
        </w:rPr>
        <w:t xml:space="preserve">prijavitelji-povratniki = </w:t>
      </w:r>
      <w:bookmarkStart w:id="4" w:name="_Hlk22281234"/>
      <w:r w:rsidRPr="007A52C8">
        <w:rPr>
          <w:szCs w:val="20"/>
        </w:rPr>
        <w:t>upravne enote, ki so sodelovale v rednem postopku ter v 1. ali 2. pilotnem projektu</w:t>
      </w:r>
      <w:r>
        <w:rPr>
          <w:szCs w:val="20"/>
        </w:rPr>
        <w:t xml:space="preserve"> CAF EPI</w:t>
      </w:r>
      <w:r w:rsidRPr="007A52C8">
        <w:rPr>
          <w:szCs w:val="20"/>
        </w:rPr>
        <w:t xml:space="preserve">. </w:t>
      </w:r>
      <w:bookmarkEnd w:id="4"/>
    </w:p>
    <w:p w:rsidR="007C4E4B" w:rsidRPr="0095706E" w:rsidRDefault="007C4E4B" w:rsidP="007C4E4B">
      <w:pPr>
        <w:pStyle w:val="Sprotnaopomba-besedilo"/>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DC4" w:rsidRPr="00F43BC1" w:rsidRDefault="007C4E4B" w:rsidP="00F43BC1">
    <w:pPr>
      <w:pStyle w:val="Glava"/>
      <w:jc w:val="right"/>
    </w:pPr>
    <w:r>
      <w:rPr>
        <w:noProof/>
        <w:lang w:val="sl-SI"/>
      </w:rPr>
      <w:drawing>
        <wp:inline distT="0" distB="0" distL="0" distR="0" wp14:anchorId="760CDC2E">
          <wp:extent cx="1564640" cy="687070"/>
          <wp:effectExtent l="0" t="0" r="0" b="0"/>
          <wp:docPr id="877" name="Slika 877" descr="Logotip CafE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F EPI_logotip brez slogana.png"/>
                  <pic:cNvPicPr/>
                </pic:nvPicPr>
                <pic:blipFill>
                  <a:blip r:embed="rId1">
                    <a:extLst>
                      <a:ext uri="{28A0092B-C50C-407E-A947-70E740481C1C}">
                        <a14:useLocalDpi xmlns:a14="http://schemas.microsoft.com/office/drawing/2010/main" val="0"/>
                      </a:ext>
                    </a:extLst>
                  </a:blip>
                  <a:stretch>
                    <a:fillRect/>
                  </a:stretch>
                </pic:blipFill>
                <pic:spPr>
                  <a:xfrm>
                    <a:off x="0" y="0"/>
                    <a:ext cx="1564640" cy="6870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E4B" w:rsidRDefault="007C4E4B" w:rsidP="007C4E4B">
    <w:pPr>
      <w:pStyle w:val="Glava"/>
      <w:rPr>
        <w:rFonts w:cs="Arial"/>
        <w:sz w:val="16"/>
      </w:rPr>
    </w:pPr>
    <w:r w:rsidRPr="005A1C70">
      <w:rPr>
        <w:rFonts w:cs="Arial"/>
        <w:noProof/>
        <w:sz w:val="16"/>
      </w:rPr>
      <w:drawing>
        <wp:inline distT="0" distB="0" distL="0" distR="0" wp14:anchorId="2AF23A48" wp14:editId="29B2B89F">
          <wp:extent cx="2886075" cy="688340"/>
          <wp:effectExtent l="0" t="0" r="9525" b="0"/>
          <wp:docPr id="879" name="Slika 879" descr="Logotip Republika Slovenija, Ministrstvo za javno upravo, Urad za razv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688340"/>
                  </a:xfrm>
                  <a:prstGeom prst="rect">
                    <a:avLst/>
                  </a:prstGeom>
                  <a:noFill/>
                  <a:ln>
                    <a:noFill/>
                  </a:ln>
                </pic:spPr>
              </pic:pic>
            </a:graphicData>
          </a:graphic>
        </wp:inline>
      </w:drawing>
    </w:r>
    <w:r>
      <w:rPr>
        <w:rFonts w:cs="Arial"/>
        <w:sz w:val="16"/>
      </w:rPr>
      <w:tab/>
    </w:r>
    <w:r w:rsidRPr="005A1C70">
      <w:rPr>
        <w:rFonts w:cs="Arial"/>
        <w:noProof/>
        <w:sz w:val="16"/>
      </w:rPr>
      <w:drawing>
        <wp:inline distT="0" distB="0" distL="0" distR="0" wp14:anchorId="486164C8" wp14:editId="5B642F43">
          <wp:extent cx="2095500" cy="762000"/>
          <wp:effectExtent l="0" t="0" r="0" b="0"/>
          <wp:docPr id="880" name="Slika 880" descr="Logotip Evropska unija, Evropski socialni sklad, Naložba v vašo prihod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S:\SIKP\Informiranje in obveščanje\LOGOTIPI\Evropski socialni sklad\Barvni logotipi SLO\Logo_EKP_socialni_sklad_SLO_slogan.jpg"/>
                  <pic:cNvPicPr>
                    <a:picLocks noChangeAspect="1" noChangeArrowheads="1"/>
                  </pic:cNvPicPr>
                </pic:nvPicPr>
                <pic:blipFill>
                  <a:blip r:embed="rId2">
                    <a:extLst>
                      <a:ext uri="{28A0092B-C50C-407E-A947-70E740481C1C}">
                        <a14:useLocalDpi xmlns:a14="http://schemas.microsoft.com/office/drawing/2010/main" val="0"/>
                      </a:ext>
                    </a:extLst>
                  </a:blip>
                  <a:srcRect l="14397" t="16086" b="19571"/>
                  <a:stretch>
                    <a:fillRect/>
                  </a:stretch>
                </pic:blipFill>
                <pic:spPr bwMode="auto">
                  <a:xfrm>
                    <a:off x="0" y="0"/>
                    <a:ext cx="2095500" cy="762000"/>
                  </a:xfrm>
                  <a:prstGeom prst="rect">
                    <a:avLst/>
                  </a:prstGeom>
                  <a:noFill/>
                  <a:ln>
                    <a:noFill/>
                  </a:ln>
                </pic:spPr>
              </pic:pic>
            </a:graphicData>
          </a:graphic>
        </wp:inline>
      </w:drawing>
    </w:r>
  </w:p>
  <w:p w:rsidR="007C4E4B" w:rsidRPr="007C4E4B" w:rsidRDefault="007C4E4B" w:rsidP="007C4E4B">
    <w:pPr>
      <w:pStyle w:val="Glava"/>
      <w:rPr>
        <w:rFonts w:cs="Arial"/>
        <w:sz w:val="16"/>
        <w:lang w:val="it-IT"/>
      </w:rPr>
    </w:pPr>
    <w:r w:rsidRPr="007C4E4B">
      <w:rPr>
        <w:rFonts w:cs="Arial"/>
        <w:sz w:val="16"/>
        <w:lang w:val="it-IT"/>
      </w:rPr>
      <w:t>Tržaška cesta 21, 1000 Ljubljana</w:t>
    </w:r>
    <w:r w:rsidRPr="007C4E4B">
      <w:rPr>
        <w:rFonts w:cs="Arial"/>
        <w:sz w:val="16"/>
        <w:lang w:val="it-IT"/>
      </w:rPr>
      <w:tab/>
      <w:t>T: 01 478 83 38</w:t>
    </w:r>
  </w:p>
  <w:p w:rsidR="007C4E4B" w:rsidRPr="007C4E4B" w:rsidRDefault="007C4E4B" w:rsidP="007C4E4B">
    <w:pPr>
      <w:pStyle w:val="Glava"/>
      <w:tabs>
        <w:tab w:val="clear" w:pos="9072"/>
        <w:tab w:val="left" w:pos="7255"/>
      </w:tabs>
      <w:rPr>
        <w:rFonts w:cs="Arial"/>
        <w:sz w:val="16"/>
        <w:lang w:val="it-IT"/>
      </w:rPr>
    </w:pPr>
    <w:r w:rsidRPr="007C4E4B">
      <w:rPr>
        <w:rFonts w:cs="Arial"/>
        <w:sz w:val="16"/>
        <w:lang w:val="it-IT"/>
      </w:rPr>
      <w:tab/>
      <w:t>F: 01 478 83 31</w:t>
    </w:r>
  </w:p>
  <w:p w:rsidR="007C4E4B" w:rsidRPr="007C4E4B" w:rsidRDefault="007C4E4B" w:rsidP="007C4E4B">
    <w:pPr>
      <w:pStyle w:val="Glava"/>
      <w:tabs>
        <w:tab w:val="clear" w:pos="9072"/>
        <w:tab w:val="left" w:pos="7255"/>
      </w:tabs>
      <w:rPr>
        <w:rFonts w:cs="Arial"/>
        <w:sz w:val="16"/>
        <w:lang w:val="it-IT"/>
      </w:rPr>
    </w:pPr>
    <w:r w:rsidRPr="007C4E4B">
      <w:rPr>
        <w:rFonts w:cs="Arial"/>
        <w:sz w:val="16"/>
        <w:lang w:val="it-IT"/>
      </w:rPr>
      <w:tab/>
      <w:t xml:space="preserve">E: </w:t>
    </w:r>
    <w:hyperlink r:id="rId3" w:history="1">
      <w:r w:rsidRPr="007C4E4B">
        <w:rPr>
          <w:rStyle w:val="Hiperpovezava"/>
          <w:rFonts w:cs="Arial"/>
          <w:sz w:val="16"/>
          <w:lang w:val="it-IT"/>
        </w:rPr>
        <w:t>gp.mju@gov.si</w:t>
      </w:r>
    </w:hyperlink>
  </w:p>
  <w:p w:rsidR="007C4E4B" w:rsidRPr="007C4E4B" w:rsidRDefault="007C4E4B" w:rsidP="007C4E4B">
    <w:pPr>
      <w:pStyle w:val="Glava"/>
      <w:rPr>
        <w:sz w:val="16"/>
        <w:szCs w:val="16"/>
        <w:lang w:val="it-IT"/>
      </w:rPr>
    </w:pPr>
    <w:r w:rsidRPr="007C4E4B">
      <w:rPr>
        <w:rFonts w:cs="Arial"/>
        <w:sz w:val="16"/>
        <w:lang w:val="it-IT"/>
      </w:rPr>
      <w:tab/>
    </w:r>
    <w:hyperlink r:id="rId4" w:history="1">
      <w:r w:rsidRPr="007C4E4B">
        <w:rPr>
          <w:rStyle w:val="Hiperpovezava"/>
          <w:rFonts w:cs="Arial"/>
          <w:sz w:val="16"/>
          <w:lang w:val="it-IT"/>
        </w:rPr>
        <w:t>www.mju.gov.si</w:t>
      </w:r>
    </w:hyperlink>
  </w:p>
  <w:p w:rsidR="007C4E4B" w:rsidRDefault="007C4E4B" w:rsidP="007C4E4B">
    <w:pPr>
      <w:pStyle w:val="Glava"/>
      <w:jc w:val="right"/>
    </w:pPr>
    <w:r w:rsidRPr="005A1C70">
      <w:rPr>
        <w:noProof/>
      </w:rPr>
      <w:drawing>
        <wp:inline distT="0" distB="0" distL="0" distR="0" wp14:anchorId="2D75F8AE" wp14:editId="21D1EECC">
          <wp:extent cx="1564640" cy="687070"/>
          <wp:effectExtent l="0" t="0" r="0" b="0"/>
          <wp:docPr id="881" name="Slika 881" descr="Logotip CafE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F EPI_logotip brez slogana.png"/>
                  <pic:cNvPicPr/>
                </pic:nvPicPr>
                <pic:blipFill>
                  <a:blip r:embed="rId5">
                    <a:extLst>
                      <a:ext uri="{28A0092B-C50C-407E-A947-70E740481C1C}">
                        <a14:useLocalDpi xmlns:a14="http://schemas.microsoft.com/office/drawing/2010/main" val="0"/>
                      </a:ext>
                    </a:extLst>
                  </a:blip>
                  <a:stretch>
                    <a:fillRect/>
                  </a:stretch>
                </pic:blipFill>
                <pic:spPr>
                  <a:xfrm>
                    <a:off x="0" y="0"/>
                    <a:ext cx="1564640" cy="6870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14DC6"/>
    <w:multiLevelType w:val="hybridMultilevel"/>
    <w:tmpl w:val="72FE1C4E"/>
    <w:lvl w:ilvl="0" w:tplc="2CEE190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C4"/>
    <w:rsid w:val="00155D35"/>
    <w:rsid w:val="007C4E4B"/>
    <w:rsid w:val="00B35848"/>
    <w:rsid w:val="00B55DC4"/>
    <w:rsid w:val="00EE7483"/>
    <w:rsid w:val="00F43B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2DBCF"/>
  <w15:chartTrackingRefBased/>
  <w15:docId w15:val="{65B14611-D61B-4BCC-BB84-39A5F615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C4E4B"/>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55DC4"/>
    <w:pPr>
      <w:tabs>
        <w:tab w:val="center" w:pos="4536"/>
        <w:tab w:val="right" w:pos="9072"/>
      </w:tabs>
      <w:spacing w:line="240" w:lineRule="auto"/>
    </w:pPr>
  </w:style>
  <w:style w:type="character" w:customStyle="1" w:styleId="GlavaZnak">
    <w:name w:val="Glava Znak"/>
    <w:basedOn w:val="Privzetapisavaodstavka"/>
    <w:link w:val="Glava"/>
    <w:uiPriority w:val="99"/>
    <w:rsid w:val="00B55DC4"/>
  </w:style>
  <w:style w:type="paragraph" w:styleId="Noga">
    <w:name w:val="footer"/>
    <w:basedOn w:val="Navaden"/>
    <w:link w:val="NogaZnak"/>
    <w:uiPriority w:val="99"/>
    <w:unhideWhenUsed/>
    <w:rsid w:val="00B55DC4"/>
    <w:pPr>
      <w:tabs>
        <w:tab w:val="center" w:pos="4536"/>
        <w:tab w:val="right" w:pos="9072"/>
      </w:tabs>
      <w:spacing w:line="240" w:lineRule="auto"/>
    </w:pPr>
  </w:style>
  <w:style w:type="character" w:customStyle="1" w:styleId="NogaZnak">
    <w:name w:val="Noga Znak"/>
    <w:basedOn w:val="Privzetapisavaodstavka"/>
    <w:link w:val="Noga"/>
    <w:uiPriority w:val="99"/>
    <w:rsid w:val="00B55DC4"/>
  </w:style>
  <w:style w:type="character" w:styleId="Hiperpovezava">
    <w:name w:val="Hyperlink"/>
    <w:basedOn w:val="Privzetapisavaodstavka"/>
    <w:uiPriority w:val="99"/>
    <w:unhideWhenUsed/>
    <w:rsid w:val="00B55DC4"/>
    <w:rPr>
      <w:color w:val="0563C1" w:themeColor="hyperlink"/>
      <w:u w:val="single"/>
    </w:rPr>
  </w:style>
  <w:style w:type="character" w:styleId="Nerazreenaomemba">
    <w:name w:val="Unresolved Mention"/>
    <w:basedOn w:val="Privzetapisavaodstavka"/>
    <w:uiPriority w:val="99"/>
    <w:semiHidden/>
    <w:unhideWhenUsed/>
    <w:rsid w:val="00B55DC4"/>
    <w:rPr>
      <w:color w:val="808080"/>
      <w:shd w:val="clear" w:color="auto" w:fill="E6E6E6"/>
    </w:rPr>
  </w:style>
  <w:style w:type="table" w:styleId="Tabelamrea">
    <w:name w:val="Table Grid"/>
    <w:basedOn w:val="Navadnatabela"/>
    <w:uiPriority w:val="39"/>
    <w:rsid w:val="007C4E4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kseznama">
    <w:name w:val="List Paragraph"/>
    <w:basedOn w:val="Navaden"/>
    <w:uiPriority w:val="34"/>
    <w:qFormat/>
    <w:rsid w:val="007C4E4B"/>
    <w:pPr>
      <w:spacing w:after="160" w:line="259" w:lineRule="auto"/>
      <w:ind w:left="720"/>
      <w:contextualSpacing/>
    </w:pPr>
    <w:rPr>
      <w:rFonts w:asciiTheme="minorHAnsi" w:eastAsiaTheme="minorHAnsi" w:hAnsiTheme="minorHAnsi" w:cstheme="minorBidi"/>
      <w:sz w:val="22"/>
      <w:szCs w:val="22"/>
      <w:lang w:val="sl-SI"/>
    </w:rPr>
  </w:style>
  <w:style w:type="paragraph" w:styleId="Sprotnaopomba-besedilo">
    <w:name w:val="footnote text"/>
    <w:basedOn w:val="Navaden"/>
    <w:link w:val="Sprotnaopomba-besediloZnak"/>
    <w:rsid w:val="007C4E4B"/>
    <w:pPr>
      <w:spacing w:line="240" w:lineRule="auto"/>
    </w:pPr>
    <w:rPr>
      <w:szCs w:val="20"/>
    </w:rPr>
  </w:style>
  <w:style w:type="character" w:customStyle="1" w:styleId="Sprotnaopomba-besediloZnak">
    <w:name w:val="Sprotna opomba - besedilo Znak"/>
    <w:basedOn w:val="Privzetapisavaodstavka"/>
    <w:link w:val="Sprotnaopomba-besedilo"/>
    <w:rsid w:val="007C4E4B"/>
    <w:rPr>
      <w:rFonts w:ascii="Arial" w:eastAsia="Times New Roman" w:hAnsi="Arial" w:cs="Times New Roman"/>
      <w:sz w:val="20"/>
      <w:szCs w:val="20"/>
      <w:lang w:val="en-US"/>
    </w:rPr>
  </w:style>
  <w:style w:type="character" w:styleId="Sprotnaopomba-sklic">
    <w:name w:val="footnote reference"/>
    <w:basedOn w:val="Privzetapisavaodstavka"/>
    <w:rsid w:val="007C4E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mailto:gp.mju@gov.si" TargetMode="External"/><Relationship Id="rId2" Type="http://schemas.openxmlformats.org/officeDocument/2006/relationships/image" Target="media/image7.jpeg"/><Relationship Id="rId1" Type="http://schemas.openxmlformats.org/officeDocument/2006/relationships/image" Target="media/image6.png"/><Relationship Id="rId5" Type="http://schemas.openxmlformats.org/officeDocument/2006/relationships/image" Target="media/image4.png"/><Relationship Id="rId4" Type="http://schemas.openxmlformats.org/officeDocument/2006/relationships/hyperlink" Target="http://www.mju.gov.si"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ad.sigov.si\DAT\MJU\SektorZaKakovost\CAF%20EPI\Redni%20postopki%20CAF%20EPI\CAF%20EPI%202019\Zaklju&#269;ni%20sestanek%20-%2026.9.2019\Analize\Analiza%20-%20Rezultati%20ocenjevanja%20-%20CAF%20EPI%20201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d.sigov.si\DAT\MJU\SektorZaKakovost\CAF%20EPI\Redni%20postopki%20CAF%20EPI\CAF%20EPI%202019\Zaklju&#269;ni%20sestanek%20-%2026.9.2019\Analize\Analiza%20-%20Rezultati%20ocenjevanja%20-%20povratnik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d.sigov.si\DAT\MJU\SektorZaKakovost\CAF%20EPI\Redni%20postopki%20CAF%20EPI\CAF%20EPI%202019\Zaklju&#269;ni%20sestanek%20-%2026.9.2019\Analize\Analiza%20-%20Rezultati%20ocenjevanja%20-%20povratniki.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309556210311385E-2"/>
          <c:y val="1.9704242784489855E-2"/>
          <c:w val="0.91755525490492806"/>
          <c:h val="0.61081314659007147"/>
        </c:manualLayout>
      </c:layout>
      <c:barChart>
        <c:barDir val="col"/>
        <c:grouping val="clustered"/>
        <c:varyColors val="0"/>
        <c:ser>
          <c:idx val="0"/>
          <c:order val="0"/>
          <c:spPr>
            <a:solidFill>
              <a:schemeClr val="accent1"/>
            </a:solidFill>
            <a:ln>
              <a:noFill/>
            </a:ln>
            <a:effectLst/>
          </c:spPr>
          <c:invertIfNegative val="0"/>
          <c:cat>
            <c:multiLvlStrRef>
              <c:f>'Koraki-povprečje'!$C$16:$K$17</c:f>
              <c:multiLvlStrCache>
                <c:ptCount val="9"/>
                <c:lvl>
                  <c:pt idx="0">
                    <c:v>1.Organiziranje SO</c:v>
                  </c:pt>
                  <c:pt idx="1">
                    <c:v>2.Sporočanje o SO</c:v>
                  </c:pt>
                  <c:pt idx="2">
                    <c:v>3.SO skupine</c:v>
                  </c:pt>
                  <c:pt idx="3">
                    <c:v>4.Usposabljanja</c:v>
                  </c:pt>
                  <c:pt idx="4">
                    <c:v>5.Izvedba SO</c:v>
                  </c:pt>
                  <c:pt idx="5">
                    <c:v>6.Poročilo o SO</c:v>
                  </c:pt>
                  <c:pt idx="6">
                    <c:v>7. Osnutek izboljšav</c:v>
                  </c:pt>
                  <c:pt idx="7">
                    <c:v>8.Sporočajte NI</c:v>
                  </c:pt>
                  <c:pt idx="8">
                    <c:v>9.Izvajajte NI</c:v>
                  </c:pt>
                </c:lvl>
                <c:lvl>
                  <c:pt idx="0">
                    <c:v>1.korak</c:v>
                  </c:pt>
                  <c:pt idx="1">
                    <c:v>2.korak</c:v>
                  </c:pt>
                  <c:pt idx="2">
                    <c:v>3.korak</c:v>
                  </c:pt>
                  <c:pt idx="3">
                    <c:v>4.korak</c:v>
                  </c:pt>
                  <c:pt idx="4">
                    <c:v>5.korak</c:v>
                  </c:pt>
                  <c:pt idx="5">
                    <c:v>6.korak</c:v>
                  </c:pt>
                  <c:pt idx="6">
                    <c:v>7.korak</c:v>
                  </c:pt>
                  <c:pt idx="7">
                    <c:v>8.korak</c:v>
                  </c:pt>
                  <c:pt idx="8">
                    <c:v>9.korak</c:v>
                  </c:pt>
                </c:lvl>
              </c:multiLvlStrCache>
            </c:multiLvlStrRef>
          </c:cat>
          <c:val>
            <c:numRef>
              <c:f>'Koraki-povprečje'!$C$18:$K$18</c:f>
              <c:numCache>
                <c:formatCode>0.0</c:formatCode>
                <c:ptCount val="9"/>
                <c:pt idx="0">
                  <c:v>4.4000000000000004</c:v>
                </c:pt>
                <c:pt idx="1">
                  <c:v>4.2</c:v>
                </c:pt>
                <c:pt idx="2">
                  <c:v>4.4000000000000004</c:v>
                </c:pt>
                <c:pt idx="3">
                  <c:v>4.4000000000000004</c:v>
                </c:pt>
                <c:pt idx="4">
                  <c:v>4.2</c:v>
                </c:pt>
                <c:pt idx="5">
                  <c:v>4.4000000000000004</c:v>
                </c:pt>
                <c:pt idx="6">
                  <c:v>3.8</c:v>
                </c:pt>
                <c:pt idx="7">
                  <c:v>4.2</c:v>
                </c:pt>
                <c:pt idx="8">
                  <c:v>4.4000000000000004</c:v>
                </c:pt>
              </c:numCache>
            </c:numRef>
          </c:val>
          <c:extLst>
            <c:ext xmlns:c16="http://schemas.microsoft.com/office/drawing/2014/chart" uri="{C3380CC4-5D6E-409C-BE32-E72D297353CC}">
              <c16:uniqueId val="{00000000-4007-4853-9F19-9351EDEE3476}"/>
            </c:ext>
          </c:extLst>
        </c:ser>
        <c:dLbls>
          <c:showLegendKey val="0"/>
          <c:showVal val="0"/>
          <c:showCatName val="0"/>
          <c:showSerName val="0"/>
          <c:showPercent val="0"/>
          <c:showBubbleSize val="0"/>
        </c:dLbls>
        <c:gapWidth val="219"/>
        <c:overlap val="-27"/>
        <c:axId val="644899616"/>
        <c:axId val="644900272"/>
      </c:barChart>
      <c:catAx>
        <c:axId val="644899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crossAx val="644900272"/>
        <c:crosses val="autoZero"/>
        <c:auto val="1"/>
        <c:lblAlgn val="ctr"/>
        <c:lblOffset val="100"/>
        <c:noMultiLvlLbl val="0"/>
      </c:catAx>
      <c:valAx>
        <c:axId val="6449002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crossAx val="644899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'Načela odličnosti-povprečje'!$B$25</c:f>
              <c:strCache>
                <c:ptCount val="1"/>
                <c:pt idx="0">
                  <c:v>Povprečje</c:v>
                </c:pt>
              </c:strCache>
            </c:strRef>
          </c:tx>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7A16-4FF7-A2D1-D423EF33687A}"/>
              </c:ext>
            </c:extLst>
          </c:dPt>
          <c:cat>
            <c:strRef>
              <c:f>'Načela odličnosti-povprečje'!$C$24:$K$24</c:f>
              <c:strCache>
                <c:ptCount val="9"/>
                <c:pt idx="0">
                  <c:v>Povprečje</c:v>
                </c:pt>
                <c:pt idx="1">
                  <c:v>1.Voditeljstvo,stanovit.namena</c:v>
                </c:pt>
                <c:pt idx="2">
                  <c:v>2.Osredotočenost na državljana</c:v>
                </c:pt>
                <c:pt idx="3">
                  <c:v>3.Usmerjenost k rezultatom</c:v>
                </c:pt>
                <c:pt idx="4">
                  <c:v>4.Vodenja na podlagi procesov,dejstev</c:v>
                </c:pt>
                <c:pt idx="5">
                  <c:v>5.Razvoj,vključenost zaposlenih</c:v>
                </c:pt>
                <c:pt idx="6">
                  <c:v>6.Nenehno učenje,izboljš.,inov.</c:v>
                </c:pt>
                <c:pt idx="7">
                  <c:v>7.Razvijanje partnerstev</c:v>
                </c:pt>
                <c:pt idx="8">
                  <c:v>8.Družbena odgovor. org.</c:v>
                </c:pt>
              </c:strCache>
            </c:strRef>
          </c:cat>
          <c:val>
            <c:numRef>
              <c:f>'Načela odličnosti-povprečje'!$C$25:$K$25</c:f>
              <c:numCache>
                <c:formatCode>0.0</c:formatCode>
                <c:ptCount val="9"/>
                <c:pt idx="0">
                  <c:v>2.4499999999999997</c:v>
                </c:pt>
                <c:pt idx="1">
                  <c:v>2.6</c:v>
                </c:pt>
                <c:pt idx="2">
                  <c:v>2.6</c:v>
                </c:pt>
                <c:pt idx="3">
                  <c:v>3</c:v>
                </c:pt>
                <c:pt idx="4">
                  <c:v>2.4</c:v>
                </c:pt>
                <c:pt idx="5">
                  <c:v>2.4</c:v>
                </c:pt>
                <c:pt idx="6">
                  <c:v>2</c:v>
                </c:pt>
                <c:pt idx="7">
                  <c:v>2.4</c:v>
                </c:pt>
                <c:pt idx="8">
                  <c:v>2.2000000000000002</c:v>
                </c:pt>
              </c:numCache>
            </c:numRef>
          </c:val>
          <c:extLst>
            <c:ext xmlns:c16="http://schemas.microsoft.com/office/drawing/2014/chart" uri="{C3380CC4-5D6E-409C-BE32-E72D297353CC}">
              <c16:uniqueId val="{00000002-7A16-4FF7-A2D1-D423EF33687A}"/>
            </c:ext>
          </c:extLst>
        </c:ser>
        <c:dLbls>
          <c:showLegendKey val="0"/>
          <c:showVal val="0"/>
          <c:showCatName val="0"/>
          <c:showSerName val="0"/>
          <c:showPercent val="0"/>
          <c:showBubbleSize val="0"/>
        </c:dLbls>
        <c:gapWidth val="182"/>
        <c:axId val="406232056"/>
        <c:axId val="406237304"/>
      </c:barChart>
      <c:catAx>
        <c:axId val="406232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crossAx val="406237304"/>
        <c:crosses val="autoZero"/>
        <c:auto val="1"/>
        <c:lblAlgn val="ctr"/>
        <c:lblOffset val="100"/>
        <c:noMultiLvlLbl val="0"/>
      </c:catAx>
      <c:valAx>
        <c:axId val="40623730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crossAx val="406232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aseline="0"/>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'Po korakih-primerjava s piloti'!$B$71</c:f>
              <c:strCache>
                <c:ptCount val="1"/>
                <c:pt idx="0">
                  <c:v>Redni-2019</c:v>
                </c:pt>
              </c:strCache>
            </c:strRef>
          </c:tx>
          <c:spPr>
            <a:solidFill>
              <a:schemeClr val="accent1"/>
            </a:solidFill>
            <a:ln>
              <a:noFill/>
            </a:ln>
            <a:effectLst/>
          </c:spPr>
          <c:invertIfNegative val="0"/>
          <c:cat>
            <c:strRef>
              <c:f>'Po korakih-primerjava s piloti'!$C$70:$L$70</c:f>
              <c:strCache>
                <c:ptCount val="10"/>
                <c:pt idx="0">
                  <c:v>1.korak</c:v>
                </c:pt>
                <c:pt idx="1">
                  <c:v>2.korak</c:v>
                </c:pt>
                <c:pt idx="2">
                  <c:v>3.korak</c:v>
                </c:pt>
                <c:pt idx="3">
                  <c:v>4.korak</c:v>
                </c:pt>
                <c:pt idx="4">
                  <c:v>5.korak</c:v>
                </c:pt>
                <c:pt idx="5">
                  <c:v>6.korak</c:v>
                </c:pt>
                <c:pt idx="6">
                  <c:v>7.korak</c:v>
                </c:pt>
                <c:pt idx="7">
                  <c:v>8.korak</c:v>
                </c:pt>
                <c:pt idx="8">
                  <c:v>9.korak</c:v>
                </c:pt>
                <c:pt idx="9">
                  <c:v>Skupno</c:v>
                </c:pt>
              </c:strCache>
            </c:strRef>
          </c:cat>
          <c:val>
            <c:numRef>
              <c:f>'Po korakih-primerjava s piloti'!$C$71:$L$71</c:f>
              <c:numCache>
                <c:formatCode>General</c:formatCode>
                <c:ptCount val="10"/>
                <c:pt idx="0">
                  <c:v>4.7</c:v>
                </c:pt>
                <c:pt idx="1">
                  <c:v>4.3</c:v>
                </c:pt>
                <c:pt idx="2">
                  <c:v>4.7</c:v>
                </c:pt>
                <c:pt idx="3">
                  <c:v>4.3</c:v>
                </c:pt>
                <c:pt idx="4">
                  <c:v>4.3</c:v>
                </c:pt>
                <c:pt idx="5">
                  <c:v>4.7</c:v>
                </c:pt>
                <c:pt idx="6">
                  <c:v>4.3</c:v>
                </c:pt>
                <c:pt idx="7">
                  <c:v>4.7</c:v>
                </c:pt>
                <c:pt idx="8">
                  <c:v>4.7</c:v>
                </c:pt>
                <c:pt idx="9" formatCode="0.0">
                  <c:v>4.5222222222222221</c:v>
                </c:pt>
              </c:numCache>
            </c:numRef>
          </c:val>
          <c:extLst>
            <c:ext xmlns:c16="http://schemas.microsoft.com/office/drawing/2014/chart" uri="{C3380CC4-5D6E-409C-BE32-E72D297353CC}">
              <c16:uniqueId val="{00000000-4C94-48CE-BEA7-7F0F60365EA4}"/>
            </c:ext>
          </c:extLst>
        </c:ser>
        <c:ser>
          <c:idx val="1"/>
          <c:order val="1"/>
          <c:tx>
            <c:strRef>
              <c:f>'Po korakih-primerjava s piloti'!$B$72</c:f>
              <c:strCache>
                <c:ptCount val="1"/>
                <c:pt idx="0">
                  <c:v>Piloti</c:v>
                </c:pt>
              </c:strCache>
            </c:strRef>
          </c:tx>
          <c:spPr>
            <a:solidFill>
              <a:schemeClr val="accent2"/>
            </a:solidFill>
            <a:ln>
              <a:noFill/>
            </a:ln>
            <a:effectLst/>
          </c:spPr>
          <c:invertIfNegative val="0"/>
          <c:cat>
            <c:strRef>
              <c:f>'Po korakih-primerjava s piloti'!$C$70:$L$70</c:f>
              <c:strCache>
                <c:ptCount val="10"/>
                <c:pt idx="0">
                  <c:v>1.korak</c:v>
                </c:pt>
                <c:pt idx="1">
                  <c:v>2.korak</c:v>
                </c:pt>
                <c:pt idx="2">
                  <c:v>3.korak</c:v>
                </c:pt>
                <c:pt idx="3">
                  <c:v>4.korak</c:v>
                </c:pt>
                <c:pt idx="4">
                  <c:v>5.korak</c:v>
                </c:pt>
                <c:pt idx="5">
                  <c:v>6.korak</c:v>
                </c:pt>
                <c:pt idx="6">
                  <c:v>7.korak</c:v>
                </c:pt>
                <c:pt idx="7">
                  <c:v>8.korak</c:v>
                </c:pt>
                <c:pt idx="8">
                  <c:v>9.korak</c:v>
                </c:pt>
                <c:pt idx="9">
                  <c:v>Skupno</c:v>
                </c:pt>
              </c:strCache>
            </c:strRef>
          </c:cat>
          <c:val>
            <c:numRef>
              <c:f>'Po korakih-primerjava s piloti'!$C$72:$L$72</c:f>
              <c:numCache>
                <c:formatCode>0.0</c:formatCode>
                <c:ptCount val="10"/>
                <c:pt idx="0" formatCode="General">
                  <c:v>4.3</c:v>
                </c:pt>
                <c:pt idx="1">
                  <c:v>4</c:v>
                </c:pt>
                <c:pt idx="2">
                  <c:v>4</c:v>
                </c:pt>
                <c:pt idx="3">
                  <c:v>4</c:v>
                </c:pt>
                <c:pt idx="4">
                  <c:v>4</c:v>
                </c:pt>
                <c:pt idx="5" formatCode="General">
                  <c:v>3.7</c:v>
                </c:pt>
                <c:pt idx="6" formatCode="General">
                  <c:v>3.3</c:v>
                </c:pt>
                <c:pt idx="7" formatCode="General">
                  <c:v>3.7</c:v>
                </c:pt>
                <c:pt idx="8" formatCode="General">
                  <c:v>3.7</c:v>
                </c:pt>
                <c:pt idx="9">
                  <c:v>3.8555555555555561</c:v>
                </c:pt>
              </c:numCache>
            </c:numRef>
          </c:val>
          <c:extLst>
            <c:ext xmlns:c16="http://schemas.microsoft.com/office/drawing/2014/chart" uri="{C3380CC4-5D6E-409C-BE32-E72D297353CC}">
              <c16:uniqueId val="{00000001-4C94-48CE-BEA7-7F0F60365EA4}"/>
            </c:ext>
          </c:extLst>
        </c:ser>
        <c:ser>
          <c:idx val="2"/>
          <c:order val="2"/>
          <c:tx>
            <c:strRef>
              <c:f>'Po korakih-primerjava s piloti'!$B$73</c:f>
              <c:strCache>
                <c:ptCount val="1"/>
                <c:pt idx="0">
                  <c:v>Razlika</c:v>
                </c:pt>
              </c:strCache>
            </c:strRef>
          </c:tx>
          <c:spPr>
            <a:solidFill>
              <a:schemeClr val="accent3"/>
            </a:solidFill>
            <a:ln>
              <a:noFill/>
            </a:ln>
            <a:effectLst/>
          </c:spPr>
          <c:invertIfNegative val="0"/>
          <c:cat>
            <c:strRef>
              <c:f>'Po korakih-primerjava s piloti'!$C$70:$L$70</c:f>
              <c:strCache>
                <c:ptCount val="10"/>
                <c:pt idx="0">
                  <c:v>1.korak</c:v>
                </c:pt>
                <c:pt idx="1">
                  <c:v>2.korak</c:v>
                </c:pt>
                <c:pt idx="2">
                  <c:v>3.korak</c:v>
                </c:pt>
                <c:pt idx="3">
                  <c:v>4.korak</c:v>
                </c:pt>
                <c:pt idx="4">
                  <c:v>5.korak</c:v>
                </c:pt>
                <c:pt idx="5">
                  <c:v>6.korak</c:v>
                </c:pt>
                <c:pt idx="6">
                  <c:v>7.korak</c:v>
                </c:pt>
                <c:pt idx="7">
                  <c:v>8.korak</c:v>
                </c:pt>
                <c:pt idx="8">
                  <c:v>9.korak</c:v>
                </c:pt>
                <c:pt idx="9">
                  <c:v>Skupno</c:v>
                </c:pt>
              </c:strCache>
            </c:strRef>
          </c:cat>
          <c:val>
            <c:numRef>
              <c:f>'Po korakih-primerjava s piloti'!$C$73:$L$73</c:f>
              <c:numCache>
                <c:formatCode>General</c:formatCode>
                <c:ptCount val="10"/>
                <c:pt idx="0">
                  <c:v>0.40000000000000036</c:v>
                </c:pt>
                <c:pt idx="1">
                  <c:v>0.29999999999999982</c:v>
                </c:pt>
                <c:pt idx="2">
                  <c:v>0.70000000000000018</c:v>
                </c:pt>
                <c:pt idx="3">
                  <c:v>0.29999999999999982</c:v>
                </c:pt>
                <c:pt idx="4">
                  <c:v>0.29999999999999982</c:v>
                </c:pt>
                <c:pt idx="5">
                  <c:v>1</c:v>
                </c:pt>
                <c:pt idx="6">
                  <c:v>1</c:v>
                </c:pt>
                <c:pt idx="7">
                  <c:v>1</c:v>
                </c:pt>
                <c:pt idx="8">
                  <c:v>1</c:v>
                </c:pt>
                <c:pt idx="9" formatCode="0.0">
                  <c:v>0.66666666666666607</c:v>
                </c:pt>
              </c:numCache>
            </c:numRef>
          </c:val>
          <c:extLst>
            <c:ext xmlns:c16="http://schemas.microsoft.com/office/drawing/2014/chart" uri="{C3380CC4-5D6E-409C-BE32-E72D297353CC}">
              <c16:uniqueId val="{00000002-4C94-48CE-BEA7-7F0F60365EA4}"/>
            </c:ext>
          </c:extLst>
        </c:ser>
        <c:dLbls>
          <c:showLegendKey val="0"/>
          <c:showVal val="0"/>
          <c:showCatName val="0"/>
          <c:showSerName val="0"/>
          <c:showPercent val="0"/>
          <c:showBubbleSize val="0"/>
        </c:dLbls>
        <c:gapWidth val="219"/>
        <c:overlap val="-27"/>
        <c:axId val="524732736"/>
        <c:axId val="524743232"/>
      </c:barChart>
      <c:catAx>
        <c:axId val="52473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24743232"/>
        <c:crosses val="autoZero"/>
        <c:auto val="1"/>
        <c:lblAlgn val="ctr"/>
        <c:lblOffset val="100"/>
        <c:noMultiLvlLbl val="0"/>
      </c:catAx>
      <c:valAx>
        <c:axId val="524743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24732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'Primerjava-Načela-povprečje'!$B$23</c:f>
              <c:strCache>
                <c:ptCount val="1"/>
                <c:pt idx="0">
                  <c:v>Redni postopek 2019</c:v>
                </c:pt>
              </c:strCache>
            </c:strRef>
          </c:tx>
          <c:spPr>
            <a:solidFill>
              <a:schemeClr val="accent1"/>
            </a:solidFill>
            <a:ln>
              <a:noFill/>
            </a:ln>
            <a:effectLst/>
          </c:spPr>
          <c:invertIfNegative val="0"/>
          <c:cat>
            <c:strRef>
              <c:f>'Primerjava-Načela-povprečje'!$C$22:$L$22</c:f>
              <c:strCache>
                <c:ptCount val="10"/>
                <c:pt idx="0">
                  <c:v>Povprečje</c:v>
                </c:pt>
                <c:pt idx="1">
                  <c:v>1.Voditeljstvo,stanovit.namena</c:v>
                </c:pt>
                <c:pt idx="2">
                  <c:v>2.Osredotočenost na državljana</c:v>
                </c:pt>
                <c:pt idx="3">
                  <c:v>3.Usmerjenost k rezultatom</c:v>
                </c:pt>
                <c:pt idx="4">
                  <c:v>4.Vodenja na podlagi procesov,dejstev</c:v>
                </c:pt>
                <c:pt idx="5">
                  <c:v>5.Razvoj,vključenost zaposlenih</c:v>
                </c:pt>
                <c:pt idx="6">
                  <c:v>6.Nenehno učenje,izboljš.,inov.</c:v>
                </c:pt>
                <c:pt idx="7">
                  <c:v>7.Razvijanje partnerstev</c:v>
                </c:pt>
                <c:pt idx="8">
                  <c:v>8.Družbena odgovor. org.</c:v>
                </c:pt>
                <c:pt idx="9">
                  <c:v>Povprečje</c:v>
                </c:pt>
              </c:strCache>
            </c:strRef>
          </c:cat>
          <c:val>
            <c:numRef>
              <c:f>'Primerjava-Načela-povprečje'!$C$23:$L$23</c:f>
              <c:numCache>
                <c:formatCode>0.0</c:formatCode>
                <c:ptCount val="10"/>
                <c:pt idx="0">
                  <c:v>2.583333333333333</c:v>
                </c:pt>
                <c:pt idx="1">
                  <c:v>2.6666666666666665</c:v>
                </c:pt>
                <c:pt idx="2">
                  <c:v>3</c:v>
                </c:pt>
                <c:pt idx="3">
                  <c:v>3</c:v>
                </c:pt>
                <c:pt idx="4">
                  <c:v>2.6666666666666665</c:v>
                </c:pt>
                <c:pt idx="5">
                  <c:v>2.3333333333333335</c:v>
                </c:pt>
                <c:pt idx="6">
                  <c:v>2.3333333333333335</c:v>
                </c:pt>
                <c:pt idx="7">
                  <c:v>2.3333333333333335</c:v>
                </c:pt>
                <c:pt idx="8">
                  <c:v>2.3333333333333335</c:v>
                </c:pt>
                <c:pt idx="9">
                  <c:v>2.583333333333333</c:v>
                </c:pt>
              </c:numCache>
            </c:numRef>
          </c:val>
          <c:extLst>
            <c:ext xmlns:c16="http://schemas.microsoft.com/office/drawing/2014/chart" uri="{C3380CC4-5D6E-409C-BE32-E72D297353CC}">
              <c16:uniqueId val="{00000000-E8B3-471C-B56E-F90FF2F64377}"/>
            </c:ext>
          </c:extLst>
        </c:ser>
        <c:ser>
          <c:idx val="1"/>
          <c:order val="1"/>
          <c:tx>
            <c:strRef>
              <c:f>'Primerjava-Načela-povprečje'!$B$24</c:f>
              <c:strCache>
                <c:ptCount val="1"/>
                <c:pt idx="0">
                  <c:v>Piloti</c:v>
                </c:pt>
              </c:strCache>
            </c:strRef>
          </c:tx>
          <c:spPr>
            <a:solidFill>
              <a:schemeClr val="accent2"/>
            </a:solidFill>
            <a:ln>
              <a:noFill/>
            </a:ln>
            <a:effectLst/>
          </c:spPr>
          <c:invertIfNegative val="0"/>
          <c:cat>
            <c:strRef>
              <c:f>'Primerjava-Načela-povprečje'!$C$22:$L$22</c:f>
              <c:strCache>
                <c:ptCount val="10"/>
                <c:pt idx="0">
                  <c:v>Povprečje</c:v>
                </c:pt>
                <c:pt idx="1">
                  <c:v>1.Voditeljstvo,stanovit.namena</c:v>
                </c:pt>
                <c:pt idx="2">
                  <c:v>2.Osredotočenost na državljana</c:v>
                </c:pt>
                <c:pt idx="3">
                  <c:v>3.Usmerjenost k rezultatom</c:v>
                </c:pt>
                <c:pt idx="4">
                  <c:v>4.Vodenja na podlagi procesov,dejstev</c:v>
                </c:pt>
                <c:pt idx="5">
                  <c:v>5.Razvoj,vključenost zaposlenih</c:v>
                </c:pt>
                <c:pt idx="6">
                  <c:v>6.Nenehno učenje,izboljš.,inov.</c:v>
                </c:pt>
                <c:pt idx="7">
                  <c:v>7.Razvijanje partnerstev</c:v>
                </c:pt>
                <c:pt idx="8">
                  <c:v>8.Družbena odgovor. org.</c:v>
                </c:pt>
                <c:pt idx="9">
                  <c:v>Povprečje</c:v>
                </c:pt>
              </c:strCache>
            </c:strRef>
          </c:cat>
          <c:val>
            <c:numRef>
              <c:f>'Primerjava-Načela-povprečje'!$C$24:$L$24</c:f>
              <c:numCache>
                <c:formatCode>0.0</c:formatCode>
                <c:ptCount val="10"/>
                <c:pt idx="0">
                  <c:v>2.25</c:v>
                </c:pt>
                <c:pt idx="1">
                  <c:v>2.3333333333333335</c:v>
                </c:pt>
                <c:pt idx="2">
                  <c:v>2</c:v>
                </c:pt>
                <c:pt idx="3">
                  <c:v>2.6666666666666665</c:v>
                </c:pt>
                <c:pt idx="4">
                  <c:v>2</c:v>
                </c:pt>
                <c:pt idx="5">
                  <c:v>2</c:v>
                </c:pt>
                <c:pt idx="6">
                  <c:v>2</c:v>
                </c:pt>
                <c:pt idx="7">
                  <c:v>2.3333333333333335</c:v>
                </c:pt>
                <c:pt idx="8">
                  <c:v>2.6666666666666665</c:v>
                </c:pt>
                <c:pt idx="9">
                  <c:v>2.25</c:v>
                </c:pt>
              </c:numCache>
            </c:numRef>
          </c:val>
          <c:extLst>
            <c:ext xmlns:c16="http://schemas.microsoft.com/office/drawing/2014/chart" uri="{C3380CC4-5D6E-409C-BE32-E72D297353CC}">
              <c16:uniqueId val="{00000001-E8B3-471C-B56E-F90FF2F64377}"/>
            </c:ext>
          </c:extLst>
        </c:ser>
        <c:dLbls>
          <c:showLegendKey val="0"/>
          <c:showVal val="0"/>
          <c:showCatName val="0"/>
          <c:showSerName val="0"/>
          <c:showPercent val="0"/>
          <c:showBubbleSize val="0"/>
        </c:dLbls>
        <c:gapWidth val="219"/>
        <c:overlap val="-27"/>
        <c:axId val="665462000"/>
        <c:axId val="665470200"/>
      </c:barChart>
      <c:catAx>
        <c:axId val="665462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65470200"/>
        <c:crosses val="autoZero"/>
        <c:auto val="1"/>
        <c:lblAlgn val="ctr"/>
        <c:lblOffset val="100"/>
        <c:noMultiLvlLbl val="0"/>
      </c:catAx>
      <c:valAx>
        <c:axId val="66547020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65462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7</Pages>
  <Words>2144</Words>
  <Characters>12226</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Poročilo-1. redni postopek CAF EPI 2019</dc:title>
  <dc:subject/>
  <dc:creator>Dunja Labović Begović</dc:creator>
  <cp:keywords/>
  <dc:description/>
  <cp:lastModifiedBy>Dunja Labović Begović</cp:lastModifiedBy>
  <cp:revision>2</cp:revision>
  <dcterms:created xsi:type="dcterms:W3CDTF">2020-10-16T07:42:00Z</dcterms:created>
  <dcterms:modified xsi:type="dcterms:W3CDTF">2020-10-16T07:42:00Z</dcterms:modified>
</cp:coreProperties>
</file>