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zamik"/>
        <w:pBdr>
          <w:top w:val="none" w:sz="0" w:space="24" w:color="auto"/>
        </w:pBdr>
        <w:spacing w:before="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Na podlagi četrtega odstavka 39. člena Zakona o javnih uslužbencih (Uradni list RS, št. 32/25) minister za javno upravo v soglasju z ministrom za finance izdaja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 xml:space="preserve">PRAVILNIK </w:t>
      </w:r>
      <w:r>
        <w:rPr>
          <w:rFonts w:ascii="Arial" w:eastAsia="Arial" w:hAnsi="Arial" w:cs="Arial"/>
          <w:b/>
          <w:bCs/>
          <w:caps/>
          <w:sz w:val="21"/>
          <w:szCs w:val="21"/>
        </w:rPr>
        <w:br/>
      </w:r>
      <w:r>
        <w:rPr>
          <w:rFonts w:ascii="Arial" w:eastAsia="Arial" w:hAnsi="Arial" w:cs="Arial"/>
          <w:b/>
          <w:bCs/>
          <w:caps/>
          <w:sz w:val="21"/>
          <w:szCs w:val="21"/>
        </w:rPr>
        <w:t>o sejnini za predsednika in člane komisije za pritožbe iz delovnega razmerja pri Vladi Republike Slovenije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 pravilnik določa višino in način izplačila sejnine ter zagotavljanje sredstev za sodelovanje v komisiji za pritožbe iz delovnega razmerja pri Vladi Republike Slovenije (v nadaljnjem besedilu: komisija za pritožbe).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2.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 Predsedniku in članom komisije za pritožbe za sodelovanje v komisiji za pritožbe pripada sejnina po merilu udeležbe na seji senata.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 Za udeležbo na seji senata šteje tudi udeležba na seji, ki se izvede z uporabo spletnih orodij.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3.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 Predsedniku senata komisije za pritožbe pripada sejnina v višini 110 eurov bruto, članu senata komisije za pritožbe pa sejnina v višini 90 eurov bruto.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 Predsednik in člani senata komisije za pritožbe so do sejnine upravičeni, če koristijo dopust, presežek ur ali nadure.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4.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 seji senata ministrstvo, pristojno za javno upravo, o sodelovanju v komisiji za pritožbe obvesti tiste organe državne uprave, pravosodne organe, uprave lokalnih skupnosti ali druge državne organe (v nadaljnjem besedilu: organ), v katerih so zaposleni javni uslužbenci, ki so sodelovali v senatu komisije za pritožbe.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5.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 Sejnina se izplača v 30 dneh po tem, ko organ prejme obvestilo iz prejšnjega člena.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 Sredstva za plačilo sejnine se zagotavljajo iz proračunske postavke organa, v katerem je zaposlen javni uslužbenec, ki je sodeloval v senatu komisije za pritožbe.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caps/>
          <w:sz w:val="21"/>
          <w:szCs w:val="21"/>
        </w:rPr>
      </w:pPr>
      <w:r>
        <w:rPr>
          <w:rFonts w:ascii="Arial" w:eastAsia="Arial" w:hAnsi="Arial" w:cs="Arial"/>
          <w:caps/>
          <w:sz w:val="21"/>
          <w:szCs w:val="21"/>
        </w:rPr>
        <w:t>PREHODNA IN KONČNA DOLOČBA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6.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Sejnine se v skladu s tem pravilnikom prvič izplačajo za mesec januar 2026.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7.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 pravilnik začne veljati naslednji dan po objavi v Uradnem listu Republike Slovenije.</w:t>
      </w:r>
    </w:p>
    <w:p>
      <w:pPr>
        <w:pStyle w:val="evidencnastevilk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Št. 007-459/2025</w:t>
      </w:r>
    </w:p>
    <w:p>
      <w:pPr>
        <w:pStyle w:val="krajdatumsprejetj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Ljubljana, dne 14. januarja 2026</w:t>
      </w:r>
    </w:p>
    <w:p>
      <w:pPr>
        <w:pStyle w:val="evidencnastevilk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EVA 2025-3130-0037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Mag. Franc Props 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t xml:space="preserve">minister 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t>za javno upravo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Soglašam! 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t xml:space="preserve">Klemen Boštjančič 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t xml:space="preserve">minister 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t>za finance</w:t>
      </w:r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zamik">
    <w:name w:val="zamik"/>
    <w:basedOn w:val="Normal"/>
    <w:pPr>
      <w:ind w:firstLine="1021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evidencnastevilka">
    <w:name w:val="evidencna_stevilka"/>
    <w:basedOn w:val="Normal"/>
    <w:pPr>
      <w:jc w:val="both"/>
    </w:pPr>
  </w:style>
  <w:style w:type="paragraph" w:customStyle="1" w:styleId="krajdatumsprejetja">
    <w:name w:val="kraj_datum_sprejetja"/>
    <w:basedOn w:val="Normal"/>
  </w:style>
  <w:style w:type="paragraph" w:customStyle="1" w:styleId="podpisnik">
    <w:name w:val="podpisnik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PRAV15994 NPB0</dc:title>
  <cp:revision>1</cp:revision>
</cp:coreProperties>
</file>