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4ED" w:rsidRPr="00106A71" w:rsidRDefault="007D54ED" w:rsidP="00D56BF7">
      <w:pPr>
        <w:spacing w:line="276" w:lineRule="auto"/>
        <w:jc w:val="both"/>
        <w:rPr>
          <w:rFonts w:cs="Arial"/>
          <w:szCs w:val="20"/>
          <w:lang w:val="sl-SI"/>
        </w:rPr>
      </w:pPr>
    </w:p>
    <w:p w:rsidR="00D56BF7" w:rsidRPr="00106A71" w:rsidRDefault="00D56BF7" w:rsidP="00D56BF7">
      <w:pPr>
        <w:spacing w:line="276" w:lineRule="auto"/>
        <w:rPr>
          <w:rFonts w:cs="Arial"/>
          <w:szCs w:val="20"/>
          <w:lang w:val="sl-SI"/>
        </w:rPr>
      </w:pPr>
    </w:p>
    <w:p w:rsidR="00106A71" w:rsidRPr="00106A71" w:rsidRDefault="00106A71" w:rsidP="00106A71">
      <w:pPr>
        <w:spacing w:line="276" w:lineRule="auto"/>
        <w:jc w:val="both"/>
        <w:rPr>
          <w:rFonts w:cs="Arial"/>
          <w:szCs w:val="20"/>
          <w:lang w:val="sl-SI" w:eastAsia="sl-SI"/>
        </w:rPr>
      </w:pPr>
      <w:r w:rsidRPr="00106A71">
        <w:rPr>
          <w:rFonts w:cs="Arial"/>
          <w:szCs w:val="20"/>
          <w:lang w:val="sl-SI" w:eastAsia="sl-SI"/>
        </w:rPr>
        <w:t>Številka:</w:t>
      </w:r>
      <w:r>
        <w:rPr>
          <w:rFonts w:cs="Arial"/>
          <w:szCs w:val="20"/>
          <w:lang w:val="sl-SI" w:eastAsia="sl-SI"/>
        </w:rPr>
        <w:t xml:space="preserve"> </w:t>
      </w:r>
      <w:r w:rsidRPr="00106A71">
        <w:rPr>
          <w:rFonts w:cs="Arial"/>
          <w:szCs w:val="20"/>
          <w:lang w:val="sl-SI" w:eastAsia="sl-SI"/>
        </w:rPr>
        <w:t>10051-435/2019/2</w:t>
      </w:r>
    </w:p>
    <w:p w:rsidR="00106A71" w:rsidRPr="00106A71" w:rsidRDefault="00106A71" w:rsidP="00106A71">
      <w:pPr>
        <w:spacing w:line="276" w:lineRule="auto"/>
        <w:jc w:val="both"/>
        <w:rPr>
          <w:rFonts w:cs="Arial"/>
          <w:szCs w:val="20"/>
          <w:lang w:val="sl-SI" w:eastAsia="sl-SI"/>
        </w:rPr>
      </w:pPr>
      <w:r w:rsidRPr="00106A71">
        <w:rPr>
          <w:rFonts w:cs="Arial"/>
          <w:szCs w:val="20"/>
          <w:lang w:val="sl-SI" w:eastAsia="sl-SI"/>
        </w:rPr>
        <w:t>Datum:</w:t>
      </w:r>
      <w:r>
        <w:rPr>
          <w:rFonts w:cs="Arial"/>
          <w:szCs w:val="20"/>
          <w:lang w:val="sl-SI" w:eastAsia="sl-SI"/>
        </w:rPr>
        <w:t xml:space="preserve"> </w:t>
      </w:r>
      <w:r w:rsidRPr="00106A71">
        <w:rPr>
          <w:rFonts w:cs="Arial"/>
          <w:szCs w:val="20"/>
          <w:lang w:val="sl-SI" w:eastAsia="sl-SI"/>
        </w:rPr>
        <w:t>19. 12. 2019</w:t>
      </w:r>
    </w:p>
    <w:p w:rsidR="00106A71" w:rsidRPr="00106A71" w:rsidRDefault="00106A71" w:rsidP="00106A71">
      <w:pPr>
        <w:spacing w:line="276" w:lineRule="auto"/>
        <w:jc w:val="both"/>
        <w:rPr>
          <w:rFonts w:cs="Arial"/>
          <w:szCs w:val="20"/>
          <w:lang w:val="sl-SI" w:eastAsia="sl-SI"/>
        </w:rPr>
      </w:pPr>
    </w:p>
    <w:p w:rsidR="00106A71" w:rsidRPr="00106A71" w:rsidRDefault="00106A71" w:rsidP="00106A71">
      <w:pPr>
        <w:spacing w:line="276" w:lineRule="auto"/>
        <w:jc w:val="both"/>
        <w:rPr>
          <w:rFonts w:cs="Arial"/>
          <w:szCs w:val="20"/>
          <w:lang w:val="sl-SI"/>
        </w:rPr>
      </w:pPr>
      <w:r w:rsidRPr="00106A71">
        <w:rPr>
          <w:rFonts w:cs="Arial"/>
          <w:szCs w:val="20"/>
          <w:lang w:val="sl-SI"/>
        </w:rPr>
        <w:t xml:space="preserve">Na podlagi 1. točke drugega odstavka 35. člena Zakona o javnih uslužbencih (Uradni list RS, št. 63/07 – uradno prečiščeno besedilo in naslednji, v nadaljevanju ZJU) je Komisija za pritožbe iz delovnega razmerja pri Vladi Republike Slovenije (v nadaljevanju Komisija za pritožbe) v senatu </w:t>
      </w:r>
      <w:r w:rsidRPr="00106A71">
        <w:rPr>
          <w:rFonts w:cs="Arial"/>
          <w:color w:val="FFFFFF" w:themeColor="background1"/>
          <w:szCs w:val="20"/>
          <w:lang w:val="sl-SI"/>
        </w:rPr>
        <w:t xml:space="preserve">izbrisan podatek ime in priimek </w:t>
      </w:r>
      <w:r w:rsidRPr="00106A71">
        <w:rPr>
          <w:rFonts w:cs="Arial"/>
          <w:szCs w:val="20"/>
          <w:lang w:val="sl-SI"/>
        </w:rPr>
        <w:t xml:space="preserve">kot predsednik senata ter </w:t>
      </w:r>
      <w:r w:rsidRPr="00106A71">
        <w:rPr>
          <w:rFonts w:cs="Arial"/>
          <w:color w:val="FFFFFF" w:themeColor="background1"/>
          <w:szCs w:val="20"/>
          <w:lang w:val="sl-SI"/>
        </w:rPr>
        <w:t xml:space="preserve">izbrisan podatek ime in priimek </w:t>
      </w:r>
      <w:r w:rsidRPr="00106A71">
        <w:rPr>
          <w:rFonts w:cs="Arial"/>
          <w:szCs w:val="20"/>
          <w:lang w:val="sl-SI"/>
        </w:rPr>
        <w:t xml:space="preserve">in </w:t>
      </w:r>
      <w:r w:rsidRPr="00106A71">
        <w:rPr>
          <w:rFonts w:cs="Arial"/>
          <w:color w:val="FFFFFF" w:themeColor="background1"/>
          <w:szCs w:val="20"/>
          <w:lang w:val="sl-SI"/>
        </w:rPr>
        <w:t xml:space="preserve">izbrisan podatek ime in priimek </w:t>
      </w:r>
      <w:r w:rsidRPr="00106A71">
        <w:rPr>
          <w:rFonts w:cs="Arial"/>
          <w:szCs w:val="20"/>
          <w:lang w:val="sl-SI"/>
        </w:rPr>
        <w:t>kot članici senata, v zvezi s pritožbo</w:t>
      </w:r>
      <w:bookmarkStart w:id="0" w:name="_Hlk9592824"/>
      <w:r w:rsidRPr="00106A71">
        <w:rPr>
          <w:rFonts w:cs="Arial"/>
          <w:szCs w:val="20"/>
          <w:lang w:val="sl-SI"/>
        </w:rPr>
        <w:t xml:space="preserve"> </w:t>
      </w:r>
      <w:r w:rsidRPr="00106A71">
        <w:rPr>
          <w:rFonts w:cs="Arial"/>
          <w:color w:val="FFFFFF" w:themeColor="background1"/>
          <w:szCs w:val="20"/>
          <w:lang w:val="sl-SI"/>
        </w:rPr>
        <w:t xml:space="preserve">izbrisan podatek ime in priimek </w:t>
      </w:r>
      <w:r w:rsidRPr="00106A71">
        <w:rPr>
          <w:rFonts w:cs="Arial"/>
          <w:szCs w:val="20"/>
          <w:lang w:val="sl-SI"/>
        </w:rPr>
        <w:t xml:space="preserve">zoper sklep </w:t>
      </w:r>
      <w:r w:rsidRPr="00106A71">
        <w:rPr>
          <w:rFonts w:cs="Arial"/>
          <w:color w:val="FFFFFF" w:themeColor="background1"/>
          <w:szCs w:val="20"/>
          <w:lang w:val="sl-SI"/>
        </w:rPr>
        <w:t>izbrisan podatek naziv organa</w:t>
      </w:r>
      <w:r w:rsidRPr="00106A71">
        <w:rPr>
          <w:rFonts w:cs="Arial"/>
          <w:szCs w:val="20"/>
          <w:lang w:val="sl-SI"/>
        </w:rPr>
        <w:t>, št. 100-1/2019/2781 (1501-15) z dne 11. 10. 2019</w:t>
      </w:r>
      <w:bookmarkEnd w:id="0"/>
      <w:r w:rsidRPr="00106A71">
        <w:rPr>
          <w:rFonts w:cs="Arial"/>
          <w:szCs w:val="20"/>
          <w:lang w:val="sl-SI"/>
        </w:rPr>
        <w:t>, na 828. seji, dne 19. 12. 2019 izdala naslednji</w:t>
      </w:r>
    </w:p>
    <w:p w:rsidR="00106A71" w:rsidRPr="00106A71" w:rsidRDefault="00106A71" w:rsidP="00106A71">
      <w:pPr>
        <w:spacing w:line="276" w:lineRule="auto"/>
        <w:jc w:val="both"/>
        <w:rPr>
          <w:rFonts w:cs="Arial"/>
          <w:szCs w:val="20"/>
          <w:lang w:val="sl-SI"/>
        </w:rPr>
      </w:pPr>
    </w:p>
    <w:p w:rsidR="00106A71" w:rsidRPr="00106A71" w:rsidRDefault="00106A71" w:rsidP="00106A71">
      <w:pPr>
        <w:spacing w:line="276" w:lineRule="auto"/>
        <w:jc w:val="both"/>
        <w:rPr>
          <w:rFonts w:cs="Arial"/>
          <w:szCs w:val="20"/>
          <w:lang w:val="sl-SI"/>
        </w:rPr>
      </w:pPr>
    </w:p>
    <w:p w:rsidR="00106A71" w:rsidRPr="00106A71" w:rsidRDefault="00106A71" w:rsidP="00106A71">
      <w:pPr>
        <w:spacing w:line="276" w:lineRule="auto"/>
        <w:jc w:val="center"/>
        <w:rPr>
          <w:rFonts w:cs="Arial"/>
          <w:b/>
          <w:szCs w:val="20"/>
          <w:lang w:val="sl-SI" w:eastAsia="sl-SI"/>
        </w:rPr>
      </w:pPr>
      <w:r w:rsidRPr="00106A71">
        <w:rPr>
          <w:rFonts w:cs="Arial"/>
          <w:b/>
          <w:szCs w:val="20"/>
          <w:lang w:val="sl-SI" w:eastAsia="sl-SI"/>
        </w:rPr>
        <w:t>SKLEP</w:t>
      </w:r>
    </w:p>
    <w:p w:rsidR="00106A71" w:rsidRPr="00106A71" w:rsidRDefault="00106A71" w:rsidP="00106A71">
      <w:pPr>
        <w:spacing w:line="276" w:lineRule="auto"/>
        <w:jc w:val="both"/>
        <w:rPr>
          <w:rFonts w:cs="Arial"/>
          <w:b/>
          <w:i/>
          <w:szCs w:val="20"/>
          <w:lang w:val="sl-SI"/>
        </w:rPr>
      </w:pPr>
    </w:p>
    <w:p w:rsidR="00106A71" w:rsidRPr="00106A71" w:rsidRDefault="00106A71" w:rsidP="00106A71">
      <w:pPr>
        <w:spacing w:line="276" w:lineRule="auto"/>
        <w:jc w:val="both"/>
        <w:rPr>
          <w:rFonts w:cs="Arial"/>
          <w:b/>
          <w:i/>
          <w:szCs w:val="20"/>
          <w:lang w:val="sl-SI"/>
        </w:rPr>
      </w:pPr>
    </w:p>
    <w:p w:rsidR="00106A71" w:rsidRPr="00106A71" w:rsidRDefault="00106A71" w:rsidP="00106A71">
      <w:pPr>
        <w:spacing w:line="276" w:lineRule="auto"/>
        <w:contextualSpacing/>
        <w:jc w:val="both"/>
        <w:rPr>
          <w:rFonts w:cs="Arial"/>
          <w:b/>
          <w:szCs w:val="20"/>
          <w:lang w:val="sl-SI"/>
        </w:rPr>
      </w:pPr>
      <w:r w:rsidRPr="00106A71">
        <w:rPr>
          <w:rFonts w:cs="Arial"/>
          <w:b/>
          <w:szCs w:val="20"/>
          <w:lang w:val="sl-SI"/>
        </w:rPr>
        <w:t xml:space="preserve">Pritožba </w:t>
      </w:r>
      <w:r w:rsidRPr="00106A71">
        <w:rPr>
          <w:rFonts w:cs="Arial"/>
          <w:b/>
          <w:color w:val="FFFFFF" w:themeColor="background1"/>
          <w:szCs w:val="20"/>
          <w:lang w:val="sl-SI"/>
        </w:rPr>
        <w:t>izbrisan podatek ime in priimek</w:t>
      </w:r>
      <w:r w:rsidRPr="00106A71">
        <w:rPr>
          <w:rFonts w:cs="Arial"/>
          <w:color w:val="FFFFFF" w:themeColor="background1"/>
          <w:szCs w:val="20"/>
          <w:lang w:val="sl-SI"/>
        </w:rPr>
        <w:t xml:space="preserve"> </w:t>
      </w:r>
      <w:r w:rsidRPr="00106A71">
        <w:rPr>
          <w:rFonts w:cs="Arial"/>
          <w:b/>
          <w:szCs w:val="20"/>
          <w:lang w:val="sl-SI"/>
        </w:rPr>
        <w:t>zoper sklep št. 100-1/2019/2781 (1501-15) z dne 11. 10. 2019 se zavrne.</w:t>
      </w:r>
    </w:p>
    <w:p w:rsidR="00106A71" w:rsidRPr="00106A71" w:rsidRDefault="00106A71" w:rsidP="00106A71">
      <w:pPr>
        <w:spacing w:line="276" w:lineRule="auto"/>
        <w:contextualSpacing/>
        <w:jc w:val="both"/>
        <w:rPr>
          <w:rFonts w:cs="Arial"/>
          <w:b/>
          <w:i/>
          <w:szCs w:val="20"/>
          <w:lang w:val="sl-SI" w:eastAsia="sl-SI"/>
        </w:rPr>
      </w:pPr>
    </w:p>
    <w:p w:rsidR="00106A71" w:rsidRPr="00106A71" w:rsidRDefault="00106A71" w:rsidP="00106A71">
      <w:pPr>
        <w:spacing w:line="276" w:lineRule="auto"/>
        <w:jc w:val="center"/>
        <w:rPr>
          <w:rFonts w:cs="Arial"/>
          <w:b/>
          <w:szCs w:val="20"/>
          <w:lang w:val="sl-SI" w:eastAsia="sl-SI"/>
        </w:rPr>
      </w:pPr>
      <w:r w:rsidRPr="00106A71">
        <w:rPr>
          <w:rFonts w:cs="Arial"/>
          <w:b/>
          <w:szCs w:val="20"/>
          <w:lang w:val="sl-SI" w:eastAsia="sl-SI"/>
        </w:rPr>
        <w:t>Obrazložitev</w:t>
      </w:r>
    </w:p>
    <w:p w:rsidR="00106A71" w:rsidRPr="00106A71" w:rsidRDefault="00106A71" w:rsidP="00106A71">
      <w:pPr>
        <w:spacing w:line="276" w:lineRule="auto"/>
        <w:jc w:val="both"/>
        <w:rPr>
          <w:rFonts w:cs="Arial"/>
          <w:b/>
          <w:szCs w:val="20"/>
          <w:lang w:val="sl-SI" w:eastAsia="sl-SI"/>
        </w:rPr>
      </w:pPr>
    </w:p>
    <w:p w:rsidR="00106A71" w:rsidRPr="00106A71" w:rsidRDefault="00106A71" w:rsidP="00106A71">
      <w:pPr>
        <w:spacing w:line="276" w:lineRule="auto"/>
        <w:jc w:val="both"/>
        <w:rPr>
          <w:rFonts w:cs="Arial"/>
          <w:szCs w:val="20"/>
          <w:lang w:val="sl-SI"/>
        </w:rPr>
      </w:pPr>
      <w:r w:rsidRPr="00106A71">
        <w:rPr>
          <w:rFonts w:cs="Arial"/>
          <w:color w:val="FFFFFF" w:themeColor="background1"/>
          <w:szCs w:val="20"/>
          <w:lang w:val="sl-SI"/>
        </w:rPr>
        <w:t xml:space="preserve">Izbrisan podatek ime in priimek </w:t>
      </w:r>
      <w:r w:rsidRPr="00106A71">
        <w:rPr>
          <w:rFonts w:cs="Arial"/>
          <w:szCs w:val="20"/>
          <w:lang w:val="sl-SI"/>
        </w:rPr>
        <w:t xml:space="preserve">(v nadaljevanju pritožnik) je vložil pritožbo zoper sklep </w:t>
      </w:r>
      <w:r w:rsidRPr="00106A71">
        <w:rPr>
          <w:rFonts w:cs="Arial"/>
          <w:color w:val="FFFFFF" w:themeColor="background1"/>
          <w:szCs w:val="20"/>
          <w:lang w:val="sl-SI"/>
        </w:rPr>
        <w:t>izbrisan podatek naziv organa</w:t>
      </w:r>
      <w:r w:rsidRPr="00106A71">
        <w:rPr>
          <w:rFonts w:cs="Arial"/>
          <w:szCs w:val="20"/>
          <w:lang w:val="sl-SI"/>
        </w:rPr>
        <w:t xml:space="preserve"> št. 100-1/2019/2781 (1501-15) z dne 11. 10. 2019, s katerim se njegova zahteva za plačano odsotnost z dela kot neutemeljena zavrne (v nadaljevanju izpodbijani sklep). Pritožnik prereka 1. in 2. točko izreka izpodbijanega sklepa. Pri tem navaja, da se je v času od 5. do 8. septembra 2019 kot predstavnik IPA sekcije Slovenije udeležil 5. mednarodne Balkansko – Jadranske IPA konference, ki je potekala v glavnem mestu Črne Gore, Podgorici. Nadalje navaja vse udeležence navedene konference, prilaga pa tudi poročilo o njegovi aktivni udeležbi na tej konferenci, ki je sestavni del te pritožbe. Pri tem pojasnjuje, da je bila njegova vloga na omenjeni konferenci zelo aktivna, saj je kot edini član delegacije IPA – Mednarodne policijske zveze Sekcije Slovenije predstavljal Republiko Slovenijo na tej konferenci ter se aktivno vključeval v diskusijo. Po navedbah pritožnika na pomembnost dogodka kaže tudi dejstvo, da so se otvoritve te konference udeležili veleposlaniki držav udeleženk, minister v vladi Črne Gore ter direktor Uprave policije Črne Gore, ki je tudi odprl konferenco in zaželel uspešno delo. Na tej konferenci naj bi si tudi izmenjali in pridobili informacije v zvezi s svetovnimi športnimi igrami pod naslovom IPA GAMES 2020, ki bodo potekale drugo leto v Črni Gori. Pritožnik navaja, da si je v ta namen kot odgovoren za udeležbo slovenske IPA reprezentance na omenjenih igrah pridobil ustrezne informacije ter si ogledal prizorišča in namestitvene kapacitete. Zato se pritožnik ne strinja z obrazložitvijo organa prve stopnje, da njegova udeležba na navedeni konferenci ne predstavlja aktivnega sodelovanja. Pri tem poudarja, da se je njegova aktivna vloga z namenom udeležbe na konferenci pričela že 5. 8. 2019 ob 6. uri, ko je pričel s potovanjem na kraj konference, in nadaljevala ob 18. uri s pričetkom uradnega programa in svečano skupno večerjo. Pritožnik dodaja, da je bila njegova udeležba na aktivnostih dne 5. 9. 2019 nujna, saj drugače naslednji dan ne bi bilo mogoče sodelovati na tej konferenci. Naslednji dan, 6. 9. 2019, pa se je po navedbah pritožnika uradni del pričel ob 9. uri in zaključil ob 23.30 uri. Pritožnik še poudarja, da je bilo njegovi vlogi za plačano odsotnost z dela zaradi njegove udeležbe na podobni konferenci v letu 2018 ugodeno. Na podlagi vsega navedenega naproša pritožbeni organ, da njegovi pritožbi ugodi in spremeni odločitev organa prve stopnje.</w:t>
      </w:r>
    </w:p>
    <w:p w:rsidR="00106A71" w:rsidRPr="00106A71" w:rsidRDefault="00106A71" w:rsidP="00106A71">
      <w:pPr>
        <w:spacing w:line="276" w:lineRule="auto"/>
        <w:jc w:val="both"/>
        <w:rPr>
          <w:rFonts w:cs="Arial"/>
          <w:b/>
          <w:szCs w:val="20"/>
          <w:lang w:val="sl-SI" w:eastAsia="sl-SI"/>
        </w:rPr>
      </w:pPr>
    </w:p>
    <w:p w:rsidR="00106A71" w:rsidRPr="00106A71" w:rsidRDefault="00106A71" w:rsidP="00106A71">
      <w:pPr>
        <w:spacing w:line="276" w:lineRule="auto"/>
        <w:jc w:val="both"/>
        <w:rPr>
          <w:rFonts w:cs="Arial"/>
          <w:b/>
          <w:szCs w:val="20"/>
          <w:lang w:val="sl-SI" w:eastAsia="sl-SI"/>
        </w:rPr>
      </w:pPr>
      <w:r w:rsidRPr="00106A71">
        <w:rPr>
          <w:rFonts w:cs="Arial"/>
          <w:b/>
          <w:szCs w:val="20"/>
          <w:lang w:val="sl-SI" w:eastAsia="sl-SI"/>
        </w:rPr>
        <w:lastRenderedPageBreak/>
        <w:t xml:space="preserve">Pritožba ni utemeljena. </w:t>
      </w:r>
    </w:p>
    <w:p w:rsidR="00106A71" w:rsidRPr="00106A71" w:rsidRDefault="00106A71" w:rsidP="00106A71">
      <w:pPr>
        <w:spacing w:line="276" w:lineRule="auto"/>
        <w:jc w:val="both"/>
        <w:rPr>
          <w:rFonts w:cs="Arial"/>
          <w:szCs w:val="20"/>
          <w:lang w:val="sl-SI"/>
        </w:rPr>
      </w:pPr>
    </w:p>
    <w:p w:rsidR="00106A71" w:rsidRPr="00106A71" w:rsidRDefault="00106A71" w:rsidP="00106A71">
      <w:pPr>
        <w:spacing w:line="276" w:lineRule="auto"/>
        <w:jc w:val="both"/>
        <w:rPr>
          <w:rFonts w:cs="Arial"/>
          <w:b/>
          <w:szCs w:val="20"/>
          <w:lang w:val="sl-SI" w:eastAsia="sl-SI"/>
        </w:rPr>
      </w:pPr>
      <w:r w:rsidRPr="00106A71">
        <w:rPr>
          <w:rFonts w:cs="Arial"/>
          <w:szCs w:val="20"/>
          <w:lang w:val="sl-SI"/>
        </w:rPr>
        <w:t>Komisija za pritožbe je po ugotovitvi, da je vložena pritožba pravočasna, dovoljena in vložena po upravičeni osebi ter po pregledu spisovne dokumentacije in veljavnih predpisov ugotovila, kot sledi iz nadaljevanja obrazložitve.</w:t>
      </w:r>
    </w:p>
    <w:p w:rsidR="00106A71" w:rsidRPr="00106A71" w:rsidRDefault="00106A71" w:rsidP="00106A71">
      <w:pPr>
        <w:spacing w:line="276" w:lineRule="auto"/>
        <w:jc w:val="both"/>
        <w:rPr>
          <w:rFonts w:cs="Arial"/>
          <w:szCs w:val="20"/>
          <w:lang w:val="sl-SI" w:eastAsia="sl-SI"/>
        </w:rPr>
      </w:pPr>
    </w:p>
    <w:p w:rsidR="00106A71" w:rsidRDefault="00106A71" w:rsidP="00106A71">
      <w:pPr>
        <w:spacing w:line="276" w:lineRule="auto"/>
        <w:jc w:val="both"/>
        <w:rPr>
          <w:rFonts w:cs="Arial"/>
          <w:szCs w:val="20"/>
          <w:lang w:val="sl-SI"/>
        </w:rPr>
      </w:pPr>
      <w:r w:rsidRPr="00106A71">
        <w:rPr>
          <w:rFonts w:cs="Arial"/>
          <w:szCs w:val="20"/>
          <w:lang w:val="sl-SI"/>
        </w:rPr>
        <w:t>Z izpodbijanim sklepom je organ prve stopnje odločil, da se zahteva pritožnika kot neutemeljena zavrne (1. točka izreka izpodbijanega sklepa) in da pritožnik 5. 9. 2019 in 6. 9. 2019 ni upravičen do odsotnosti z dela s pravico do nadomestila plače (2. točka izreka izpodbijanega sklepa), poleg tega pa tudi, da pritožba ne zadrži izvršitve tega sklepa (3. točka izreka izpodbijanega sklepa). Navedena odločitev temelji na ugotovitvi organa prve stopnje, da v konkretnem primeru ni pravne podlage za odobritev plačane odsotnosti z dela, saj pritožnik na tej konferenci ne bo aktivno sodeloval, kot na primer organizator, sodnik ali član.</w:t>
      </w:r>
    </w:p>
    <w:p w:rsidR="00106A71" w:rsidRPr="00106A71" w:rsidRDefault="00106A71" w:rsidP="00106A71">
      <w:pPr>
        <w:spacing w:line="276" w:lineRule="auto"/>
        <w:jc w:val="both"/>
        <w:rPr>
          <w:rFonts w:cs="Arial"/>
          <w:szCs w:val="20"/>
          <w:lang w:val="sl-SI"/>
        </w:rPr>
      </w:pPr>
    </w:p>
    <w:p w:rsidR="00106A71" w:rsidRPr="00106A71" w:rsidRDefault="00106A71" w:rsidP="00106A71">
      <w:pPr>
        <w:spacing w:line="276" w:lineRule="auto"/>
        <w:jc w:val="both"/>
        <w:rPr>
          <w:rFonts w:cs="Arial"/>
          <w:szCs w:val="20"/>
          <w:lang w:val="sl-SI" w:eastAsia="sl-SI"/>
        </w:rPr>
      </w:pPr>
      <w:r w:rsidRPr="00106A71">
        <w:rPr>
          <w:rFonts w:cs="Arial"/>
          <w:szCs w:val="20"/>
          <w:lang w:val="sl-SI" w:eastAsia="sl-SI"/>
        </w:rPr>
        <w:t>Odsotnost z dela s pravico do nadomestila plače ureja 41. člen Zakona o delavcih v državnih organih (Uradni list št. 15/90, 5/91, 18/91,22/91, 2/91-I, 4/93,18/94, 70/97,87/97 in 38/99 – v nadaljevanju ZDDO), ki določa, da je delavec lahko odsoten z dela s pravico do nadomestila plače največ sedem dni v posameznem koledarskem letu, in sicer:</w:t>
      </w:r>
    </w:p>
    <w:p w:rsidR="00106A71" w:rsidRPr="00106A71" w:rsidRDefault="00106A71" w:rsidP="00106A71">
      <w:pPr>
        <w:numPr>
          <w:ilvl w:val="0"/>
          <w:numId w:val="2"/>
        </w:numPr>
        <w:spacing w:line="276" w:lineRule="auto"/>
        <w:jc w:val="both"/>
        <w:rPr>
          <w:rFonts w:cs="Arial"/>
          <w:szCs w:val="20"/>
          <w:lang w:val="sl-SI" w:eastAsia="sl-SI"/>
        </w:rPr>
      </w:pPr>
      <w:r w:rsidRPr="00106A71">
        <w:rPr>
          <w:rFonts w:cs="Arial"/>
          <w:szCs w:val="20"/>
          <w:lang w:val="sl-SI" w:eastAsia="sl-SI"/>
        </w:rPr>
        <w:t>do sedem dni zaradi nege ožjega družinskega člana v primerih, ko nima pravice do nadomestila plače za odsotnost zaradi nege družinskega člana po predpisih o zdravstvenem zavarovanju, in sicer na podlagi zdravniškega potrdila, in zaradi aktivnega sodelovanja pri kulturnih, športnih in podobnih prireditvah;</w:t>
      </w:r>
    </w:p>
    <w:p w:rsidR="00106A71" w:rsidRPr="00106A71" w:rsidRDefault="00106A71" w:rsidP="00106A71">
      <w:pPr>
        <w:numPr>
          <w:ilvl w:val="0"/>
          <w:numId w:val="2"/>
        </w:numPr>
        <w:spacing w:line="276" w:lineRule="auto"/>
        <w:jc w:val="both"/>
        <w:rPr>
          <w:rFonts w:cs="Arial"/>
          <w:szCs w:val="20"/>
          <w:lang w:val="sl-SI" w:eastAsia="sl-SI"/>
        </w:rPr>
      </w:pPr>
      <w:r w:rsidRPr="00106A71">
        <w:rPr>
          <w:rFonts w:cs="Arial"/>
          <w:szCs w:val="20"/>
          <w:lang w:val="sl-SI" w:eastAsia="sl-SI"/>
        </w:rPr>
        <w:t>tri dni zaradi sklenitve zakonske zveze, rojstva otroka, smrti ožjega družinskega člana in selitve v drugo stanovanje;</w:t>
      </w:r>
    </w:p>
    <w:p w:rsidR="00106A71" w:rsidRPr="00106A71" w:rsidRDefault="00106A71" w:rsidP="00106A71">
      <w:pPr>
        <w:numPr>
          <w:ilvl w:val="0"/>
          <w:numId w:val="2"/>
        </w:numPr>
        <w:spacing w:line="276" w:lineRule="auto"/>
        <w:jc w:val="both"/>
        <w:rPr>
          <w:rFonts w:cs="Arial"/>
          <w:szCs w:val="20"/>
          <w:lang w:val="sl-SI" w:eastAsia="sl-SI"/>
        </w:rPr>
      </w:pPr>
      <w:r w:rsidRPr="00106A71">
        <w:rPr>
          <w:rFonts w:cs="Arial"/>
          <w:szCs w:val="20"/>
          <w:lang w:val="sl-SI" w:eastAsia="sl-SI"/>
        </w:rPr>
        <w:t>en dan zaradi smrti bližnjih sorodnikov, zaradi vpoklica k vojaškim vajam, ki trajajo nad šest dni, in drugih neodložljivih opravkov.</w:t>
      </w:r>
    </w:p>
    <w:p w:rsidR="00106A71" w:rsidRPr="00106A71" w:rsidRDefault="00106A71" w:rsidP="00106A71">
      <w:pPr>
        <w:spacing w:line="276" w:lineRule="auto"/>
        <w:jc w:val="both"/>
        <w:rPr>
          <w:rFonts w:cs="Arial"/>
          <w:szCs w:val="20"/>
          <w:lang w:val="sl-SI" w:eastAsia="sl-SI"/>
        </w:rPr>
      </w:pPr>
    </w:p>
    <w:p w:rsidR="00106A71" w:rsidRPr="00106A71" w:rsidRDefault="00106A71" w:rsidP="00106A71">
      <w:pPr>
        <w:spacing w:line="276" w:lineRule="auto"/>
        <w:jc w:val="both"/>
        <w:rPr>
          <w:rFonts w:cs="Arial"/>
          <w:szCs w:val="20"/>
          <w:lang w:val="sl-SI" w:eastAsia="sl-SI"/>
        </w:rPr>
      </w:pPr>
      <w:r w:rsidRPr="00106A71">
        <w:rPr>
          <w:rFonts w:cs="Arial"/>
          <w:szCs w:val="20"/>
          <w:lang w:val="sl-SI" w:eastAsia="sl-SI"/>
        </w:rPr>
        <w:t xml:space="preserve">V obravnavanem primeru je relevantna prva alineja 41. člena ZDDO, ki določa, da je delavec lahko odsoten z dela s pravico do nadomestila plače največ sedem dni v posameznem koledarskem letu, med drugim tudi zaradi aktivnega sodelovanja pri kulturnih, športnih in podobnih prireditvah. Z navedeno zakonsko dikcijo opravičljivega razloga za odsotnost z dela je zakonodajalec želel zajeti različne dejanske dogodke in stanja, ki imajo skupno pomensko vsebino, jih je pa potrebno presojati v vsakem primeru posebej. Bistven element za odobritev odsotnosti delavcu je delavčevo aktivno sodelovanje na prireditvi. </w:t>
      </w:r>
    </w:p>
    <w:p w:rsidR="00106A71" w:rsidRDefault="00106A71" w:rsidP="00106A71">
      <w:pPr>
        <w:spacing w:line="276" w:lineRule="auto"/>
        <w:jc w:val="both"/>
        <w:rPr>
          <w:rFonts w:cs="Arial"/>
          <w:szCs w:val="20"/>
          <w:lang w:val="sl-SI" w:eastAsia="sl-SI"/>
        </w:rPr>
      </w:pPr>
      <w:r w:rsidRPr="00106A71">
        <w:rPr>
          <w:rFonts w:cs="Arial"/>
          <w:szCs w:val="20"/>
          <w:lang w:val="sl-SI" w:eastAsia="sl-SI"/>
        </w:rPr>
        <w:t>Kot izhaja iz priložene dokumentacije se je pritožnik kot predstavnik IPA – Mednarodne policijske zveze – Sekcije Slovenija udeležil 5. Mednarodne IPA Balkansko – Jadranske konference, ki je potekala od 5. do 8. 9. 2019 v Podgorici, pritožnik pa je z zahtevo zaprosil za odobritev odsotnosti z dela s pravico do nadomestila plače za 5. 9. 2019 in 6. 9. 2019. Pritožnik sicer navaja, da je na navedeni konferenci tudi aktivno sodeloval (</w:t>
      </w:r>
      <w:r w:rsidRPr="00106A71">
        <w:rPr>
          <w:rFonts w:cs="Arial"/>
          <w:szCs w:val="20"/>
          <w:lang w:val="sl-SI"/>
        </w:rPr>
        <w:t xml:space="preserve">kot edini član delegacije IPA – Mednarodne policijske zveze Sekcije Slovenije predstavljal Republiko Slovenijo na tej konferenci ter se aktivno vključeval v diskusijo, kot odgovoren za udeležbo slovenske IPA reprezentance na IPA GAMES 2020, ki bodo potekale drugo leto v Črni Gori, pa si pridobil tudi ustrezne informacije ter si ogledal prizorišča in namestitvene kapacitete), vendar tudi Komisija za pritožbe ocenjuje, da udeležbe pritožnika na omenjeni konferenci ni mogoče šteti za aktivno udeležbo na kulturni, športni ali podobni prireditvi. Pritožnikovo sodelovanje na konferenci pomeni zgolj aktivnost, ki se pričakuje od vseh udeležencev seminarja. Za aktivno udeležbo bi po oceni Komisije za pritožbe šlo v primeru, če bi aktivno sodeloval kot </w:t>
      </w:r>
      <w:r w:rsidRPr="00106A71">
        <w:rPr>
          <w:rFonts w:cs="Arial"/>
          <w:szCs w:val="20"/>
          <w:lang w:val="sl-SI" w:eastAsia="sl-SI"/>
        </w:rPr>
        <w:t xml:space="preserve">član organizacijskega odbora ali kot izvajalec posameznega sklopa, programa konference (navedeno smiselno izhaja tudi iz obrazložitve izpodbijanega sklepa), kar pa ni razvidno niti iz pritožbe niti iz priloženega poročila </w:t>
      </w:r>
      <w:r w:rsidRPr="00106A71">
        <w:rPr>
          <w:rFonts w:cs="Arial"/>
          <w:szCs w:val="20"/>
          <w:lang w:val="sl-SI"/>
        </w:rPr>
        <w:t>o pritožnikovi aktivni udeležbi na tej konferenci</w:t>
      </w:r>
      <w:r w:rsidRPr="00106A71">
        <w:rPr>
          <w:rFonts w:cs="Arial"/>
          <w:szCs w:val="20"/>
          <w:lang w:val="sl-SI" w:eastAsia="sl-SI"/>
        </w:rPr>
        <w:t>.</w:t>
      </w:r>
    </w:p>
    <w:p w:rsidR="00106A71" w:rsidRPr="00106A71" w:rsidRDefault="00106A71" w:rsidP="00106A71">
      <w:pPr>
        <w:spacing w:line="276" w:lineRule="auto"/>
        <w:jc w:val="both"/>
        <w:rPr>
          <w:rFonts w:cs="Arial"/>
          <w:szCs w:val="20"/>
          <w:lang w:val="sl-SI"/>
        </w:rPr>
      </w:pPr>
    </w:p>
    <w:p w:rsidR="00106A71" w:rsidRPr="00106A71" w:rsidRDefault="00106A71" w:rsidP="00106A71">
      <w:pPr>
        <w:spacing w:line="276" w:lineRule="auto"/>
        <w:jc w:val="both"/>
        <w:rPr>
          <w:rFonts w:cs="Arial"/>
          <w:szCs w:val="20"/>
          <w:lang w:val="sl-SI" w:eastAsia="sl-SI"/>
        </w:rPr>
      </w:pPr>
      <w:r w:rsidRPr="00106A71">
        <w:rPr>
          <w:rFonts w:cs="Arial"/>
          <w:szCs w:val="20"/>
          <w:lang w:val="sl-SI" w:eastAsia="sl-SI"/>
        </w:rPr>
        <w:t xml:space="preserve">Posledično pritožnik ni upravičen do odsotnosti z dela s pravico do nadomestila plače na dan poteka same konference (6. 9. 2019), in še manj za čas priprav ter pot na in z konference (5. 9. </w:t>
      </w:r>
      <w:r w:rsidRPr="00106A71">
        <w:rPr>
          <w:rFonts w:cs="Arial"/>
          <w:szCs w:val="20"/>
          <w:lang w:val="sl-SI" w:eastAsia="sl-SI"/>
        </w:rPr>
        <w:lastRenderedPageBreak/>
        <w:t xml:space="preserve">2019 in pa tudi 7. 9. 2019 ter 8. 9. 2019, čeprav pritožnik za ta dva dneva niti ni zahteval odobritve plačane odsotnosti z dela), </w:t>
      </w:r>
      <w:r w:rsidRPr="00106A71">
        <w:rPr>
          <w:rFonts w:cs="Arial"/>
          <w:szCs w:val="20"/>
          <w:lang w:val="sl-SI"/>
        </w:rPr>
        <w:t xml:space="preserve">in to ne glede na dosedanje odločitve organa prve stopnje v podobnih primerih. </w:t>
      </w:r>
    </w:p>
    <w:p w:rsidR="00106A71" w:rsidRPr="00106A71" w:rsidRDefault="00106A71" w:rsidP="00106A71">
      <w:pPr>
        <w:spacing w:line="276" w:lineRule="auto"/>
        <w:jc w:val="both"/>
        <w:rPr>
          <w:rFonts w:cs="Arial"/>
          <w:color w:val="C00000"/>
          <w:szCs w:val="20"/>
          <w:lang w:val="sl-SI"/>
        </w:rPr>
      </w:pPr>
    </w:p>
    <w:p w:rsidR="00106A71" w:rsidRDefault="00106A71" w:rsidP="00106A71">
      <w:pPr>
        <w:spacing w:line="276" w:lineRule="auto"/>
        <w:jc w:val="both"/>
        <w:rPr>
          <w:rFonts w:cs="Arial"/>
          <w:szCs w:val="20"/>
          <w:lang w:val="sl-SI" w:eastAsia="sl-SI"/>
        </w:rPr>
      </w:pPr>
      <w:r w:rsidRPr="00106A71">
        <w:rPr>
          <w:rFonts w:cs="Arial"/>
          <w:szCs w:val="20"/>
          <w:lang w:val="sl-SI" w:eastAsia="sl-SI"/>
        </w:rPr>
        <w:t>Na podlagi navedenega je Komisija za pritožbe v skladu s prvim odstavkom 248. člena Zakona o splošnem upravnem postopku (Uradni list RS, št. 24/06 - uradno prečiščeno besedilo in naslednji) odločila, kot je razvidno iz izreka tega sklepa.</w:t>
      </w:r>
    </w:p>
    <w:p w:rsidR="00106A71" w:rsidRPr="00106A71" w:rsidRDefault="00106A71" w:rsidP="00106A71">
      <w:pPr>
        <w:spacing w:line="276" w:lineRule="auto"/>
        <w:jc w:val="both"/>
        <w:rPr>
          <w:rFonts w:cs="Arial"/>
          <w:szCs w:val="20"/>
          <w:lang w:val="sl-SI" w:eastAsia="sl-SI"/>
        </w:rPr>
      </w:pPr>
    </w:p>
    <w:p w:rsidR="00106A71" w:rsidRPr="00106A71" w:rsidRDefault="00106A71" w:rsidP="00106A71">
      <w:pPr>
        <w:spacing w:line="276" w:lineRule="auto"/>
        <w:jc w:val="both"/>
        <w:rPr>
          <w:rFonts w:cs="Arial"/>
          <w:szCs w:val="20"/>
          <w:lang w:val="sl-SI"/>
        </w:rPr>
      </w:pPr>
      <w:r w:rsidRPr="00106A71">
        <w:rPr>
          <w:rFonts w:cs="Arial"/>
          <w:b/>
          <w:szCs w:val="20"/>
          <w:lang w:val="sl-SI"/>
        </w:rPr>
        <w:t>POUK O PRAVNEM SREDSTVU:</w:t>
      </w:r>
    </w:p>
    <w:p w:rsidR="00106A71" w:rsidRPr="00106A71" w:rsidRDefault="00106A71" w:rsidP="00106A71">
      <w:pPr>
        <w:spacing w:line="276" w:lineRule="auto"/>
        <w:jc w:val="both"/>
        <w:rPr>
          <w:rFonts w:cs="Arial"/>
          <w:szCs w:val="20"/>
          <w:lang w:val="sl-SI"/>
        </w:rPr>
      </w:pPr>
    </w:p>
    <w:p w:rsidR="00106A71" w:rsidRDefault="00106A71" w:rsidP="00106A71">
      <w:pPr>
        <w:spacing w:line="276" w:lineRule="auto"/>
        <w:jc w:val="both"/>
        <w:rPr>
          <w:rFonts w:cs="Arial"/>
          <w:szCs w:val="20"/>
          <w:lang w:val="sl-SI"/>
        </w:rPr>
      </w:pPr>
      <w:r w:rsidRPr="00106A71">
        <w:rPr>
          <w:rFonts w:cs="Arial"/>
          <w:szCs w:val="20"/>
          <w:lang w:val="sl-SI"/>
        </w:rPr>
        <w:t xml:space="preserve">Pritožnik lahko v 30 dneh od dneva prejema tega sklepa začne postopek pred sodiščem, pristojnim za delovne spore. Tožba se vloži pri pristojnem sodišču neposredno pisno ali pa se mu pošlje priporočeno po pošti. Tožbi je treba priložiti tudi ta sklep v izvirniku, prepisu ali kopiji ter po en prepis ali kopijo tožbe in prilog za toženca. </w:t>
      </w:r>
    </w:p>
    <w:p w:rsidR="00106A71" w:rsidRDefault="00106A71" w:rsidP="00106A71">
      <w:pPr>
        <w:spacing w:line="276" w:lineRule="auto"/>
        <w:jc w:val="both"/>
        <w:rPr>
          <w:rFonts w:cs="Arial"/>
          <w:szCs w:val="20"/>
          <w:lang w:val="sl-SI"/>
        </w:rPr>
      </w:pPr>
    </w:p>
    <w:p w:rsidR="00106A71" w:rsidRDefault="00106A71" w:rsidP="00106A71">
      <w:pPr>
        <w:spacing w:line="276" w:lineRule="auto"/>
        <w:ind w:left="4248"/>
        <w:jc w:val="both"/>
        <w:rPr>
          <w:rFonts w:cs="Arial"/>
          <w:szCs w:val="20"/>
          <w:lang w:val="sl-SI"/>
        </w:rPr>
      </w:pPr>
      <w:r w:rsidRPr="00106A71">
        <w:rPr>
          <w:rFonts w:cs="Arial"/>
          <w:color w:val="FFFFFF" w:themeColor="background1"/>
          <w:szCs w:val="20"/>
          <w:lang w:val="sl-SI"/>
        </w:rPr>
        <w:t>izbrisan podatek ime in priimek</w:t>
      </w:r>
      <w:r w:rsidRPr="00106A71">
        <w:rPr>
          <w:rFonts w:cs="Arial"/>
          <w:szCs w:val="20"/>
          <w:lang w:val="sl-SI"/>
        </w:rPr>
        <w:t>, univ. dipl. prav.</w:t>
      </w:r>
    </w:p>
    <w:p w:rsidR="00106A71" w:rsidRDefault="00106A71" w:rsidP="00106A71">
      <w:pPr>
        <w:spacing w:line="276" w:lineRule="auto"/>
        <w:ind w:left="4248" w:firstLine="708"/>
        <w:jc w:val="both"/>
        <w:rPr>
          <w:rFonts w:cs="Arial"/>
          <w:szCs w:val="20"/>
          <w:lang w:val="sl-SI"/>
        </w:rPr>
      </w:pPr>
      <w:r w:rsidRPr="00106A71">
        <w:rPr>
          <w:rFonts w:cs="Arial"/>
          <w:b/>
          <w:szCs w:val="20"/>
          <w:lang w:val="sl-SI"/>
        </w:rPr>
        <w:t>PREDSEDNIK SENATA</w:t>
      </w:r>
    </w:p>
    <w:p w:rsidR="00106A71" w:rsidRPr="00106A71" w:rsidRDefault="00106A71" w:rsidP="00106A71">
      <w:pPr>
        <w:spacing w:line="276" w:lineRule="auto"/>
        <w:jc w:val="both"/>
        <w:rPr>
          <w:rFonts w:cs="Arial"/>
          <w:szCs w:val="20"/>
          <w:lang w:val="sl-SI"/>
        </w:rPr>
      </w:pPr>
    </w:p>
    <w:p w:rsidR="00106A71" w:rsidRPr="00106A71" w:rsidRDefault="00106A71" w:rsidP="00106A71">
      <w:pPr>
        <w:spacing w:line="276" w:lineRule="auto"/>
        <w:rPr>
          <w:rFonts w:cs="Arial"/>
          <w:b/>
          <w:szCs w:val="20"/>
          <w:lang w:val="sl-SI"/>
        </w:rPr>
      </w:pPr>
      <w:r w:rsidRPr="00106A71">
        <w:rPr>
          <w:rFonts w:cs="Arial"/>
          <w:b/>
          <w:szCs w:val="20"/>
          <w:lang w:val="sl-SI"/>
        </w:rPr>
        <w:t>VROČITI:</w:t>
      </w:r>
    </w:p>
    <w:p w:rsidR="00106A71" w:rsidRPr="00106A71" w:rsidRDefault="00106A71" w:rsidP="00106A71">
      <w:pPr>
        <w:spacing w:line="276" w:lineRule="auto"/>
        <w:ind w:left="705" w:hanging="705"/>
        <w:jc w:val="both"/>
        <w:rPr>
          <w:rFonts w:cs="Arial"/>
          <w:szCs w:val="20"/>
          <w:lang w:val="sl-SI"/>
        </w:rPr>
      </w:pPr>
      <w:r w:rsidRPr="00106A71">
        <w:rPr>
          <w:rFonts w:cs="Arial"/>
          <w:szCs w:val="20"/>
          <w:lang w:val="sl-SI"/>
        </w:rPr>
        <w:t>-</w:t>
      </w:r>
      <w:r w:rsidRPr="00106A71">
        <w:rPr>
          <w:rFonts w:cs="Arial"/>
          <w:szCs w:val="20"/>
          <w:lang w:val="sl-SI"/>
        </w:rPr>
        <w:tab/>
      </w:r>
      <w:r w:rsidRPr="00106A71">
        <w:rPr>
          <w:rFonts w:cs="Arial"/>
          <w:color w:val="FFFFFF" w:themeColor="background1"/>
          <w:szCs w:val="20"/>
          <w:lang w:val="sl-SI"/>
        </w:rPr>
        <w:t xml:space="preserve">izbrisan podatek ime in priimek </w:t>
      </w:r>
      <w:r w:rsidRPr="00106A71">
        <w:rPr>
          <w:rFonts w:cs="Arial"/>
          <w:szCs w:val="20"/>
          <w:lang w:val="sl-SI"/>
        </w:rPr>
        <w:t>- osebno po ZUP!</w:t>
      </w:r>
    </w:p>
    <w:p w:rsidR="00BB09CE" w:rsidRPr="00106A71" w:rsidRDefault="00106A71" w:rsidP="00106A71">
      <w:pPr>
        <w:spacing w:line="276" w:lineRule="auto"/>
        <w:ind w:left="705" w:hanging="705"/>
        <w:jc w:val="both"/>
        <w:rPr>
          <w:rFonts w:cs="Arial"/>
          <w:szCs w:val="20"/>
          <w:lang w:val="sl-SI"/>
        </w:rPr>
      </w:pPr>
      <w:r w:rsidRPr="00106A71">
        <w:rPr>
          <w:rFonts w:cs="Arial"/>
          <w:szCs w:val="20"/>
          <w:lang w:val="sl-SI"/>
        </w:rPr>
        <w:t>-</w:t>
      </w:r>
      <w:r w:rsidRPr="00106A71">
        <w:rPr>
          <w:rFonts w:cs="Arial"/>
          <w:szCs w:val="20"/>
          <w:lang w:val="sl-SI"/>
        </w:rPr>
        <w:tab/>
        <w:t>Ministrstvo za notranje zadeve, Štefanova ulica 2, 1501 Ljubljana.</w:t>
      </w:r>
    </w:p>
    <w:sectPr w:rsidR="00BB09CE" w:rsidRPr="00106A71" w:rsidSect="00D03BED">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BF7" w:rsidRDefault="00D56BF7" w:rsidP="00D56BF7">
      <w:pPr>
        <w:spacing w:line="240" w:lineRule="auto"/>
      </w:pPr>
      <w:r>
        <w:separator/>
      </w:r>
    </w:p>
  </w:endnote>
  <w:endnote w:type="continuationSeparator" w:id="0">
    <w:p w:rsidR="00D56BF7" w:rsidRDefault="00D56BF7" w:rsidP="00D56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2A0" w:rsidRDefault="002D2265" w:rsidP="00D03BE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462A0" w:rsidRDefault="00836EB1" w:rsidP="00D03BE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2A0" w:rsidRDefault="002D2265" w:rsidP="00D03BE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rsidR="001462A0" w:rsidRDefault="00836EB1" w:rsidP="00D03BED">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EB1" w:rsidRDefault="00836EB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BF7" w:rsidRDefault="00D56BF7" w:rsidP="00D56BF7">
      <w:pPr>
        <w:spacing w:line="240" w:lineRule="auto"/>
      </w:pPr>
      <w:r>
        <w:separator/>
      </w:r>
    </w:p>
  </w:footnote>
  <w:footnote w:type="continuationSeparator" w:id="0">
    <w:p w:rsidR="00D56BF7" w:rsidRDefault="00D56BF7" w:rsidP="00D56B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EB1" w:rsidRDefault="00836EB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2A0" w:rsidRPr="00110CBD" w:rsidRDefault="00836EB1" w:rsidP="00D03BED">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77"/>
    </w:tblGrid>
    <w:tr w:rsidR="004745D4" w:rsidRPr="008F3500" w:rsidTr="00187E7E">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rsidR="004745D4" w:rsidRPr="006D42D9" w:rsidRDefault="0033449C" w:rsidP="004745D4">
          <w:pPr>
            <w:autoSpaceDE w:val="0"/>
            <w:autoSpaceDN w:val="0"/>
            <w:adjustRightInd w:val="0"/>
            <w:spacing w:line="240" w:lineRule="auto"/>
            <w:rPr>
              <w:rFonts w:ascii="Republika" w:hAnsi="Republika"/>
              <w:sz w:val="60"/>
              <w:szCs w:val="60"/>
              <w:lang w:val="sl-SI"/>
            </w:rPr>
          </w:pPr>
          <w:bookmarkStart w:id="1" w:name="_Hlk53080671"/>
          <w:r>
            <w:rPr>
              <w:noProof/>
            </w:rPr>
            <w:drawing>
              <wp:inline distT="0" distB="0" distL="0" distR="0" wp14:anchorId="5357CEC3" wp14:editId="6AA3EDEC">
                <wp:extent cx="292735" cy="372110"/>
                <wp:effectExtent l="0" t="0" r="0" b="8890"/>
                <wp:docPr id="1" name="Slika 1"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r>
  </w:tbl>
  <w:p w:rsidR="004745D4" w:rsidRPr="008F3500" w:rsidRDefault="004745D4" w:rsidP="004745D4">
    <w:pPr>
      <w:autoSpaceDE w:val="0"/>
      <w:autoSpaceDN w:val="0"/>
      <w:adjustRightInd w:val="0"/>
      <w:spacing w:line="240" w:lineRule="auto"/>
      <w:rPr>
        <w:rFonts w:ascii="Republika" w:hAnsi="Republika"/>
        <w:lang w:val="sl-SI"/>
      </w:rPr>
    </w:pPr>
    <w:r>
      <w:rPr>
        <w:rFonts w:ascii="Republika" w:hAnsi="Republika"/>
        <w:lang w:val="sl-SI"/>
      </w:rPr>
      <w:t>VLADA REPUBLIKE SLOVENIJE</w:t>
    </w:r>
  </w:p>
  <w:p w:rsidR="00236965" w:rsidRPr="00022579" w:rsidRDefault="004745D4" w:rsidP="00236965">
    <w:pPr>
      <w:pStyle w:val="Glava"/>
      <w:tabs>
        <w:tab w:val="left" w:pos="5112"/>
      </w:tabs>
      <w:spacing w:after="120" w:line="240" w:lineRule="exact"/>
      <w:rPr>
        <w:rFonts w:ascii="Republika Bold" w:hAnsi="Republika Bold"/>
        <w:caps/>
        <w:sz w:val="20"/>
        <w:szCs w:val="20"/>
      </w:rPr>
    </w:pPr>
    <w:r w:rsidRPr="00022579">
      <w:rPr>
        <w:rFonts w:ascii="Republika Bold" w:hAnsi="Republika Bold"/>
        <w:caps/>
        <w:sz w:val="20"/>
        <w:szCs w:val="20"/>
      </w:rPr>
      <w:t>KOMISIJA ZA PRITOŽBE IZ DELOVNEGA RAZMERJA</w:t>
    </w:r>
  </w:p>
  <w:p w:rsidR="00EF175E" w:rsidRPr="00836EB1" w:rsidRDefault="004745D4" w:rsidP="00EF175E">
    <w:pPr>
      <w:pStyle w:val="Glava"/>
      <w:tabs>
        <w:tab w:val="left" w:pos="5112"/>
      </w:tabs>
      <w:rPr>
        <w:rFonts w:ascii="Arial" w:hAnsi="Arial" w:cs="Arial"/>
        <w:b/>
        <w:caps/>
        <w:sz w:val="20"/>
        <w:szCs w:val="20"/>
      </w:rPr>
    </w:pPr>
    <w:r w:rsidRPr="00410B91">
      <w:rPr>
        <w:rFonts w:ascii="Arial" w:hAnsi="Arial" w:cs="Arial"/>
        <w:sz w:val="16"/>
      </w:rPr>
      <w:t>Tržaška cesta 21, 1000 Ljubljana</w:t>
    </w:r>
    <w:bookmarkEnd w:id="1"/>
    <w:r w:rsidR="00EF175E">
      <w:rPr>
        <w:rFonts w:cs="Arial"/>
        <w:sz w:val="16"/>
      </w:rPr>
      <w:tab/>
    </w:r>
    <w:r w:rsidR="00EF175E">
      <w:rPr>
        <w:rFonts w:cs="Arial"/>
        <w:sz w:val="16"/>
      </w:rPr>
      <w:tab/>
    </w:r>
    <w:r w:rsidR="00EF175E" w:rsidRPr="00836EB1">
      <w:rPr>
        <w:rFonts w:ascii="Arial" w:hAnsi="Arial" w:cs="Arial"/>
        <w:sz w:val="16"/>
      </w:rPr>
      <w:t>T: 01 478 16 76</w:t>
    </w:r>
  </w:p>
  <w:p w:rsidR="00EF175E" w:rsidRPr="00836EB1" w:rsidRDefault="00EF175E" w:rsidP="00EF175E">
    <w:pPr>
      <w:pStyle w:val="Glava"/>
      <w:tabs>
        <w:tab w:val="left" w:pos="5112"/>
      </w:tabs>
      <w:ind w:left="142"/>
      <w:rPr>
        <w:rFonts w:ascii="Arial" w:hAnsi="Arial" w:cs="Arial"/>
        <w:sz w:val="16"/>
      </w:rPr>
    </w:pPr>
    <w:r w:rsidRPr="00836EB1">
      <w:rPr>
        <w:rFonts w:ascii="Arial" w:hAnsi="Arial" w:cs="Arial"/>
        <w:sz w:val="16"/>
      </w:rPr>
      <w:tab/>
    </w:r>
    <w:r w:rsidRPr="00836EB1">
      <w:rPr>
        <w:rFonts w:ascii="Arial" w:hAnsi="Arial" w:cs="Arial"/>
        <w:sz w:val="16"/>
      </w:rPr>
      <w:tab/>
      <w:t xml:space="preserve">E: </w:t>
    </w:r>
    <w:hyperlink r:id="rId2" w:history="1">
      <w:r w:rsidRPr="00836EB1">
        <w:rPr>
          <w:rStyle w:val="Hiperpovezava"/>
          <w:rFonts w:ascii="Arial" w:hAnsi="Arial" w:cs="Arial"/>
          <w:sz w:val="16"/>
        </w:rPr>
        <w:t>gp.mju@gov.si</w:t>
      </w:r>
    </w:hyperlink>
  </w:p>
  <w:p w:rsidR="00EF175E" w:rsidRPr="00836EB1" w:rsidRDefault="00EF175E" w:rsidP="00EF175E">
    <w:pPr>
      <w:pStyle w:val="Glava"/>
      <w:tabs>
        <w:tab w:val="left" w:pos="5112"/>
      </w:tabs>
      <w:ind w:left="142"/>
      <w:rPr>
        <w:rFonts w:ascii="Arial" w:hAnsi="Arial" w:cs="Arial"/>
      </w:rPr>
    </w:pPr>
    <w:r w:rsidRPr="00836EB1">
      <w:rPr>
        <w:rFonts w:ascii="Arial" w:hAnsi="Arial" w:cs="Arial"/>
        <w:sz w:val="16"/>
      </w:rPr>
      <w:tab/>
    </w:r>
    <w:r w:rsidRPr="00836EB1">
      <w:rPr>
        <w:rFonts w:ascii="Arial" w:hAnsi="Arial" w:cs="Arial"/>
        <w:sz w:val="16"/>
      </w:rPr>
      <w:tab/>
      <w:t>www.m</w:t>
    </w:r>
    <w:bookmarkStart w:id="2" w:name="_GoBack"/>
    <w:bookmarkEnd w:id="2"/>
    <w:r w:rsidRPr="00836EB1">
      <w:rPr>
        <w:rFonts w:ascii="Arial" w:hAnsi="Arial" w:cs="Arial"/>
        <w:sz w:val="16"/>
      </w:rPr>
      <w:t>ju.gov.si</w:t>
    </w:r>
  </w:p>
  <w:p w:rsidR="001462A0" w:rsidRPr="00236965" w:rsidRDefault="00236965" w:rsidP="00EF175E">
    <w:pPr>
      <w:pStyle w:val="Glava"/>
      <w:tabs>
        <w:tab w:val="left" w:pos="5112"/>
      </w:tabs>
      <w:ind w:left="142"/>
      <w:rPr>
        <w:rFonts w:cs="Arial"/>
        <w:sz w:val="16"/>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70F95"/>
    <w:multiLevelType w:val="singleLevel"/>
    <w:tmpl w:val="B762A1A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BF00D36"/>
    <w:multiLevelType w:val="hybridMultilevel"/>
    <w:tmpl w:val="71B2422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ED"/>
    <w:rsid w:val="0002025A"/>
    <w:rsid w:val="00022579"/>
    <w:rsid w:val="00030DB5"/>
    <w:rsid w:val="00044720"/>
    <w:rsid w:val="000457E3"/>
    <w:rsid w:val="00075B48"/>
    <w:rsid w:val="00092E6E"/>
    <w:rsid w:val="00096B79"/>
    <w:rsid w:val="000C0D84"/>
    <w:rsid w:val="000E1DC9"/>
    <w:rsid w:val="000F7057"/>
    <w:rsid w:val="00106A71"/>
    <w:rsid w:val="00111EB4"/>
    <w:rsid w:val="00113BF4"/>
    <w:rsid w:val="0013775D"/>
    <w:rsid w:val="00153A26"/>
    <w:rsid w:val="00180E89"/>
    <w:rsid w:val="001B1A42"/>
    <w:rsid w:val="001B6EAE"/>
    <w:rsid w:val="001E6494"/>
    <w:rsid w:val="002244E9"/>
    <w:rsid w:val="002311A6"/>
    <w:rsid w:val="00236965"/>
    <w:rsid w:val="00243D4D"/>
    <w:rsid w:val="002D07B9"/>
    <w:rsid w:val="002D2265"/>
    <w:rsid w:val="002D3AEC"/>
    <w:rsid w:val="00300AE4"/>
    <w:rsid w:val="0032391E"/>
    <w:rsid w:val="003244D8"/>
    <w:rsid w:val="0033449C"/>
    <w:rsid w:val="003574C4"/>
    <w:rsid w:val="00376E0D"/>
    <w:rsid w:val="00381C0E"/>
    <w:rsid w:val="00384A14"/>
    <w:rsid w:val="003D7006"/>
    <w:rsid w:val="003E78A2"/>
    <w:rsid w:val="00400802"/>
    <w:rsid w:val="00410B91"/>
    <w:rsid w:val="004431BB"/>
    <w:rsid w:val="00447835"/>
    <w:rsid w:val="004745D4"/>
    <w:rsid w:val="00495279"/>
    <w:rsid w:val="004C3832"/>
    <w:rsid w:val="004E113A"/>
    <w:rsid w:val="00516F5B"/>
    <w:rsid w:val="00564840"/>
    <w:rsid w:val="005B5113"/>
    <w:rsid w:val="0064612E"/>
    <w:rsid w:val="006626C6"/>
    <w:rsid w:val="0067295A"/>
    <w:rsid w:val="0068374D"/>
    <w:rsid w:val="00697266"/>
    <w:rsid w:val="0070306F"/>
    <w:rsid w:val="007A55AA"/>
    <w:rsid w:val="007C1C67"/>
    <w:rsid w:val="007D54ED"/>
    <w:rsid w:val="00807DB2"/>
    <w:rsid w:val="00836EB1"/>
    <w:rsid w:val="008559DC"/>
    <w:rsid w:val="008B4ED4"/>
    <w:rsid w:val="008D2887"/>
    <w:rsid w:val="008F520F"/>
    <w:rsid w:val="00901908"/>
    <w:rsid w:val="009204A4"/>
    <w:rsid w:val="009834B1"/>
    <w:rsid w:val="009B1118"/>
    <w:rsid w:val="009B2EEB"/>
    <w:rsid w:val="009E1D33"/>
    <w:rsid w:val="009E619B"/>
    <w:rsid w:val="00A022F3"/>
    <w:rsid w:val="00A20B05"/>
    <w:rsid w:val="00A34444"/>
    <w:rsid w:val="00A34783"/>
    <w:rsid w:val="00A47ACF"/>
    <w:rsid w:val="00A50B62"/>
    <w:rsid w:val="00AE1E39"/>
    <w:rsid w:val="00B24950"/>
    <w:rsid w:val="00B36D2D"/>
    <w:rsid w:val="00BB5E1A"/>
    <w:rsid w:val="00BB6B85"/>
    <w:rsid w:val="00BF7F03"/>
    <w:rsid w:val="00C01558"/>
    <w:rsid w:val="00C51DF4"/>
    <w:rsid w:val="00C77B85"/>
    <w:rsid w:val="00CA26E4"/>
    <w:rsid w:val="00D025B8"/>
    <w:rsid w:val="00D56BF7"/>
    <w:rsid w:val="00D5721A"/>
    <w:rsid w:val="00D64CD5"/>
    <w:rsid w:val="00D90F86"/>
    <w:rsid w:val="00E03A3A"/>
    <w:rsid w:val="00E24C74"/>
    <w:rsid w:val="00EF175E"/>
    <w:rsid w:val="00F04DA3"/>
    <w:rsid w:val="00F074E9"/>
    <w:rsid w:val="00F27406"/>
    <w:rsid w:val="00F93C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250826C0-6C8A-43F1-8D8B-A5ACC09C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4612E"/>
    <w:pPr>
      <w:spacing w:after="0" w:line="260" w:lineRule="exac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64612E"/>
    <w:pPr>
      <w:keepNext/>
      <w:spacing w:before="240" w:after="60"/>
      <w:jc w:val="center"/>
      <w:outlineLvl w:val="0"/>
    </w:pPr>
    <w:rPr>
      <w:b/>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D54ED"/>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
    <w:rsid w:val="007D54ED"/>
  </w:style>
  <w:style w:type="paragraph" w:styleId="Noga">
    <w:name w:val="footer"/>
    <w:basedOn w:val="Navaden"/>
    <w:link w:val="NogaZnak"/>
    <w:uiPriority w:val="99"/>
    <w:unhideWhenUsed/>
    <w:rsid w:val="007D54ED"/>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NogaZnak">
    <w:name w:val="Noga Znak"/>
    <w:basedOn w:val="Privzetapisavaodstavka"/>
    <w:link w:val="Noga"/>
    <w:uiPriority w:val="99"/>
    <w:rsid w:val="007D54ED"/>
  </w:style>
  <w:style w:type="character" w:styleId="tevilkastrani">
    <w:name w:val="page number"/>
    <w:basedOn w:val="Privzetapisavaodstavka"/>
    <w:rsid w:val="007D54ED"/>
  </w:style>
  <w:style w:type="paragraph" w:styleId="Odstavekseznama">
    <w:name w:val="List Paragraph"/>
    <w:basedOn w:val="Navaden"/>
    <w:link w:val="OdstavekseznamaZnak"/>
    <w:uiPriority w:val="34"/>
    <w:qFormat/>
    <w:rsid w:val="001E6494"/>
    <w:pPr>
      <w:ind w:left="720"/>
      <w:contextualSpacing/>
    </w:pPr>
  </w:style>
  <w:style w:type="character" w:customStyle="1" w:styleId="OdstavekseznamaZnak">
    <w:name w:val="Odstavek seznama Znak"/>
    <w:basedOn w:val="Privzetapisavaodstavka"/>
    <w:link w:val="Odstavekseznama"/>
    <w:rsid w:val="001E6494"/>
    <w:rPr>
      <w:rFonts w:ascii="Arial" w:eastAsia="Times New Roman" w:hAnsi="Arial" w:cs="Times New Roman"/>
      <w:sz w:val="20"/>
      <w:szCs w:val="24"/>
      <w:lang w:val="en-US"/>
    </w:rPr>
  </w:style>
  <w:style w:type="paragraph" w:styleId="Sprotnaopomba-besedilo">
    <w:name w:val="footnote text"/>
    <w:basedOn w:val="Navaden"/>
    <w:link w:val="Sprotnaopomba-besediloZnak"/>
    <w:uiPriority w:val="99"/>
    <w:semiHidden/>
    <w:unhideWhenUsed/>
    <w:rsid w:val="00A47ACF"/>
    <w:pPr>
      <w:spacing w:line="240" w:lineRule="auto"/>
    </w:pPr>
    <w:rPr>
      <w:rFonts w:asciiTheme="minorHAnsi" w:eastAsiaTheme="minorHAnsi" w:hAnsiTheme="minorHAnsi" w:cstheme="minorBidi"/>
      <w:szCs w:val="20"/>
      <w:lang w:val="sl-SI"/>
    </w:rPr>
  </w:style>
  <w:style w:type="character" w:customStyle="1" w:styleId="Sprotnaopomba-besediloZnak">
    <w:name w:val="Sprotna opomba - besedilo Znak"/>
    <w:basedOn w:val="Privzetapisavaodstavka"/>
    <w:link w:val="Sprotnaopomba-besedilo"/>
    <w:uiPriority w:val="99"/>
    <w:semiHidden/>
    <w:rsid w:val="00A47ACF"/>
    <w:rPr>
      <w:sz w:val="20"/>
      <w:szCs w:val="20"/>
    </w:rPr>
  </w:style>
  <w:style w:type="character" w:styleId="Sprotnaopomba-sklic">
    <w:name w:val="footnote reference"/>
    <w:basedOn w:val="Privzetapisavaodstavka"/>
    <w:uiPriority w:val="99"/>
    <w:semiHidden/>
    <w:unhideWhenUsed/>
    <w:rsid w:val="00A47ACF"/>
    <w:rPr>
      <w:vertAlign w:val="superscript"/>
    </w:rPr>
  </w:style>
  <w:style w:type="table" w:customStyle="1" w:styleId="Slog1">
    <w:name w:val="Slog1"/>
    <w:basedOn w:val="Navadnatabela"/>
    <w:uiPriority w:val="99"/>
    <w:rsid w:val="005B5113"/>
    <w:pPr>
      <w:spacing w:after="0" w:line="240" w:lineRule="auto"/>
    </w:pPr>
    <w:tblPr/>
  </w:style>
  <w:style w:type="table" w:styleId="Navadnatabela4">
    <w:name w:val="Plain Table 4"/>
    <w:basedOn w:val="Navadnatabela"/>
    <w:uiPriority w:val="44"/>
    <w:rsid w:val="009204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slov1Znak">
    <w:name w:val="Naslov 1 Znak"/>
    <w:aliases w:val="NASLOV Znak"/>
    <w:basedOn w:val="Privzetapisavaodstavka"/>
    <w:link w:val="Naslov1"/>
    <w:rsid w:val="0064612E"/>
    <w:rPr>
      <w:rFonts w:ascii="Arial" w:eastAsia="Times New Roman" w:hAnsi="Arial" w:cs="Times New Roman"/>
      <w:b/>
      <w:kern w:val="32"/>
      <w:sz w:val="20"/>
      <w:szCs w:val="20"/>
      <w:lang w:eastAsia="sl-SI"/>
    </w:rPr>
  </w:style>
  <w:style w:type="paragraph" w:styleId="Telobesedila">
    <w:name w:val="Body Text"/>
    <w:basedOn w:val="Navaden"/>
    <w:link w:val="TelobesedilaZnak"/>
    <w:rsid w:val="0064612E"/>
    <w:pPr>
      <w:overflowPunct w:val="0"/>
      <w:autoSpaceDE w:val="0"/>
      <w:autoSpaceDN w:val="0"/>
      <w:adjustRightInd w:val="0"/>
      <w:spacing w:line="240" w:lineRule="auto"/>
      <w:jc w:val="both"/>
      <w:textAlignment w:val="baseline"/>
    </w:pPr>
    <w:rPr>
      <w:sz w:val="22"/>
      <w:szCs w:val="20"/>
      <w:lang w:val="sl-SI" w:eastAsia="sl-SI"/>
    </w:rPr>
  </w:style>
  <w:style w:type="character" w:customStyle="1" w:styleId="TelobesedilaZnak">
    <w:name w:val="Telo besedila Znak"/>
    <w:basedOn w:val="Privzetapisavaodstavka"/>
    <w:link w:val="Telobesedila"/>
    <w:rsid w:val="0064612E"/>
    <w:rPr>
      <w:rFonts w:ascii="Arial" w:eastAsia="Times New Roman" w:hAnsi="Arial" w:cs="Times New Roman"/>
      <w:szCs w:val="20"/>
      <w:lang w:eastAsia="sl-SI"/>
    </w:rPr>
  </w:style>
  <w:style w:type="character" w:styleId="Hiperpovezava">
    <w:name w:val="Hyperlink"/>
    <w:basedOn w:val="Privzetapisavaodstavka"/>
    <w:uiPriority w:val="99"/>
    <w:unhideWhenUsed/>
    <w:rsid w:val="00236965"/>
    <w:rPr>
      <w:color w:val="0563C1" w:themeColor="hyperlink"/>
      <w:u w:val="single"/>
    </w:rPr>
  </w:style>
  <w:style w:type="character" w:styleId="Nerazreenaomemba">
    <w:name w:val="Unresolved Mention"/>
    <w:basedOn w:val="Privzetapisavaodstavka"/>
    <w:uiPriority w:val="99"/>
    <w:semiHidden/>
    <w:unhideWhenUsed/>
    <w:rsid w:val="00236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p.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3955EB-161C-4C2D-84F6-57B03959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1256</Words>
  <Characters>7164</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Aktivno sodelovanje pri kulturni, športni in podobni prireditvi</vt:lpstr>
    </vt:vector>
  </TitlesOfParts>
  <Company>MJU</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Aktivno sodelovanje pri kulturni, športni in podobni prireditvi</dc:title>
  <dc:subject/>
  <dc:creator>Marta Marn Sinur</dc:creator>
  <cp:keywords/>
  <dc:description/>
  <cp:lastModifiedBy>Alja Košir</cp:lastModifiedBy>
  <cp:revision>19</cp:revision>
  <dcterms:created xsi:type="dcterms:W3CDTF">2020-10-06T14:08:00Z</dcterms:created>
  <dcterms:modified xsi:type="dcterms:W3CDTF">2020-11-10T14:58:00Z</dcterms:modified>
</cp:coreProperties>
</file>