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79B2" w14:textId="77777777" w:rsidR="00756F85" w:rsidRDefault="00756F85" w:rsidP="00756F85">
      <w:pPr>
        <w:jc w:val="center"/>
        <w:rPr>
          <w:rFonts w:ascii="Arial" w:eastAsiaTheme="minorHAnsi" w:hAnsi="Arial" w:cs="Arial"/>
          <w:b/>
          <w:bCs/>
          <w:i/>
          <w:iCs/>
          <w:sz w:val="20"/>
          <w:szCs w:val="20"/>
          <w:lang w:eastAsia="en-US"/>
        </w:rPr>
      </w:pPr>
    </w:p>
    <w:p w14:paraId="269C670F" w14:textId="2F6E4840" w:rsidR="00756F85" w:rsidRPr="00D358C0" w:rsidRDefault="00756F85" w:rsidP="00756F85">
      <w:pPr>
        <w:jc w:val="center"/>
        <w:rPr>
          <w:rFonts w:ascii="Arial" w:eastAsiaTheme="minorHAnsi" w:hAnsi="Arial" w:cs="Arial"/>
          <w:b/>
          <w:bCs/>
          <w:i/>
          <w:iCs/>
          <w:sz w:val="20"/>
          <w:szCs w:val="20"/>
          <w:lang w:eastAsia="en-US"/>
        </w:rPr>
      </w:pPr>
      <w:r w:rsidRPr="00D358C0">
        <w:rPr>
          <w:rFonts w:ascii="Arial" w:eastAsiaTheme="minorHAnsi" w:hAnsi="Arial" w:cs="Arial"/>
          <w:b/>
          <w:bCs/>
          <w:i/>
          <w:iCs/>
          <w:sz w:val="20"/>
          <w:szCs w:val="20"/>
          <w:lang w:eastAsia="en-US"/>
        </w:rPr>
        <w:t>ZAKON O LOKALNIH VOLITVAH</w:t>
      </w:r>
    </w:p>
    <w:p w14:paraId="592A6917"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lang w:val="x-none"/>
        </w:rPr>
        <w:t>105. člen</w:t>
      </w:r>
    </w:p>
    <w:p w14:paraId="4B0E6B80"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Na</w:t>
      </w:r>
      <w:r w:rsidRPr="00D358C0">
        <w:rPr>
          <w:rFonts w:ascii="Arial" w:hAnsi="Arial" w:cs="Arial"/>
          <w:i/>
          <w:iCs/>
          <w:sz w:val="20"/>
          <w:szCs w:val="20"/>
        </w:rPr>
        <w:t>domestne</w:t>
      </w:r>
      <w:r w:rsidRPr="00D358C0">
        <w:rPr>
          <w:rFonts w:ascii="Arial" w:hAnsi="Arial" w:cs="Arial"/>
          <w:i/>
          <w:iCs/>
          <w:sz w:val="20"/>
          <w:szCs w:val="20"/>
          <w:lang w:val="x-none"/>
        </w:rPr>
        <w:t> volitve župana se opravijo, če županu preneha mandat pred potekom mandatne dobe.</w:t>
      </w:r>
    </w:p>
    <w:p w14:paraId="033EE6AB" w14:textId="77777777" w:rsidR="00756F85" w:rsidRPr="00D358C0" w:rsidRDefault="00756F85" w:rsidP="00756F85">
      <w:pPr>
        <w:shd w:val="clear" w:color="auto" w:fill="FFFFFF"/>
        <w:spacing w:before="240"/>
        <w:ind w:firstLine="1021"/>
        <w:jc w:val="both"/>
        <w:rPr>
          <w:rFonts w:ascii="Arial" w:hAnsi="Arial" w:cs="Arial"/>
          <w:i/>
          <w:iCs/>
          <w:sz w:val="20"/>
          <w:szCs w:val="20"/>
          <w:lang w:val="x-none"/>
        </w:rPr>
      </w:pPr>
      <w:r w:rsidRPr="00D358C0">
        <w:rPr>
          <w:rFonts w:ascii="Arial" w:hAnsi="Arial" w:cs="Arial"/>
          <w:i/>
          <w:iCs/>
          <w:sz w:val="20"/>
          <w:szCs w:val="20"/>
          <w:lang w:val="x-none"/>
        </w:rPr>
        <w:t>Na</w:t>
      </w:r>
      <w:r w:rsidRPr="00D358C0">
        <w:rPr>
          <w:rFonts w:ascii="Arial" w:hAnsi="Arial" w:cs="Arial"/>
          <w:i/>
          <w:iCs/>
          <w:sz w:val="20"/>
          <w:szCs w:val="20"/>
        </w:rPr>
        <w:t>domestne</w:t>
      </w:r>
      <w:r w:rsidRPr="00D358C0">
        <w:rPr>
          <w:rFonts w:ascii="Arial" w:hAnsi="Arial" w:cs="Arial"/>
          <w:i/>
          <w:iCs/>
          <w:sz w:val="20"/>
          <w:szCs w:val="20"/>
          <w:lang w:val="x-none"/>
        </w:rPr>
        <w:t> volitve župana razpiše občinska volilna komisija.</w:t>
      </w:r>
    </w:p>
    <w:p w14:paraId="1F23E772"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lang w:val="x-none"/>
        </w:rPr>
        <w:t>31. člen</w:t>
      </w:r>
    </w:p>
    <w:p w14:paraId="3F72B22B"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Nadomestne volitve se ne opravijo, če članu občinskega sveta preneha mandat manj kot šest mesecev pred potekom mandatne dobe občinskega sveta, razen če občinski svet odloči drugače.</w:t>
      </w:r>
    </w:p>
    <w:p w14:paraId="2E29FD7B" w14:textId="77777777" w:rsidR="00756F85" w:rsidRPr="00D358C0" w:rsidRDefault="00756F85" w:rsidP="00756F85">
      <w:pPr>
        <w:shd w:val="clear" w:color="auto" w:fill="FFFFFF"/>
        <w:spacing w:before="240"/>
        <w:ind w:firstLine="1021"/>
        <w:jc w:val="both"/>
        <w:rPr>
          <w:rFonts w:ascii="Arial" w:hAnsi="Arial" w:cs="Arial"/>
          <w:i/>
          <w:iCs/>
          <w:sz w:val="20"/>
          <w:szCs w:val="20"/>
          <w:lang w:val="x-none"/>
        </w:rPr>
      </w:pPr>
      <w:r w:rsidRPr="00D358C0">
        <w:rPr>
          <w:rFonts w:ascii="Arial" w:hAnsi="Arial" w:cs="Arial"/>
          <w:i/>
          <w:iCs/>
          <w:sz w:val="20"/>
          <w:szCs w:val="20"/>
          <w:lang w:val="x-none"/>
        </w:rPr>
        <w:t>Na nadomestnih volitvah se član občinskega sveta izvoli za čas do izteka mandatne dobe občinskega sveta.</w:t>
      </w:r>
    </w:p>
    <w:p w14:paraId="1BEE13B4"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lang w:val="x-none"/>
        </w:rPr>
        <w:t>32. člen</w:t>
      </w:r>
    </w:p>
    <w:p w14:paraId="1776A6D3" w14:textId="77777777" w:rsidR="00756F85" w:rsidRDefault="00756F85" w:rsidP="00756F85">
      <w:pPr>
        <w:shd w:val="clear" w:color="auto" w:fill="FFFFFF"/>
        <w:spacing w:before="240"/>
        <w:ind w:firstLine="1021"/>
        <w:jc w:val="both"/>
        <w:rPr>
          <w:rFonts w:ascii="Arial" w:hAnsi="Arial" w:cs="Arial"/>
          <w:i/>
          <w:iCs/>
          <w:sz w:val="20"/>
          <w:szCs w:val="20"/>
          <w:lang w:val="x-none"/>
        </w:rPr>
      </w:pPr>
      <w:r w:rsidRPr="00C30110">
        <w:rPr>
          <w:rFonts w:ascii="Arial" w:hAnsi="Arial" w:cs="Arial"/>
          <w:i/>
          <w:iCs/>
          <w:sz w:val="20"/>
          <w:szCs w:val="20"/>
          <w:lang w:val="x-none"/>
        </w:rPr>
        <w:t>Nadomestne volitve razpiše občinska volilna komisija najpozneje v 15 dneh po ugotovitvi občinskega sveta o prenehanju mandata.</w:t>
      </w:r>
    </w:p>
    <w:p w14:paraId="3DEABC9A"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Nadomestne volitve se opravijo v volilni enoti, v kateri je bil izvoljen član občinskega sveta, ki mu je prenehal mandat.</w:t>
      </w:r>
    </w:p>
    <w:p w14:paraId="71523283"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Nadomestne volitve se opravijo po večinskem načelu. Na nadomestnih volitvah je izvoljen kandidat, ki je dobil največ glasov.</w:t>
      </w:r>
    </w:p>
    <w:p w14:paraId="7968D23C" w14:textId="77777777" w:rsidR="00756F85" w:rsidRDefault="00756F85" w:rsidP="00756F85">
      <w:pPr>
        <w:shd w:val="clear" w:color="auto" w:fill="FFFFFF"/>
        <w:spacing w:before="480"/>
        <w:jc w:val="center"/>
        <w:rPr>
          <w:rFonts w:ascii="Arial" w:hAnsi="Arial" w:cs="Arial"/>
          <w:b/>
          <w:bCs/>
          <w:i/>
          <w:iCs/>
          <w:sz w:val="20"/>
          <w:szCs w:val="20"/>
          <w:lang w:val="x-none"/>
        </w:rPr>
      </w:pPr>
      <w:r w:rsidRPr="00D358C0">
        <w:rPr>
          <w:rFonts w:ascii="Arial" w:hAnsi="Arial" w:cs="Arial"/>
          <w:i/>
          <w:iCs/>
          <w:sz w:val="20"/>
          <w:szCs w:val="20"/>
          <w:lang w:val="x-none"/>
        </w:rPr>
        <w:t>Nadomestne volitve se opravijo po določbah tega zakona, kolikor ni v tem členu drugače določeno.</w:t>
      </w:r>
      <w:r w:rsidRPr="00CC76D9">
        <w:rPr>
          <w:rFonts w:ascii="Arial" w:hAnsi="Arial" w:cs="Arial"/>
          <w:b/>
          <w:bCs/>
          <w:i/>
          <w:iCs/>
          <w:sz w:val="20"/>
          <w:szCs w:val="20"/>
          <w:lang w:val="x-none"/>
        </w:rPr>
        <w:t xml:space="preserve"> </w:t>
      </w:r>
    </w:p>
    <w:p w14:paraId="4556315F"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lang w:val="x-none"/>
        </w:rPr>
        <w:t>27. člen</w:t>
      </w:r>
    </w:p>
    <w:p w14:paraId="16B0E0CE"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Redne volitve v občinske svete se razpišejo julija v letu, ko se opravijo redne volitve.</w:t>
      </w:r>
    </w:p>
    <w:p w14:paraId="1AAD09C4"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Od dneva razpisa volitev do dneva glasovanja ne sme preteči več kot 90 in ne manj kot 60 dni.</w:t>
      </w:r>
    </w:p>
    <w:p w14:paraId="7B5C7041"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Predčasne volitve v občinske svete se razpišejo najkasneje v 20 dneh po razpustu občinskega sveta.</w:t>
      </w:r>
    </w:p>
    <w:p w14:paraId="244B5577"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Predčasne volitve se lahko opravijo najprej v 40 dneh od dneva razpisa volitev.</w:t>
      </w:r>
    </w:p>
    <w:p w14:paraId="791A86C6" w14:textId="77777777" w:rsidR="00756F85" w:rsidRPr="00D358C0" w:rsidRDefault="00756F85" w:rsidP="00756F85">
      <w:pPr>
        <w:shd w:val="clear" w:color="auto" w:fill="FFFFFF"/>
        <w:spacing w:before="240"/>
        <w:ind w:firstLine="1021"/>
        <w:jc w:val="both"/>
        <w:rPr>
          <w:rFonts w:ascii="Arial" w:hAnsi="Arial" w:cs="Arial"/>
          <w:i/>
          <w:iCs/>
          <w:sz w:val="20"/>
          <w:szCs w:val="20"/>
        </w:rPr>
      </w:pPr>
    </w:p>
    <w:p w14:paraId="09B16440" w14:textId="77777777" w:rsidR="00756F85" w:rsidRPr="00D358C0" w:rsidRDefault="00756F85" w:rsidP="00756F85">
      <w:pPr>
        <w:shd w:val="clear" w:color="auto" w:fill="FFFFFF"/>
        <w:spacing w:before="240"/>
        <w:jc w:val="center"/>
        <w:rPr>
          <w:rFonts w:ascii="Arial" w:hAnsi="Arial" w:cs="Arial"/>
          <w:b/>
          <w:bCs/>
          <w:i/>
          <w:iCs/>
          <w:sz w:val="20"/>
          <w:szCs w:val="20"/>
        </w:rPr>
      </w:pPr>
      <w:r w:rsidRPr="00D358C0">
        <w:rPr>
          <w:rFonts w:ascii="Arial" w:hAnsi="Arial" w:cs="Arial"/>
          <w:b/>
          <w:bCs/>
          <w:i/>
          <w:iCs/>
          <w:sz w:val="20"/>
          <w:szCs w:val="20"/>
        </w:rPr>
        <w:lastRenderedPageBreak/>
        <w:t>ZAKON O LOKALNI SAMOUPRAVI</w:t>
      </w:r>
    </w:p>
    <w:p w14:paraId="755FAAB6"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rPr>
        <w:t>33.a člen</w:t>
      </w:r>
    </w:p>
    <w:p w14:paraId="7225028C"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Občina ima najmanj enega podžupana. Podžupana imenuje izmed članov občinskega sveta župan, ki ga lahko tudi razreši.</w:t>
      </w:r>
    </w:p>
    <w:p w14:paraId="10DFAD92"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V primeru predčasnega prenehanja mandata župana opravlja funkcijo župana do nastopa mandata novo izvoljenega župana podžupan. Če ima občina več podžupanov pa tisti podžupan, ki ga določi župan razen, če je župan razrešen. Če župan ne določi, kateri podžupan bo začasno opravljal funkcijo župana oziroma, če je razrešen, odloči občinski svet, kateri izmed članov občinskega sveta bo opravljal to funkcijo.</w:t>
      </w:r>
    </w:p>
    <w:p w14:paraId="7012857D"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Podžupan pomaga županu pri njegovem delu ter opravlja posamezne naloge iz pristojnosti župana, za katere ga župan pooblasti.</w:t>
      </w:r>
    </w:p>
    <w:p w14:paraId="1198093E"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Podžupan nadomešča župana v primeru njegove odsotnosti ali zadržanosti. Če ima občina več podžupanov, nadomešča župana tisti podžupan, ki ga določi župan, če ga ne določi, pa najstarejši podžupan. V času nadomeščanja opravlja podžupan tekoče naloge iz pristojnosti župana in tiste naloge, za katere ga župan pooblasti.</w:t>
      </w:r>
    </w:p>
    <w:p w14:paraId="10A75AAE"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Kadar nastopijo razlogi, da tako župan kot podžupan ne moreta opravljati svoje funkcije, nadomešča župana član občinskega sveta, ki ga določi župan, če ga ne določi, pa najstarejši član občinskega sveta. V času nadomeščanja opravlja član občinskega sveta tekoče naloge iz pristojnosti župana.</w:t>
      </w:r>
    </w:p>
    <w:p w14:paraId="7F4E7FCD"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rPr>
        <w:t>37.a člen</w:t>
      </w:r>
    </w:p>
    <w:p w14:paraId="0189DD54"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Članu občinskega sveta,  županu in podžupanu kot članu občinskega sveta preneha mandat:</w:t>
      </w:r>
    </w:p>
    <w:p w14:paraId="20FC8AC0"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izgubi volilno pravico,</w:t>
      </w:r>
    </w:p>
    <w:p w14:paraId="1363BA2D"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postane trajno nezmožen za opravljanje funkcije,</w:t>
      </w:r>
    </w:p>
    <w:p w14:paraId="73EA07D4"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je s pravnomočno sodbo obsojen na nepogojno kazen zapora, daljšo od šest mesecev,</w:t>
      </w:r>
    </w:p>
    <w:p w14:paraId="743B5067"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v treh mesecih po potrditvi mandata ne preneha opravljati dejavnosti, ki ni združljiva s funkcijo člana ob</w:t>
      </w:r>
      <w:r w:rsidRPr="00D358C0">
        <w:rPr>
          <w:rFonts w:ascii="Arial" w:hAnsi="Arial" w:cs="Arial"/>
          <w:i/>
          <w:iCs/>
          <w:sz w:val="20"/>
          <w:szCs w:val="20"/>
        </w:rPr>
        <w:softHyphen/>
        <w:t xml:space="preserve">činskega sveta, župana in podžupana, </w:t>
      </w:r>
    </w:p>
    <w:p w14:paraId="228875BB"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nastopi funkcijo ali začne opravljati dejavnost, ki ni združljiva s funkcijo člana občinskega sveta, župana in podžupana,</w:t>
      </w:r>
    </w:p>
    <w:p w14:paraId="68195994"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če nastopi funkcijo ali začne opravljati delo oziroma če v enem mesecu po potrditvi mandata ne preneha opravljati funkcije ali dela v občinski, oziroma državni upravi, ki na podlagi določb 37.b člena tega zakona ni združljiva, oziroma ni združljivo s funkcijo člana občinskega sveta, župana in podžupana.</w:t>
      </w:r>
    </w:p>
    <w:p w14:paraId="2F8E6A05"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Članu občinskega sveta, županu in podžupanu preneha mandat z dnem, ko občinski svet ugotovi, da so nastali razlogi za prenehanje mandata iz prejšnjega odstavka. Zoper ugotovitev občinskega sveta lahko član občinskega sveta, župan in podžupan, ki mu je prenehal mandat, v osmih dneh od prejema sklepa vloži tožbo na upravno sodišče, ki o njej odloči v 30 dneh. O morebitni pritožbi odloči vrhovno sodišče v 30 dneh.</w:t>
      </w:r>
    </w:p>
    <w:p w14:paraId="058600D6"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Če član občinskega sveta odstopi, mu preneha mandat z dnem, ko je podal odstopno izjavo županu, županu pa, ko o svojem odstopu pisno obvesti občinski svet in občinsko volilno komisijo. Župan mora občinski svet in občinsko volilno komisijo obvestiti o odstopu člana občinskega sveta v roku osmih dni od prejema pisne odstopne izjave.</w:t>
      </w:r>
    </w:p>
    <w:p w14:paraId="00DABC02"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Če župan v roku iz prejšnjega odstavka ne obvesti občinskega sveta in občinske volilne komisije, lahko občinski funkcionar, ki mu je prenehal mandat, v osmih dneh od poteka roka iz prejšnjega odstavka vloži tožbo na upravno sodišče. Upravno sodišče o tožbi iz tega odstavka in tožbi iz drugega odstavka tega člena odloči meritorno v 30 dneh. O morebitni pritožbi odloči vrhovno sodišče v 30 dneh. Enako sodno varstvo lahko uveljavlja tudi kandidat za člana občinskega sveta, ki bi bil izvoljen, če ne bi bil izvoljen član občinskega sveta, ki mu je mandat prenehal, predstavnik kandidature oziroma predstavnik liste kandidatov za člane občinskega sveta, s katere bi bil ta kandidat izvoljen.</w:t>
      </w:r>
    </w:p>
    <w:p w14:paraId="626B36EC"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Postopki za nadomestitev člana občinskega sveta ali izvolitev novega župana se lahko začno po preteku roka za vložitev tožbe, če tožba ni bila vložena, po preteku roka za vložitev pritožbe zoper odločitev upravnega sodišča, če pritožba ni bila vložena, oziroma po pravnomočni odločitvi sodišča.</w:t>
      </w:r>
    </w:p>
    <w:p w14:paraId="4626DD4B"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Če je župan imenovan:</w:t>
      </w:r>
    </w:p>
    <w:p w14:paraId="5C045837"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na funkcijo v organu državne uprave, ki izvaja nadzorstvo nad zakonitostjo oziroma nad primernostjo in strokovnostjo dela občinskih organov in občinske uprave,</w:t>
      </w:r>
    </w:p>
    <w:p w14:paraId="2DB92B3F"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za načelnika upravne enote, ali vodjo notranje organizacijske enote v upravni enoti, na katere območju je občina,</w:t>
      </w:r>
    </w:p>
    <w:p w14:paraId="33BCCDA1" w14:textId="77777777" w:rsidR="00756F85" w:rsidRPr="00D358C0" w:rsidRDefault="00756F85" w:rsidP="00756F85">
      <w:pPr>
        <w:shd w:val="clear" w:color="auto" w:fill="FFFFFF"/>
        <w:ind w:left="425" w:hanging="425"/>
        <w:jc w:val="both"/>
        <w:rPr>
          <w:rFonts w:ascii="Arial" w:hAnsi="Arial" w:cs="Arial"/>
          <w:i/>
          <w:iCs/>
          <w:sz w:val="20"/>
          <w:szCs w:val="20"/>
        </w:rPr>
      </w:pPr>
      <w:r w:rsidRPr="00D358C0">
        <w:rPr>
          <w:rFonts w:ascii="Arial" w:hAnsi="Arial" w:cs="Arial"/>
          <w:i/>
          <w:iCs/>
          <w:sz w:val="20"/>
          <w:szCs w:val="20"/>
        </w:rPr>
        <w:t>-        na položaj ali drugo uradniško delovno mesto v državni upravi, na katerem se izvršujejo pooblastila v zvezi z nadzorstvom nad zakonitostjo oziroma nad primernostjo in strokovnostjo dela občinskih organov in občinske uprave, mu po zakonu preneha mandat župana z dnem imenovanja. O imenovanju mora župan takoj obvestiti občinski svet in občinsko volilno komisijo.</w:t>
      </w:r>
    </w:p>
    <w:p w14:paraId="6D2966BD"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rPr>
        <w:t>Če župan opravlja funkcijo ali delo iz prejšnjega odstavka, mu po zakonu preneha mandat župana, če ne odstopi s funkcije ali ne preneha z delovnim razmerjem. O svoji odločitvi, ali bo opravljal funkcijo župana, ali še naprej funkcijo ali delo iz prejšnjega odstavka, je župan dolžan pisno obvestiti občinski svet in občinsko volilno komisijo najkasneje v sedmih dneh po prejemu poročila o izidu volitev v občini.</w:t>
      </w:r>
    </w:p>
    <w:p w14:paraId="685744E9" w14:textId="77777777" w:rsidR="00756F85" w:rsidRPr="00D358C0" w:rsidRDefault="00756F85" w:rsidP="00756F85">
      <w:pPr>
        <w:shd w:val="clear" w:color="auto" w:fill="FFFFFF"/>
        <w:spacing w:before="240"/>
        <w:ind w:firstLine="1021"/>
        <w:jc w:val="both"/>
        <w:rPr>
          <w:rFonts w:ascii="Arial" w:hAnsi="Arial" w:cs="Arial"/>
          <w:i/>
          <w:iCs/>
          <w:sz w:val="20"/>
          <w:szCs w:val="20"/>
        </w:rPr>
      </w:pPr>
    </w:p>
    <w:p w14:paraId="76FBA058" w14:textId="77777777" w:rsidR="00756F85" w:rsidRPr="00D358C0" w:rsidRDefault="00756F85" w:rsidP="00756F85">
      <w:pPr>
        <w:shd w:val="clear" w:color="auto" w:fill="FFFFFF"/>
        <w:spacing w:before="240"/>
        <w:jc w:val="center"/>
        <w:rPr>
          <w:rFonts w:ascii="Arial" w:hAnsi="Arial" w:cs="Arial"/>
          <w:b/>
          <w:bCs/>
          <w:i/>
          <w:iCs/>
          <w:sz w:val="20"/>
          <w:szCs w:val="20"/>
        </w:rPr>
      </w:pPr>
      <w:r w:rsidRPr="00D358C0">
        <w:rPr>
          <w:rFonts w:ascii="Arial" w:hAnsi="Arial" w:cs="Arial"/>
          <w:b/>
          <w:bCs/>
          <w:i/>
          <w:iCs/>
          <w:sz w:val="20"/>
          <w:szCs w:val="20"/>
        </w:rPr>
        <w:t>ZAKON O POSLANCIH</w:t>
      </w:r>
    </w:p>
    <w:p w14:paraId="2E4339EB" w14:textId="77777777" w:rsidR="00756F85" w:rsidRPr="00D358C0" w:rsidRDefault="00756F85" w:rsidP="00756F85">
      <w:pPr>
        <w:shd w:val="clear" w:color="auto" w:fill="FFFFFF"/>
        <w:spacing w:before="480"/>
        <w:jc w:val="center"/>
        <w:rPr>
          <w:rFonts w:ascii="Arial" w:hAnsi="Arial" w:cs="Arial"/>
          <w:b/>
          <w:bCs/>
          <w:i/>
          <w:iCs/>
          <w:sz w:val="20"/>
          <w:szCs w:val="20"/>
        </w:rPr>
      </w:pPr>
      <w:r w:rsidRPr="00D358C0">
        <w:rPr>
          <w:rFonts w:ascii="Arial" w:hAnsi="Arial" w:cs="Arial"/>
          <w:b/>
          <w:bCs/>
          <w:i/>
          <w:iCs/>
          <w:sz w:val="20"/>
          <w:szCs w:val="20"/>
          <w:lang w:val="x-none"/>
        </w:rPr>
        <w:t>10. člen</w:t>
      </w:r>
    </w:p>
    <w:p w14:paraId="6411C037" w14:textId="77777777" w:rsidR="00756F85" w:rsidRPr="00D358C0" w:rsidRDefault="00756F85" w:rsidP="00756F85">
      <w:pPr>
        <w:shd w:val="clear" w:color="auto" w:fill="FFFFFF"/>
        <w:spacing w:before="240"/>
        <w:ind w:firstLine="1021"/>
        <w:jc w:val="both"/>
        <w:rPr>
          <w:rFonts w:ascii="Arial" w:hAnsi="Arial" w:cs="Arial"/>
          <w:i/>
          <w:iCs/>
          <w:sz w:val="20"/>
          <w:szCs w:val="20"/>
        </w:rPr>
      </w:pPr>
      <w:r w:rsidRPr="00D358C0">
        <w:rPr>
          <w:rFonts w:ascii="Arial" w:hAnsi="Arial" w:cs="Arial"/>
          <w:i/>
          <w:iCs/>
          <w:sz w:val="20"/>
          <w:szCs w:val="20"/>
          <w:lang w:val="x-none"/>
        </w:rPr>
        <w:t>Poslanec ne sme biti hkrati član državnega sveta niti ne sme opravljati druge funkcije ali dela v državnih organih. Poslanec tudi ne sme opravljati funkcije </w:t>
      </w:r>
      <w:r w:rsidRPr="00D358C0">
        <w:rPr>
          <w:rFonts w:ascii="Arial" w:hAnsi="Arial" w:cs="Arial"/>
          <w:i/>
          <w:iCs/>
          <w:sz w:val="20"/>
          <w:szCs w:val="20"/>
        </w:rPr>
        <w:t>župana in podžupana v občini</w:t>
      </w:r>
      <w:r w:rsidRPr="00D358C0">
        <w:rPr>
          <w:rFonts w:ascii="Arial" w:hAnsi="Arial" w:cs="Arial"/>
          <w:i/>
          <w:iCs/>
          <w:sz w:val="20"/>
          <w:szCs w:val="20"/>
          <w:lang w:val="x-none"/>
        </w:rPr>
        <w:t>.</w:t>
      </w:r>
    </w:p>
    <w:p w14:paraId="1807E1A3" w14:textId="77777777" w:rsidR="00756F85" w:rsidRPr="00D358C0" w:rsidRDefault="00756F85" w:rsidP="00756F85">
      <w:pPr>
        <w:rPr>
          <w:rFonts w:ascii="Arial" w:eastAsiaTheme="minorHAnsi" w:hAnsi="Arial" w:cs="Arial"/>
          <w:i/>
          <w:iCs/>
          <w:sz w:val="20"/>
          <w:szCs w:val="20"/>
          <w:lang w:eastAsia="en-US"/>
        </w:rPr>
      </w:pPr>
    </w:p>
    <w:p w14:paraId="0167F406" w14:textId="77777777" w:rsidR="00756F85" w:rsidRPr="00D358C0" w:rsidRDefault="00756F85" w:rsidP="00756F85">
      <w:pPr>
        <w:pStyle w:val="ZADEVA"/>
        <w:spacing w:line="240" w:lineRule="auto"/>
        <w:ind w:left="1418" w:hanging="1418"/>
        <w:jc w:val="both"/>
        <w:rPr>
          <w:rFonts w:cs="Arial"/>
          <w:szCs w:val="20"/>
          <w:lang w:val="sl-SI"/>
        </w:rPr>
      </w:pPr>
    </w:p>
    <w:p w14:paraId="47B8DECF" w14:textId="4C7C8426" w:rsidR="008A74C3" w:rsidRDefault="008A74C3"/>
    <w:sectPr w:rsidR="008A74C3" w:rsidSect="002604B0">
      <w:headerReference w:type="first" r:id="rId6"/>
      <w:pgSz w:w="11906" w:h="16838" w:code="9"/>
      <w:pgMar w:top="1418" w:right="1701" w:bottom="1276" w:left="1701" w:header="11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C1BD" w14:textId="77777777" w:rsidR="00756F85" w:rsidRDefault="00756F85" w:rsidP="00756F85">
      <w:r>
        <w:separator/>
      </w:r>
    </w:p>
  </w:endnote>
  <w:endnote w:type="continuationSeparator" w:id="0">
    <w:p w14:paraId="03F3185B" w14:textId="77777777" w:rsidR="00756F85" w:rsidRDefault="00756F85" w:rsidP="0075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C9DE" w14:textId="77777777" w:rsidR="00756F85" w:rsidRDefault="00756F85" w:rsidP="00756F85">
      <w:r>
        <w:separator/>
      </w:r>
    </w:p>
  </w:footnote>
  <w:footnote w:type="continuationSeparator" w:id="0">
    <w:p w14:paraId="71B55827" w14:textId="77777777" w:rsidR="00756F85" w:rsidRDefault="00756F85" w:rsidP="0075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3A70" w14:textId="77777777" w:rsidR="00B71BDD" w:rsidRDefault="00756F85" w:rsidP="00D26906">
    <w:pPr>
      <w:pStyle w:val="Glava"/>
      <w:tabs>
        <w:tab w:val="clear" w:pos="4536"/>
        <w:tab w:val="center" w:pos="6237"/>
      </w:tabs>
      <w:ind w:hanging="567"/>
      <w:rPr>
        <w:rFonts w:ascii="Arial" w:hAnsi="Arial" w:cs="Arial"/>
        <w:sz w:val="16"/>
        <w:szCs w:val="16"/>
      </w:rPr>
    </w:pPr>
    <w:r>
      <w:rPr>
        <w:noProof/>
      </w:rPr>
      <w:drawing>
        <wp:inline distT="0" distB="0" distL="0" distR="0" wp14:anchorId="256104B6" wp14:editId="15FE8220">
          <wp:extent cx="3067050" cy="8001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29" b="19231"/>
                  <a:stretch/>
                </pic:blipFill>
                <pic:spPr bwMode="auto">
                  <a:xfrm>
                    <a:off x="0" y="0"/>
                    <a:ext cx="3067050" cy="800100"/>
                  </a:xfrm>
                  <a:prstGeom prst="rect">
                    <a:avLst/>
                  </a:prstGeom>
                  <a:ln>
                    <a:noFill/>
                  </a:ln>
                  <a:extLst>
                    <a:ext uri="{53640926-AAD7-44D8-BBD7-CCE9431645EC}">
                      <a14:shadowObscured xmlns:a14="http://schemas.microsoft.com/office/drawing/2010/main"/>
                    </a:ext>
                  </a:extLst>
                </pic:spPr>
              </pic:pic>
            </a:graphicData>
          </a:graphic>
        </wp:inline>
      </w:drawing>
    </w:r>
  </w:p>
  <w:p w14:paraId="59138D44" w14:textId="77777777" w:rsidR="00E5205B" w:rsidRPr="00E5205B" w:rsidRDefault="00756F85" w:rsidP="00B71BDD">
    <w:pPr>
      <w:pStyle w:val="Glava"/>
      <w:tabs>
        <w:tab w:val="clear" w:pos="4536"/>
        <w:tab w:val="left" w:pos="5103"/>
        <w:tab w:val="center" w:pos="6237"/>
      </w:tabs>
      <w:rPr>
        <w:rFonts w:ascii="Arial" w:hAnsi="Arial" w:cs="Arial"/>
        <w:sz w:val="12"/>
        <w:szCs w:val="12"/>
      </w:rPr>
    </w:pPr>
  </w:p>
  <w:p w14:paraId="5E1F3FFB" w14:textId="77777777" w:rsidR="00AD0C89" w:rsidRDefault="00756F85" w:rsidP="00756F85">
    <w:pPr>
      <w:pStyle w:val="Glava"/>
      <w:tabs>
        <w:tab w:val="clear" w:pos="4536"/>
        <w:tab w:val="left" w:pos="5103"/>
        <w:tab w:val="center" w:pos="6237"/>
      </w:tabs>
      <w:rPr>
        <w:rFonts w:ascii="Arial" w:hAnsi="Arial" w:cs="Arial"/>
        <w:sz w:val="16"/>
        <w:szCs w:val="16"/>
      </w:rPr>
    </w:pPr>
    <w:r w:rsidRPr="00B64BFF">
      <w:rPr>
        <w:rFonts w:ascii="Arial" w:hAnsi="Arial" w:cs="Arial"/>
        <w:sz w:val="16"/>
        <w:szCs w:val="16"/>
      </w:rPr>
      <w:t>Tržaška cesta 21, 1000 Ljubljana</w:t>
    </w:r>
    <w:r>
      <w:rPr>
        <w:rFonts w:ascii="Arial" w:hAnsi="Arial" w:cs="Arial"/>
        <w:sz w:val="16"/>
        <w:szCs w:val="16"/>
      </w:rPr>
      <w:tab/>
    </w:r>
    <w:r w:rsidRPr="00B64BFF">
      <w:rPr>
        <w:rFonts w:ascii="Arial" w:hAnsi="Arial" w:cs="Arial"/>
        <w:sz w:val="16"/>
        <w:szCs w:val="16"/>
      </w:rPr>
      <w:t>T: 01 478 8</w:t>
    </w:r>
    <w:r>
      <w:rPr>
        <w:rFonts w:ascii="Arial" w:hAnsi="Arial" w:cs="Arial"/>
        <w:sz w:val="16"/>
        <w:szCs w:val="16"/>
      </w:rPr>
      <w:t>3</w:t>
    </w:r>
    <w:r w:rsidRPr="00B64BFF">
      <w:rPr>
        <w:rFonts w:ascii="Arial" w:hAnsi="Arial" w:cs="Arial"/>
        <w:sz w:val="16"/>
        <w:szCs w:val="16"/>
      </w:rPr>
      <w:t xml:space="preserve"> </w:t>
    </w:r>
    <w:r>
      <w:rPr>
        <w:rFonts w:ascii="Arial" w:hAnsi="Arial" w:cs="Arial"/>
        <w:sz w:val="16"/>
        <w:szCs w:val="16"/>
      </w:rPr>
      <w:t>3</w:t>
    </w:r>
    <w:r>
      <w:rPr>
        <w:rFonts w:ascii="Arial" w:hAnsi="Arial" w:cs="Arial"/>
        <w:sz w:val="16"/>
        <w:szCs w:val="16"/>
      </w:rPr>
      <w:t>0</w:t>
    </w:r>
  </w:p>
  <w:p w14:paraId="6FE67345" w14:textId="77777777" w:rsidR="00AD0C89" w:rsidRDefault="00756F85" w:rsidP="00756F85">
    <w:pPr>
      <w:tabs>
        <w:tab w:val="left" w:pos="5114"/>
      </w:tabs>
      <w:spacing w:line="240" w:lineRule="exact"/>
      <w:rPr>
        <w:rFonts w:ascii="Arial" w:hAnsi="Arial" w:cs="Arial"/>
        <w:sz w:val="16"/>
        <w:szCs w:val="16"/>
      </w:rPr>
    </w:pPr>
    <w:r>
      <w:rPr>
        <w:rFonts w:ascii="Arial" w:hAnsi="Arial" w:cs="Arial"/>
        <w:sz w:val="16"/>
        <w:szCs w:val="16"/>
      </w:rPr>
      <w:tab/>
    </w:r>
    <w:r w:rsidRPr="00B64BFF">
      <w:rPr>
        <w:rFonts w:ascii="Arial" w:hAnsi="Arial" w:cs="Arial"/>
        <w:sz w:val="16"/>
        <w:szCs w:val="16"/>
      </w:rPr>
      <w:t xml:space="preserve">E: </w:t>
    </w:r>
    <w:hyperlink r:id="rId2" w:history="1">
      <w:r w:rsidRPr="008F41DE">
        <w:rPr>
          <w:rStyle w:val="Hiperpovezava"/>
          <w:rFonts w:ascii="Arial" w:hAnsi="Arial" w:cs="Arial"/>
          <w:sz w:val="16"/>
          <w:szCs w:val="16"/>
        </w:rPr>
        <w:t>gp.mju@gov.si</w:t>
      </w:r>
    </w:hyperlink>
  </w:p>
  <w:p w14:paraId="76E11E44" w14:textId="77777777" w:rsidR="00AD0C89" w:rsidRPr="00B64BFF" w:rsidRDefault="00756F85" w:rsidP="00756F85">
    <w:pPr>
      <w:tabs>
        <w:tab w:val="left" w:pos="5114"/>
      </w:tabs>
      <w:spacing w:line="240" w:lineRule="exact"/>
      <w:rPr>
        <w:rFonts w:ascii="Arial" w:hAnsi="Arial" w:cs="Arial"/>
        <w:sz w:val="16"/>
        <w:szCs w:val="16"/>
      </w:rPr>
    </w:pPr>
    <w:r>
      <w:rPr>
        <w:rFonts w:ascii="Arial" w:hAnsi="Arial" w:cs="Arial"/>
        <w:sz w:val="16"/>
        <w:szCs w:val="16"/>
      </w:rPr>
      <w:tab/>
    </w:r>
    <w:hyperlink r:id="rId3" w:history="1">
      <w:r w:rsidRPr="009D1059">
        <w:rPr>
          <w:rStyle w:val="Hiperpovezava"/>
          <w:rFonts w:ascii="Arial" w:hAnsi="Arial" w:cs="Arial"/>
          <w:sz w:val="16"/>
          <w:szCs w:val="16"/>
        </w:rPr>
        <w:t>www.mju.gov.si</w:t>
      </w:r>
    </w:hyperlink>
  </w:p>
  <w:p w14:paraId="35530ED0" w14:textId="77777777" w:rsidR="006B5601" w:rsidRDefault="00756F85" w:rsidP="00B71BD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85"/>
    <w:rsid w:val="00756F85"/>
    <w:rsid w:val="008A74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A671"/>
  <w15:chartTrackingRefBased/>
  <w15:docId w15:val="{84470FB9-3EDC-4EF4-8323-7D1E0753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6F8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756F85"/>
    <w:rPr>
      <w:color w:val="0000FF"/>
      <w:u w:val="single"/>
    </w:rPr>
  </w:style>
  <w:style w:type="paragraph" w:customStyle="1" w:styleId="ZADEVA">
    <w:name w:val="ZADEVA"/>
    <w:basedOn w:val="Navaden"/>
    <w:qFormat/>
    <w:rsid w:val="00756F85"/>
    <w:pPr>
      <w:tabs>
        <w:tab w:val="left" w:pos="1701"/>
      </w:tabs>
      <w:spacing w:line="260" w:lineRule="exact"/>
      <w:ind w:left="1701" w:hanging="1701"/>
    </w:pPr>
    <w:rPr>
      <w:rFonts w:ascii="Arial" w:hAnsi="Arial"/>
      <w:b/>
      <w:sz w:val="20"/>
      <w:lang w:val="it-IT" w:eastAsia="en-US"/>
    </w:rPr>
  </w:style>
  <w:style w:type="paragraph" w:styleId="Glava">
    <w:name w:val="header"/>
    <w:basedOn w:val="Navaden"/>
    <w:link w:val="GlavaZnak"/>
    <w:uiPriority w:val="99"/>
    <w:rsid w:val="00756F85"/>
    <w:pPr>
      <w:tabs>
        <w:tab w:val="center" w:pos="4536"/>
        <w:tab w:val="right" w:pos="9072"/>
      </w:tabs>
    </w:pPr>
  </w:style>
  <w:style w:type="character" w:customStyle="1" w:styleId="GlavaZnak">
    <w:name w:val="Glava Znak"/>
    <w:basedOn w:val="Privzetapisavaodstavka"/>
    <w:link w:val="Glava"/>
    <w:uiPriority w:val="99"/>
    <w:rsid w:val="00756F8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6F85"/>
    <w:pPr>
      <w:tabs>
        <w:tab w:val="center" w:pos="4536"/>
        <w:tab w:val="right" w:pos="9072"/>
      </w:tabs>
    </w:pPr>
  </w:style>
  <w:style w:type="character" w:customStyle="1" w:styleId="NogaZnak">
    <w:name w:val="Noga Znak"/>
    <w:basedOn w:val="Privzetapisavaodstavka"/>
    <w:link w:val="Noga"/>
    <w:uiPriority w:val="99"/>
    <w:rsid w:val="00756F8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Režonja Utenkar</dc:creator>
  <cp:keywords/>
  <dc:description/>
  <cp:lastModifiedBy>Vanja Režonja Utenkar</cp:lastModifiedBy>
  <cp:revision>1</cp:revision>
  <dcterms:created xsi:type="dcterms:W3CDTF">2022-03-01T12:27:00Z</dcterms:created>
  <dcterms:modified xsi:type="dcterms:W3CDTF">2022-03-01T12:29:00Z</dcterms:modified>
</cp:coreProperties>
</file>