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DB" w:rsidRDefault="00C878DB" w:rsidP="00E44C83">
      <w:pPr>
        <w:jc w:val="both"/>
        <w:rPr>
          <w:rFonts w:cs="Arial"/>
          <w:sz w:val="20"/>
        </w:rPr>
      </w:pPr>
      <w:bookmarkStart w:id="0" w:name="_GoBack"/>
      <w:bookmarkEnd w:id="0"/>
    </w:p>
    <w:p w:rsidR="00173A81" w:rsidRDefault="00173A81" w:rsidP="00E44C83">
      <w:pPr>
        <w:jc w:val="both"/>
        <w:rPr>
          <w:rFonts w:cs="Arial"/>
          <w:sz w:val="20"/>
        </w:rPr>
      </w:pPr>
    </w:p>
    <w:p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bookmarkStart w:id="1" w:name="_Hlk63181460"/>
      <w:r w:rsidR="00EF1735" w:rsidRPr="00EF1735">
        <w:rPr>
          <w:rFonts w:cs="Arial"/>
          <w:sz w:val="20"/>
        </w:rPr>
        <w:t>352-15/2021</w:t>
      </w:r>
      <w:bookmarkEnd w:id="1"/>
      <w:r w:rsidR="00EF1735">
        <w:rPr>
          <w:rFonts w:cs="Arial"/>
          <w:sz w:val="20"/>
        </w:rPr>
        <w:t>/3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EF1735">
        <w:rPr>
          <w:rFonts w:cs="Arial"/>
          <w:sz w:val="20"/>
        </w:rPr>
        <w:t>02</w:t>
      </w:r>
      <w:r w:rsidR="00F361AB">
        <w:rPr>
          <w:rFonts w:cs="Arial"/>
          <w:sz w:val="20"/>
        </w:rPr>
        <w:t>.</w:t>
      </w:r>
      <w:r w:rsidR="00E42F48">
        <w:rPr>
          <w:rFonts w:cs="Arial"/>
          <w:sz w:val="20"/>
        </w:rPr>
        <w:t>0</w:t>
      </w:r>
      <w:r w:rsidR="00EF1735">
        <w:rPr>
          <w:rFonts w:cs="Arial"/>
          <w:sz w:val="20"/>
        </w:rPr>
        <w:t>2</w:t>
      </w:r>
      <w:r w:rsidR="00F361AB">
        <w:rPr>
          <w:rFonts w:cs="Arial"/>
          <w:sz w:val="20"/>
        </w:rPr>
        <w:t>.202</w:t>
      </w:r>
      <w:r w:rsidR="00E42F48">
        <w:rPr>
          <w:rFonts w:cs="Arial"/>
          <w:sz w:val="20"/>
        </w:rPr>
        <w:t>1</w:t>
      </w:r>
    </w:p>
    <w:p w:rsidR="00CD7B86" w:rsidRDefault="00CD7B86" w:rsidP="00E44C83">
      <w:pPr>
        <w:jc w:val="both"/>
        <w:rPr>
          <w:rFonts w:cs="Arial"/>
          <w:sz w:val="20"/>
        </w:rPr>
      </w:pPr>
    </w:p>
    <w:p w:rsidR="00C878DB" w:rsidRDefault="00C878DB" w:rsidP="00E44C83">
      <w:pPr>
        <w:jc w:val="both"/>
        <w:rPr>
          <w:rFonts w:cs="Arial"/>
          <w:sz w:val="20"/>
        </w:rPr>
      </w:pPr>
    </w:p>
    <w:p w:rsidR="00173A81" w:rsidRPr="004F5EA4" w:rsidRDefault="00173A81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</w:t>
      </w:r>
      <w:r w:rsidR="00E42F48">
        <w:rPr>
          <w:rFonts w:cs="Arial"/>
          <w:sz w:val="20"/>
        </w:rPr>
        <w:t xml:space="preserve">določili </w:t>
      </w:r>
      <w:r w:rsidR="00EF1735" w:rsidRPr="00EF1735">
        <w:rPr>
          <w:rFonts w:cs="Arial"/>
          <w:sz w:val="20"/>
        </w:rPr>
        <w:t>52., 68. in 69. člena Zakona o stvarnem premoženju države in samoupravnih lokalnih skupnosti (Uradni list RS, št. 11/18 in 79/18, ZSPDSLS-1)</w:t>
      </w:r>
      <w:r w:rsidR="00EF1735">
        <w:rPr>
          <w:rFonts w:cs="Arial"/>
          <w:sz w:val="20"/>
        </w:rPr>
        <w:t xml:space="preserve"> </w:t>
      </w:r>
      <w:r w:rsidR="005B1231" w:rsidRPr="008020E2">
        <w:rPr>
          <w:rFonts w:cs="Arial"/>
          <w:sz w:val="20"/>
        </w:rPr>
        <w:t>in 19. člen</w:t>
      </w:r>
      <w:r w:rsidR="00EF1735">
        <w:rPr>
          <w:rFonts w:cs="Arial"/>
          <w:sz w:val="20"/>
        </w:rPr>
        <w:t>a</w:t>
      </w:r>
      <w:r w:rsidR="005B1231" w:rsidRPr="008020E2">
        <w:rPr>
          <w:rFonts w:cs="Arial"/>
          <w:sz w:val="20"/>
        </w:rPr>
        <w:t xml:space="preserve">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:rsidR="00EF1735" w:rsidRDefault="00EF1735" w:rsidP="00E44C83">
      <w:pPr>
        <w:jc w:val="both"/>
        <w:rPr>
          <w:rFonts w:cs="Arial"/>
          <w:sz w:val="20"/>
        </w:rPr>
      </w:pP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Default="0099234A" w:rsidP="006F471E">
      <w:pPr>
        <w:jc w:val="center"/>
        <w:rPr>
          <w:rFonts w:cs="Arial"/>
          <w:b/>
          <w:sz w:val="20"/>
        </w:rPr>
      </w:pPr>
    </w:p>
    <w:p w:rsidR="007C7957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</w:t>
      </w:r>
    </w:p>
    <w:p w:rsidR="00E44C83" w:rsidRPr="004F5EA4" w:rsidRDefault="0040383E" w:rsidP="006F471E">
      <w:pPr>
        <w:jc w:val="center"/>
        <w:rPr>
          <w:rFonts w:cs="Arial"/>
          <w:b/>
          <w:sz w:val="20"/>
        </w:rPr>
      </w:pPr>
      <w:r w:rsidRPr="004F5EA4">
        <w:rPr>
          <w:rFonts w:cs="Arial"/>
          <w:b/>
          <w:sz w:val="20"/>
        </w:rPr>
        <w:t>ZA</w:t>
      </w:r>
      <w:r w:rsidR="007C7957">
        <w:rPr>
          <w:rFonts w:cs="Arial"/>
          <w:b/>
          <w:sz w:val="20"/>
        </w:rPr>
        <w:t xml:space="preserve"> ODDAJO </w:t>
      </w:r>
      <w:r w:rsidRPr="004F5EA4">
        <w:rPr>
          <w:rFonts w:cs="Arial"/>
          <w:b/>
          <w:sz w:val="20"/>
        </w:rPr>
        <w:t>NEPREMIČNIN</w:t>
      </w:r>
      <w:r w:rsidR="008E1353">
        <w:rPr>
          <w:rFonts w:cs="Arial"/>
          <w:b/>
          <w:sz w:val="20"/>
        </w:rPr>
        <w:t>E</w:t>
      </w:r>
      <w:r w:rsidR="004A5B84">
        <w:rPr>
          <w:rFonts w:cs="Arial"/>
          <w:b/>
          <w:sz w:val="20"/>
        </w:rPr>
        <w:t xml:space="preserve"> </w:t>
      </w:r>
      <w:r w:rsidR="007C7957">
        <w:rPr>
          <w:rFonts w:cs="Arial"/>
          <w:b/>
          <w:sz w:val="20"/>
        </w:rPr>
        <w:t>V BREZPLAČNO UPORABO</w:t>
      </w:r>
    </w:p>
    <w:p w:rsidR="007E14BC" w:rsidRDefault="007E14BC" w:rsidP="00E44C83">
      <w:pPr>
        <w:jc w:val="both"/>
        <w:rPr>
          <w:rFonts w:cs="Arial"/>
          <w:sz w:val="20"/>
        </w:rPr>
      </w:pPr>
    </w:p>
    <w:p w:rsidR="006778B4" w:rsidRDefault="006778B4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</w:t>
      </w:r>
      <w:r w:rsidR="006778B4">
        <w:rPr>
          <w:rFonts w:cs="Arial"/>
          <w:b/>
          <w:sz w:val="20"/>
          <w:u w:val="single"/>
        </w:rPr>
        <w:t>menjave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BE6F03" w:rsidRDefault="00BE6F03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7C7957">
        <w:rPr>
          <w:rFonts w:cs="Arial"/>
          <w:b/>
          <w:sz w:val="20"/>
          <w:u w:val="single"/>
        </w:rPr>
        <w:t>o</w:t>
      </w:r>
      <w:r w:rsidR="007C7957" w:rsidRPr="007C7957">
        <w:rPr>
          <w:rFonts w:cs="Arial"/>
          <w:b/>
          <w:sz w:val="20"/>
          <w:u w:val="single"/>
        </w:rPr>
        <w:t>ddaj</w:t>
      </w:r>
      <w:r w:rsidR="007C7957">
        <w:rPr>
          <w:rFonts w:cs="Arial"/>
          <w:b/>
          <w:sz w:val="20"/>
          <w:u w:val="single"/>
        </w:rPr>
        <w:t>e</w:t>
      </w:r>
      <w:r w:rsidR="007C7957" w:rsidRPr="007C7957">
        <w:rPr>
          <w:rFonts w:cs="Arial"/>
          <w:b/>
          <w:sz w:val="20"/>
          <w:u w:val="single"/>
        </w:rPr>
        <w:t xml:space="preserve"> v brezplačno uporabo</w:t>
      </w:r>
    </w:p>
    <w:p w:rsidR="00BE6F03" w:rsidRDefault="00BE6F03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C7957">
        <w:rPr>
          <w:rFonts w:cs="Arial"/>
          <w:sz w:val="20"/>
        </w:rPr>
        <w:t xml:space="preserve">Predmet oddaje v brezplačno uporabo </w:t>
      </w:r>
      <w:r>
        <w:rPr>
          <w:rFonts w:cs="Arial"/>
          <w:sz w:val="20"/>
        </w:rPr>
        <w:t xml:space="preserve">je </w:t>
      </w:r>
      <w:r w:rsidRPr="007C7957">
        <w:rPr>
          <w:rFonts w:cs="Arial"/>
          <w:sz w:val="20"/>
        </w:rPr>
        <w:t>nepremičnin</w:t>
      </w:r>
      <w:r>
        <w:rPr>
          <w:rFonts w:cs="Arial"/>
          <w:sz w:val="20"/>
        </w:rPr>
        <w:t>a v lasti Republike Slovenije in v upravljanju Ministrstva za javno upravo</w:t>
      </w:r>
      <w:r w:rsidRPr="007C7957">
        <w:rPr>
          <w:rFonts w:cs="Arial"/>
          <w:sz w:val="20"/>
        </w:rPr>
        <w:t>:</w:t>
      </w:r>
    </w:p>
    <w:p w:rsidR="007C7957" w:rsidRPr="007C7957" w:rsidRDefault="007C7957" w:rsidP="005746A3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7C7957">
        <w:rPr>
          <w:rFonts w:cs="Arial"/>
          <w:sz w:val="20"/>
        </w:rPr>
        <w:t>ID znak: parcela 2589 1538, katastrska občina 2589 PLAVJE parcela 1538 (ID 3709866) v izmeri 472 m2, na kateri stoji stavba številka 9, z naslovom</w:t>
      </w:r>
      <w:r w:rsidRPr="007C7957">
        <w:t xml:space="preserve"> </w:t>
      </w:r>
      <w:r w:rsidRPr="007C7957">
        <w:rPr>
          <w:rFonts w:cs="Arial"/>
          <w:sz w:val="20"/>
        </w:rPr>
        <w:t>Spodnje Škofije 258,</w:t>
      </w:r>
      <w:r>
        <w:rPr>
          <w:rFonts w:cs="Arial"/>
          <w:sz w:val="20"/>
        </w:rPr>
        <w:t xml:space="preserve"> Škofije, </w:t>
      </w:r>
      <w:r w:rsidRPr="007C7957">
        <w:rPr>
          <w:rFonts w:cs="Arial"/>
          <w:sz w:val="20"/>
        </w:rPr>
        <w:t xml:space="preserve">na opuščenem MP </w:t>
      </w:r>
      <w:r>
        <w:rPr>
          <w:rFonts w:cs="Arial"/>
          <w:sz w:val="20"/>
        </w:rPr>
        <w:t>Škofije</w:t>
      </w:r>
      <w:r w:rsidRPr="007C7957">
        <w:rPr>
          <w:rFonts w:cs="Arial"/>
          <w:sz w:val="20"/>
        </w:rPr>
        <w:t>.</w:t>
      </w: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C7957" w:rsidRDefault="00396F78" w:rsidP="00396F7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96F78">
        <w:rPr>
          <w:rFonts w:cs="Arial"/>
          <w:sz w:val="20"/>
        </w:rPr>
        <w:t>Na podlagi Pogodbe o ustanovitvi stvarne služnosti z dne 31.</w:t>
      </w:r>
      <w:r>
        <w:rPr>
          <w:rFonts w:cs="Arial"/>
          <w:sz w:val="20"/>
        </w:rPr>
        <w:t>0</w:t>
      </w:r>
      <w:r w:rsidRPr="00396F78">
        <w:rPr>
          <w:rFonts w:cs="Arial"/>
          <w:sz w:val="20"/>
        </w:rPr>
        <w:t xml:space="preserve">3.2017 </w:t>
      </w:r>
      <w:r>
        <w:rPr>
          <w:rFonts w:cs="Arial"/>
          <w:sz w:val="20"/>
        </w:rPr>
        <w:t xml:space="preserve">je pri nepremičnini </w:t>
      </w:r>
      <w:r w:rsidRPr="00396F78">
        <w:rPr>
          <w:rFonts w:cs="Arial"/>
          <w:sz w:val="20"/>
        </w:rPr>
        <w:t>vknjiž</w:t>
      </w:r>
      <w:r>
        <w:rPr>
          <w:rFonts w:cs="Arial"/>
          <w:sz w:val="20"/>
        </w:rPr>
        <w:t>ena</w:t>
      </w:r>
      <w:r w:rsidRPr="00396F78">
        <w:rPr>
          <w:rFonts w:cs="Arial"/>
          <w:sz w:val="20"/>
        </w:rPr>
        <w:t xml:space="preserve"> služnostna pravica za izgradnjo,</w:t>
      </w:r>
      <w:r>
        <w:rPr>
          <w:rFonts w:cs="Arial"/>
          <w:sz w:val="20"/>
        </w:rPr>
        <w:t xml:space="preserve"> </w:t>
      </w:r>
      <w:r w:rsidRPr="00396F78">
        <w:rPr>
          <w:rFonts w:cs="Arial"/>
          <w:sz w:val="20"/>
        </w:rPr>
        <w:t>obratovanje, dostop in vzdrževanje podzemnega kabelskega priključka na električno omarico v dolžini 11,5</w:t>
      </w:r>
      <w:r w:rsidR="00B32D9E">
        <w:rPr>
          <w:rFonts w:cs="Arial"/>
          <w:sz w:val="20"/>
        </w:rPr>
        <w:t xml:space="preserve"> </w:t>
      </w:r>
      <w:r w:rsidRPr="00396F78">
        <w:rPr>
          <w:rFonts w:cs="Arial"/>
          <w:sz w:val="20"/>
        </w:rPr>
        <w:t>m in</w:t>
      </w:r>
      <w:r>
        <w:rPr>
          <w:rFonts w:cs="Arial"/>
          <w:sz w:val="20"/>
        </w:rPr>
        <w:t xml:space="preserve"> </w:t>
      </w:r>
      <w:r w:rsidRPr="00396F78">
        <w:rPr>
          <w:rFonts w:cs="Arial"/>
          <w:sz w:val="20"/>
        </w:rPr>
        <w:t>širini 1</w:t>
      </w:r>
      <w:r w:rsidR="00B32D9E">
        <w:rPr>
          <w:rFonts w:cs="Arial"/>
          <w:sz w:val="20"/>
        </w:rPr>
        <w:t xml:space="preserve"> </w:t>
      </w:r>
      <w:r w:rsidRPr="00396F78">
        <w:rPr>
          <w:rFonts w:cs="Arial"/>
          <w:sz w:val="20"/>
        </w:rPr>
        <w:t>m</w:t>
      </w:r>
      <w:r>
        <w:rPr>
          <w:rFonts w:cs="Arial"/>
          <w:sz w:val="20"/>
        </w:rPr>
        <w:t xml:space="preserve"> v korist </w:t>
      </w:r>
      <w:r w:rsidRPr="00396F78">
        <w:rPr>
          <w:rFonts w:cs="Arial"/>
          <w:sz w:val="20"/>
        </w:rPr>
        <w:t>imetnik</w:t>
      </w:r>
      <w:r>
        <w:rPr>
          <w:rFonts w:cs="Arial"/>
          <w:sz w:val="20"/>
        </w:rPr>
        <w:t xml:space="preserve">a </w:t>
      </w:r>
      <w:r w:rsidRPr="00396F78">
        <w:rPr>
          <w:rFonts w:cs="Arial"/>
          <w:sz w:val="20"/>
        </w:rPr>
        <w:t>ELEKTRO PRIMORSKA podjetje za distribucijo električne energije, d.d.</w:t>
      </w:r>
      <w:r>
        <w:rPr>
          <w:rFonts w:cs="Arial"/>
          <w:sz w:val="20"/>
        </w:rPr>
        <w:t xml:space="preserve">, </w:t>
      </w:r>
      <w:r w:rsidRPr="00396F78">
        <w:rPr>
          <w:rFonts w:cs="Arial"/>
          <w:sz w:val="20"/>
        </w:rPr>
        <w:t>Erjavčeva ulica 22, 5000 Nova Gorica</w:t>
      </w:r>
      <w:r>
        <w:rPr>
          <w:rFonts w:cs="Arial"/>
          <w:sz w:val="20"/>
        </w:rPr>
        <w:t>.</w:t>
      </w:r>
    </w:p>
    <w:p w:rsidR="00396F78" w:rsidRDefault="00396F78" w:rsidP="00396F7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396F78" w:rsidRDefault="00396F78" w:rsidP="00396F7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A4177">
        <w:rPr>
          <w:rFonts w:cs="Arial"/>
          <w:sz w:val="20"/>
        </w:rPr>
        <w:t>ZK</w:t>
      </w:r>
      <w:r>
        <w:rPr>
          <w:rFonts w:cs="Arial"/>
          <w:sz w:val="20"/>
        </w:rPr>
        <w:t xml:space="preserve"> stanje je urejeno. </w:t>
      </w:r>
    </w:p>
    <w:p w:rsidR="00396F78" w:rsidRPr="007C7957" w:rsidRDefault="00396F78" w:rsidP="00396F7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C7957">
        <w:rPr>
          <w:rFonts w:cs="Arial"/>
          <w:sz w:val="20"/>
        </w:rPr>
        <w:t>Poslovna stavba in zemljišče se oddajata v brezplačno uporabo v stanju, v kakršnem sta na dan prevzema v posest.</w:t>
      </w: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C7957">
        <w:rPr>
          <w:rFonts w:cs="Arial"/>
          <w:sz w:val="20"/>
        </w:rPr>
        <w:t xml:space="preserve">Uporabnik je za nepremičnino dolžan plačevati obratovalne stroške, stroške rednega vzdrževanja, stroške nadomestila za uporabo stavbnega zemljišča, stroške zavarovanj in druge stroške, za katere se stranki dogovorita s pogodbo. Zavarovalne police, ki jih sklepa uporabnik, se morajo vinkulirati v korist upravljavca. V času trajanja pogodbe uporabnika bremene obratovalni stroški, ki obsegajo predvsem stroške ogrevanja, vodarine in kanalščine, elektrike, odvoza smeti, varovanja, stroške upravljanja in vzdrževanja in morebitne druge obratovalne stroške, ki jih z uporabo nepremičnine povzroča </w:t>
      </w:r>
      <w:r w:rsidR="00396F78">
        <w:rPr>
          <w:rFonts w:cs="Arial"/>
          <w:sz w:val="20"/>
        </w:rPr>
        <w:t>uporabnik</w:t>
      </w:r>
      <w:r w:rsidRPr="007C7957">
        <w:rPr>
          <w:rFonts w:cs="Arial"/>
          <w:sz w:val="20"/>
        </w:rPr>
        <w:t>.</w:t>
      </w: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C7957">
        <w:rPr>
          <w:rFonts w:cs="Arial"/>
          <w:sz w:val="20"/>
        </w:rPr>
        <w:t xml:space="preserve">Uporabnik sam plača vse stroške priklopa na komunalne vode. </w:t>
      </w: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C7957">
        <w:rPr>
          <w:rFonts w:cs="Arial"/>
          <w:sz w:val="20"/>
        </w:rPr>
        <w:t xml:space="preserve">V času trajanja pogodbe uporabnika bremene vsi stroški investicijskih vlaganj in tekočih vlaganj v nepremičnino. Investicijska vlaganja uporabnik opravlja na podlagi predhodnega pisnega </w:t>
      </w:r>
      <w:r w:rsidRPr="007C7957">
        <w:rPr>
          <w:rFonts w:cs="Arial"/>
          <w:sz w:val="20"/>
        </w:rPr>
        <w:lastRenderedPageBreak/>
        <w:t xml:space="preserve">soglasja upravljavca. Investicijska in tekoča vlaganja se ne </w:t>
      </w:r>
      <w:proofErr w:type="spellStart"/>
      <w:r w:rsidRPr="007C7957">
        <w:rPr>
          <w:rFonts w:cs="Arial"/>
          <w:sz w:val="20"/>
        </w:rPr>
        <w:t>poračunavajo</w:t>
      </w:r>
      <w:proofErr w:type="spellEnd"/>
      <w:r w:rsidRPr="007C7957">
        <w:rPr>
          <w:rFonts w:cs="Arial"/>
          <w:sz w:val="20"/>
        </w:rPr>
        <w:t xml:space="preserve"> in jih uporabnik tudi na drug način ni upravičen uveljavljati od upravljavca.</w:t>
      </w:r>
    </w:p>
    <w:p w:rsidR="007C7957" w:rsidRPr="007C7957" w:rsidRDefault="007C7957" w:rsidP="007C795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D100F1" w:rsidRPr="00A1452D" w:rsidRDefault="00D100F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BE6F03" w:rsidRDefault="00BE6F03" w:rsidP="00542CD4">
      <w:pPr>
        <w:ind w:right="-54"/>
        <w:jc w:val="both"/>
        <w:rPr>
          <w:rFonts w:cs="Arial"/>
          <w:sz w:val="20"/>
        </w:rPr>
      </w:pPr>
    </w:p>
    <w:p w:rsidR="00871E0C" w:rsidRDefault="007C7957" w:rsidP="00542CD4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Oddaja nepremičnine v brezplačno uporabo </w:t>
      </w:r>
      <w:r w:rsidR="00F23FF3">
        <w:rPr>
          <w:rFonts w:cs="Arial"/>
          <w:sz w:val="20"/>
        </w:rPr>
        <w:t>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 xml:space="preserve">postopka </w:t>
      </w:r>
      <w:r>
        <w:rPr>
          <w:rFonts w:cs="Arial"/>
          <w:sz w:val="20"/>
        </w:rPr>
        <w:t>oddaje nepremičnine v brezplačno uporabo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BE6F03" w:rsidRDefault="00BE6F03" w:rsidP="00542CD4">
      <w:pPr>
        <w:ind w:right="-54"/>
        <w:jc w:val="both"/>
        <w:rPr>
          <w:rFonts w:cs="Arial"/>
          <w:sz w:val="20"/>
        </w:rPr>
      </w:pP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 xml:space="preserve">. </w:t>
      </w:r>
      <w:r w:rsidR="00396F78" w:rsidRPr="00396F78">
        <w:rPr>
          <w:rFonts w:cs="Arial"/>
          <w:b/>
          <w:sz w:val="20"/>
          <w:u w:val="single"/>
        </w:rPr>
        <w:t>Ponudbena cena</w:t>
      </w:r>
    </w:p>
    <w:p w:rsidR="00BE6F03" w:rsidRDefault="00BE6F0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396F78" w:rsidRPr="00396F78" w:rsidRDefault="00396F78" w:rsidP="00396F78">
      <w:pPr>
        <w:jc w:val="both"/>
        <w:rPr>
          <w:rFonts w:cs="Arial"/>
          <w:sz w:val="20"/>
        </w:rPr>
      </w:pPr>
      <w:r w:rsidRPr="00396F78">
        <w:rPr>
          <w:rFonts w:cs="Arial"/>
          <w:sz w:val="20"/>
        </w:rPr>
        <w:t>Nepremičnina se oddaja v brezplačno uporabo.</w:t>
      </w:r>
    </w:p>
    <w:p w:rsidR="00396F78" w:rsidRPr="00396F78" w:rsidRDefault="00396F78" w:rsidP="00396F78">
      <w:pPr>
        <w:jc w:val="both"/>
        <w:rPr>
          <w:rFonts w:cs="Arial"/>
          <w:sz w:val="20"/>
        </w:rPr>
      </w:pPr>
    </w:p>
    <w:p w:rsidR="00BE6F03" w:rsidRPr="004F5EA4" w:rsidRDefault="00396F78" w:rsidP="00396F78">
      <w:pPr>
        <w:jc w:val="both"/>
        <w:rPr>
          <w:rFonts w:cs="Arial"/>
          <w:sz w:val="20"/>
          <w:lang w:eastAsia="sl-SI"/>
        </w:rPr>
      </w:pPr>
      <w:r w:rsidRPr="00396F78">
        <w:rPr>
          <w:rFonts w:cs="Arial"/>
          <w:sz w:val="20"/>
        </w:rPr>
        <w:t>V kolikor bo v roku prispelo več enakih ponudb, bo organizirano dodatno pogajanje.</w:t>
      </w: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396F78" w:rsidRDefault="00396F78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B32D9E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4F5EA4" w:rsidRPr="004F5EA4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807AB3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 xml:space="preserve">Pogodba bo sklenjena </w:t>
      </w:r>
      <w:r w:rsidR="00396F78">
        <w:rPr>
          <w:rFonts w:cs="Arial"/>
          <w:sz w:val="20"/>
        </w:rPr>
        <w:t xml:space="preserve">z najugodnejšim </w:t>
      </w:r>
      <w:r w:rsidRPr="00B84BCF">
        <w:rPr>
          <w:rFonts w:cs="Arial"/>
          <w:sz w:val="20"/>
        </w:rPr>
        <w:t>ponudnikom</w:t>
      </w:r>
      <w:r w:rsidR="00807AB3">
        <w:rPr>
          <w:rFonts w:cs="Arial"/>
          <w:sz w:val="20"/>
        </w:rPr>
        <w:t>.</w:t>
      </w:r>
    </w:p>
    <w:p w:rsidR="00807AB3" w:rsidRDefault="00807AB3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B32D9E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807AB3" w:rsidRDefault="00807AB3" w:rsidP="00367FAC">
      <w:pPr>
        <w:jc w:val="both"/>
        <w:rPr>
          <w:rFonts w:cs="Arial"/>
          <w:sz w:val="20"/>
        </w:rPr>
      </w:pP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173A81" w:rsidRDefault="00173A81" w:rsidP="00A21655">
      <w:pPr>
        <w:jc w:val="both"/>
        <w:rPr>
          <w:sz w:val="20"/>
        </w:rPr>
      </w:pPr>
    </w:p>
    <w:p w:rsidR="00173A81" w:rsidRDefault="00173A81" w:rsidP="00A21655">
      <w:pPr>
        <w:jc w:val="both"/>
        <w:rPr>
          <w:sz w:val="20"/>
        </w:rPr>
      </w:pPr>
      <w:r>
        <w:rPr>
          <w:sz w:val="20"/>
        </w:rPr>
        <w:t>Ponudnik mora poslati dokumentacijo:</w:t>
      </w:r>
    </w:p>
    <w:p w:rsidR="00173A81" w:rsidRDefault="00173A81" w:rsidP="00173A81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173A81" w:rsidRDefault="00173A81" w:rsidP="00173A81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 xml:space="preserve">kopijo osebnega dokumenta (potni list ali osebno izkaznico) – velja za fizične osebe in </w:t>
      </w:r>
      <w:proofErr w:type="spellStart"/>
      <w:r>
        <w:rPr>
          <w:sz w:val="20"/>
        </w:rPr>
        <w:t>s.p</w:t>
      </w:r>
      <w:proofErr w:type="spellEnd"/>
      <w:r>
        <w:rPr>
          <w:sz w:val="20"/>
        </w:rPr>
        <w:t>.-je,</w:t>
      </w:r>
    </w:p>
    <w:p w:rsidR="00173A81" w:rsidRDefault="00173A81" w:rsidP="00A21655">
      <w:pPr>
        <w:jc w:val="both"/>
        <w:rPr>
          <w:sz w:val="20"/>
        </w:rPr>
      </w:pPr>
      <w:r w:rsidRPr="00173A81">
        <w:rPr>
          <w:sz w:val="20"/>
        </w:rPr>
        <w:t>na e-naslov: gp.mju@gov.si do 2</w:t>
      </w:r>
      <w:r w:rsidR="00B32D9E">
        <w:rPr>
          <w:sz w:val="20"/>
        </w:rPr>
        <w:t>6</w:t>
      </w:r>
      <w:r w:rsidRPr="00173A81">
        <w:rPr>
          <w:sz w:val="20"/>
        </w:rPr>
        <w:t xml:space="preserve">.02.2021, do 24.00 ure ali priporočeno po pošti oziroma osebno v zaprti pisemski ovojnici z navedbo »ponudba v zadevi </w:t>
      </w:r>
      <w:r w:rsidR="00B32D9E" w:rsidRPr="00B32D9E">
        <w:rPr>
          <w:sz w:val="20"/>
        </w:rPr>
        <w:t>352-15/2021</w:t>
      </w:r>
      <w:r w:rsidRPr="00173A81">
        <w:rPr>
          <w:sz w:val="20"/>
        </w:rPr>
        <w:t>«, na vložišče Ministrstva za javno upravo, Tržaška cesta 21, Ljubljana, najkasneje do 2</w:t>
      </w:r>
      <w:r w:rsidR="00B32D9E">
        <w:rPr>
          <w:sz w:val="20"/>
        </w:rPr>
        <w:t>6</w:t>
      </w:r>
      <w:r w:rsidRPr="00173A81">
        <w:rPr>
          <w:sz w:val="20"/>
        </w:rPr>
        <w:t>.02.2021, do 13.00 ure. Če je dokumentacija oddana priporočeno po pošti, se šteje, da je pravočasna, če je na naslov organizatorja prispela do 2</w:t>
      </w:r>
      <w:r w:rsidR="00B32D9E">
        <w:rPr>
          <w:sz w:val="20"/>
        </w:rPr>
        <w:t>6.</w:t>
      </w:r>
      <w:r w:rsidRPr="00173A81">
        <w:rPr>
          <w:sz w:val="20"/>
        </w:rPr>
        <w:t>02.2021.</w:t>
      </w:r>
    </w:p>
    <w:p w:rsidR="00173A81" w:rsidRDefault="00173A81" w:rsidP="00A21655">
      <w:pPr>
        <w:jc w:val="both"/>
        <w:rPr>
          <w:sz w:val="20"/>
        </w:rPr>
      </w:pPr>
    </w:p>
    <w:p w:rsidR="00A21655" w:rsidRPr="002E7CB9" w:rsidRDefault="00A21655" w:rsidP="00A21655">
      <w:pPr>
        <w:rPr>
          <w:sz w:val="20"/>
        </w:rPr>
      </w:pPr>
      <w:r w:rsidRPr="00173A81">
        <w:rPr>
          <w:sz w:val="20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173A81" w:rsidRDefault="00367FAC" w:rsidP="00367FAC">
      <w:pPr>
        <w:outlineLvl w:val="1"/>
        <w:rPr>
          <w:sz w:val="20"/>
        </w:rPr>
      </w:pPr>
    </w:p>
    <w:p w:rsidR="00871E0C" w:rsidRPr="00B32D9E" w:rsidRDefault="00367FAC" w:rsidP="00E1585D">
      <w:pPr>
        <w:jc w:val="both"/>
        <w:rPr>
          <w:rFonts w:cs="Arial"/>
          <w:b/>
          <w:sz w:val="20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B32D9E" w:rsidRPr="00B32D9E">
        <w:rPr>
          <w:rFonts w:cs="Arial"/>
          <w:bCs/>
          <w:sz w:val="20"/>
          <w:lang w:eastAsia="sl-SI"/>
        </w:rPr>
        <w:t xml:space="preserve">ne bo </w:t>
      </w:r>
      <w:r w:rsidRPr="00B32D9E">
        <w:rPr>
          <w:rFonts w:cs="Arial"/>
          <w:bCs/>
          <w:sz w:val="20"/>
          <w:lang w:eastAsia="sl-SI"/>
        </w:rPr>
        <w:t>javno</w:t>
      </w:r>
      <w:r w:rsidR="00E1585D" w:rsidRPr="00B32D9E">
        <w:rPr>
          <w:rFonts w:cs="Arial"/>
          <w:bCs/>
          <w:sz w:val="20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367FAC" w:rsidRDefault="00367FAC" w:rsidP="00367FAC">
      <w:pPr>
        <w:rPr>
          <w:rFonts w:cs="Arial"/>
          <w:sz w:val="20"/>
          <w:lang w:eastAsia="sl-SI"/>
        </w:rPr>
      </w:pPr>
    </w:p>
    <w:p w:rsidR="00173A81" w:rsidRPr="00367FAC" w:rsidRDefault="00173A81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B32D9E">
        <w:rPr>
          <w:rFonts w:cs="Arial"/>
          <w:b/>
          <w:sz w:val="20"/>
          <w:u w:val="single"/>
        </w:rPr>
        <w:t>7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173A81" w:rsidRDefault="00173A81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:rsidR="00BB7214" w:rsidRPr="004F5EA4" w:rsidRDefault="00173A81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173A81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 w:rsidR="00B32D9E">
        <w:rPr>
          <w:rStyle w:val="Hiperpovezava"/>
          <w:rFonts w:cs="Arial"/>
          <w:color w:val="auto"/>
          <w:sz w:val="20"/>
          <w:u w:val="none"/>
        </w:rPr>
        <w:t xml:space="preserve">oddaje v brezplačno uporabo </w:t>
      </w:r>
      <w:r w:rsidRPr="00173A81">
        <w:rPr>
          <w:rStyle w:val="Hiperpovezava"/>
          <w:rFonts w:cs="Arial"/>
          <w:color w:val="auto"/>
          <w:sz w:val="20"/>
          <w:u w:val="none"/>
        </w:rPr>
        <w:t xml:space="preserve">se obrnite na Tatjano Hudobivnik, telefon 01/478-85-02, e-pošta: tatjana.hudobivnik@gov.si. Ogled predmeta </w:t>
      </w:r>
      <w:r w:rsidR="00B32D9E">
        <w:rPr>
          <w:rStyle w:val="Hiperpovezava"/>
          <w:rFonts w:cs="Arial"/>
          <w:color w:val="auto"/>
          <w:sz w:val="20"/>
          <w:u w:val="none"/>
        </w:rPr>
        <w:t xml:space="preserve">oddaje v brezplačno uporabo </w:t>
      </w:r>
      <w:r w:rsidRPr="00173A81">
        <w:rPr>
          <w:rStyle w:val="Hiperpovezava"/>
          <w:rFonts w:cs="Arial"/>
          <w:color w:val="auto"/>
          <w:sz w:val="20"/>
          <w:u w:val="none"/>
        </w:rPr>
        <w:t>bo možen izključno na podlagi predhodnega dogovora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>.</w:t>
      </w:r>
    </w:p>
    <w:p w:rsidR="00871E0C" w:rsidRDefault="00871E0C" w:rsidP="00194838">
      <w:pPr>
        <w:jc w:val="both"/>
        <w:rPr>
          <w:rFonts w:cs="Arial"/>
          <w:sz w:val="20"/>
        </w:rPr>
      </w:pPr>
    </w:p>
    <w:p w:rsidR="001472FE" w:rsidRPr="004F5EA4" w:rsidRDefault="001472FE" w:rsidP="00194838">
      <w:pPr>
        <w:jc w:val="both"/>
        <w:rPr>
          <w:rFonts w:cs="Arial"/>
          <w:sz w:val="20"/>
        </w:rPr>
      </w:pPr>
    </w:p>
    <w:p w:rsidR="00E44C83" w:rsidRDefault="00B32D9E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173A81" w:rsidRPr="004F5EA4" w:rsidRDefault="00173A81" w:rsidP="00E44C83">
      <w:pPr>
        <w:jc w:val="both"/>
        <w:rPr>
          <w:rFonts w:cs="Arial"/>
          <w:b/>
          <w:sz w:val="20"/>
          <w:u w:val="single"/>
        </w:rPr>
      </w:pP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7434F9" w:rsidRPr="008B7D32" w:rsidRDefault="00B32D9E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lastRenderedPageBreak/>
        <w:t>9</w:t>
      </w:r>
      <w:r w:rsidR="007434F9" w:rsidRPr="008B7D32">
        <w:rPr>
          <w:rFonts w:cs="Arial"/>
          <w:b/>
          <w:bCs/>
          <w:sz w:val="20"/>
          <w:u w:val="single"/>
        </w:rPr>
        <w:t xml:space="preserve"> .</w:t>
      </w:r>
      <w:r w:rsidR="007434F9">
        <w:rPr>
          <w:rFonts w:cs="Arial"/>
          <w:b/>
          <w:bCs/>
          <w:sz w:val="20"/>
          <w:u w:val="single"/>
        </w:rPr>
        <w:t xml:space="preserve"> Objava 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173A81" w:rsidRDefault="00173A81" w:rsidP="007434F9">
      <w:pPr>
        <w:jc w:val="both"/>
        <w:rPr>
          <w:rFonts w:cs="Arial"/>
          <w:bCs/>
          <w:sz w:val="20"/>
        </w:rPr>
      </w:pP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2D0046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1472FE" w:rsidRDefault="001472FE" w:rsidP="007434F9">
      <w:pPr>
        <w:jc w:val="both"/>
        <w:rPr>
          <w:rFonts w:cs="Arial"/>
          <w:sz w:val="20"/>
        </w:rPr>
      </w:pPr>
    </w:p>
    <w:p w:rsidR="001472FE" w:rsidRDefault="001472FE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CE60A9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 xml:space="preserve">na podlagi pooblastila št. 1004-113/2015/45 z dne </w:t>
            </w:r>
            <w:r w:rsidR="00C878DB">
              <w:rPr>
                <w:rFonts w:cs="Arial"/>
                <w:sz w:val="20"/>
              </w:rPr>
              <w:t>0</w:t>
            </w:r>
            <w:r w:rsidRPr="00CC619F">
              <w:rPr>
                <w:rFonts w:cs="Arial"/>
                <w:sz w:val="20"/>
              </w:rPr>
              <w:t>7.</w:t>
            </w:r>
            <w:r w:rsidR="00C878DB">
              <w:rPr>
                <w:rFonts w:cs="Arial"/>
                <w:sz w:val="20"/>
              </w:rPr>
              <w:t>0</w:t>
            </w:r>
            <w:r w:rsidRPr="00CC619F">
              <w:rPr>
                <w:rFonts w:cs="Arial"/>
                <w:sz w:val="20"/>
              </w:rPr>
              <w:t>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v.</w:t>
            </w:r>
            <w:r w:rsidR="00CE60A9"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d. generalne direktor</w:t>
            </w:r>
            <w:r w:rsidR="00C878DB">
              <w:rPr>
                <w:rFonts w:cs="Arial"/>
                <w:sz w:val="20"/>
              </w:rPr>
              <w:t>ice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:rsidTr="007C6E67">
      <w:trPr>
        <w:trHeight w:val="980"/>
      </w:trPr>
      <w:tc>
        <w:tcPr>
          <w:tcW w:w="657" w:type="dxa"/>
        </w:tcPr>
        <w:p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F136352" wp14:editId="25D642C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74208"/>
    <w:multiLevelType w:val="hybridMultilevel"/>
    <w:tmpl w:val="E4C4B9B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A1FAF"/>
    <w:multiLevelType w:val="hybridMultilevel"/>
    <w:tmpl w:val="6D5E4E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20"/>
  </w:num>
  <w:num w:numId="18">
    <w:abstractNumId w:val="22"/>
  </w:num>
  <w:num w:numId="19">
    <w:abstractNumId w:val="12"/>
  </w:num>
  <w:num w:numId="20">
    <w:abstractNumId w:val="21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72FE"/>
    <w:rsid w:val="00151D8D"/>
    <w:rsid w:val="00152339"/>
    <w:rsid w:val="00152C83"/>
    <w:rsid w:val="001567F1"/>
    <w:rsid w:val="001576A9"/>
    <w:rsid w:val="00157886"/>
    <w:rsid w:val="00165A9E"/>
    <w:rsid w:val="00166F1C"/>
    <w:rsid w:val="00173A81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04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6F78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78B4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4860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957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7AB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042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2D9E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E6F0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78DB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2F48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6F24"/>
    <w:rsid w:val="00ED7BA7"/>
    <w:rsid w:val="00EE26C1"/>
    <w:rsid w:val="00EE46F2"/>
    <w:rsid w:val="00EE4853"/>
    <w:rsid w:val="00EF173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37AF9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67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8C28-AB0E-40D7-A73A-D06E4260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3</Pages>
  <Words>700</Words>
  <Characters>4582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5272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oddajo nepremičnine MP Škofije</dc:title>
  <dc:subject/>
  <dc:creator>Marija Petek</dc:creator>
  <cp:keywords/>
  <dc:description/>
  <cp:lastModifiedBy>Ana Pavlič</cp:lastModifiedBy>
  <cp:revision>2</cp:revision>
  <cp:lastPrinted>2019-07-25T11:29:00Z</cp:lastPrinted>
  <dcterms:created xsi:type="dcterms:W3CDTF">2021-02-04T10:22:00Z</dcterms:created>
  <dcterms:modified xsi:type="dcterms:W3CDTF">2021-02-04T10:22:00Z</dcterms:modified>
</cp:coreProperties>
</file>