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2A8DE" w14:textId="291A0C7D" w:rsidR="009903A1" w:rsidRPr="00081855" w:rsidRDefault="00CD7B86" w:rsidP="00E44C83">
      <w:pPr>
        <w:jc w:val="both"/>
        <w:rPr>
          <w:rFonts w:cs="Arial"/>
          <w:sz w:val="20"/>
        </w:rPr>
      </w:pPr>
      <w:r w:rsidRPr="00081855">
        <w:rPr>
          <w:rFonts w:cs="Arial"/>
          <w:sz w:val="20"/>
        </w:rPr>
        <w:t>Številka:</w:t>
      </w:r>
      <w:r w:rsidR="00480477" w:rsidRPr="00081855">
        <w:rPr>
          <w:rFonts w:cs="Arial"/>
          <w:sz w:val="20"/>
        </w:rPr>
        <w:t xml:space="preserve"> </w:t>
      </w:r>
      <w:r w:rsidR="00A53766" w:rsidRPr="00081855">
        <w:rPr>
          <w:rFonts w:cs="Arial"/>
          <w:sz w:val="20"/>
        </w:rPr>
        <w:t>477-</w:t>
      </w:r>
      <w:r w:rsidR="00344B81" w:rsidRPr="00081855">
        <w:rPr>
          <w:rFonts w:cs="Arial"/>
          <w:sz w:val="20"/>
        </w:rPr>
        <w:t>272/2018/</w:t>
      </w:r>
      <w:r w:rsidR="00EB2B28">
        <w:rPr>
          <w:rFonts w:cs="Arial"/>
          <w:sz w:val="20"/>
        </w:rPr>
        <w:t>39</w:t>
      </w:r>
    </w:p>
    <w:p w14:paraId="2404FCD4" w14:textId="294BA998" w:rsidR="00CD7B86" w:rsidRPr="00081855" w:rsidRDefault="00CD7B86" w:rsidP="00E44C83">
      <w:pPr>
        <w:jc w:val="both"/>
        <w:rPr>
          <w:rFonts w:cs="Arial"/>
          <w:sz w:val="20"/>
        </w:rPr>
      </w:pPr>
      <w:r w:rsidRPr="00081855">
        <w:rPr>
          <w:rFonts w:cs="Arial"/>
          <w:sz w:val="20"/>
        </w:rPr>
        <w:t>Datum:</w:t>
      </w:r>
      <w:r w:rsidR="00480477" w:rsidRPr="00081855">
        <w:rPr>
          <w:rFonts w:cs="Arial"/>
          <w:sz w:val="20"/>
        </w:rPr>
        <w:t xml:space="preserve">   </w:t>
      </w:r>
      <w:r w:rsidR="00B35623">
        <w:rPr>
          <w:rFonts w:cs="Arial"/>
          <w:sz w:val="20"/>
        </w:rPr>
        <w:t>2</w:t>
      </w:r>
      <w:r w:rsidR="00EE4067">
        <w:rPr>
          <w:rFonts w:cs="Arial"/>
          <w:sz w:val="20"/>
        </w:rPr>
        <w:t>3</w:t>
      </w:r>
      <w:r w:rsidR="00920CD4" w:rsidRPr="00081855">
        <w:rPr>
          <w:rFonts w:cs="Arial"/>
          <w:sz w:val="20"/>
        </w:rPr>
        <w:t xml:space="preserve">. </w:t>
      </w:r>
      <w:r w:rsidR="00344B81" w:rsidRPr="00081855">
        <w:rPr>
          <w:rFonts w:cs="Arial"/>
          <w:sz w:val="20"/>
        </w:rPr>
        <w:t>7</w:t>
      </w:r>
      <w:r w:rsidR="00920CD4" w:rsidRPr="00081855">
        <w:rPr>
          <w:rFonts w:cs="Arial"/>
          <w:sz w:val="20"/>
        </w:rPr>
        <w:t>. 2021</w:t>
      </w:r>
    </w:p>
    <w:p w14:paraId="6E6422FC" w14:textId="77777777" w:rsidR="00CD7B86" w:rsidRPr="00081855" w:rsidRDefault="00CD7B86" w:rsidP="00E44C83">
      <w:pPr>
        <w:jc w:val="both"/>
        <w:rPr>
          <w:rFonts w:cs="Arial"/>
          <w:sz w:val="20"/>
          <w:highlight w:val="magenta"/>
        </w:rPr>
      </w:pPr>
    </w:p>
    <w:p w14:paraId="129F12D0" w14:textId="77777777" w:rsidR="00E44C83" w:rsidRPr="00081855" w:rsidRDefault="00E44C83" w:rsidP="00E44C83">
      <w:pPr>
        <w:jc w:val="both"/>
        <w:rPr>
          <w:rFonts w:cs="Arial"/>
          <w:sz w:val="20"/>
        </w:rPr>
      </w:pPr>
      <w:r w:rsidRPr="00081855">
        <w:rPr>
          <w:rFonts w:cs="Arial"/>
          <w:sz w:val="20"/>
        </w:rPr>
        <w:t xml:space="preserve">Republika Slovenija, Ministrstvo za </w:t>
      </w:r>
      <w:r w:rsidR="0040383E" w:rsidRPr="00081855">
        <w:rPr>
          <w:rFonts w:cs="Arial"/>
          <w:sz w:val="20"/>
        </w:rPr>
        <w:t>javno upravo</w:t>
      </w:r>
      <w:r w:rsidR="003B30A8" w:rsidRPr="00081855">
        <w:rPr>
          <w:rFonts w:cs="Arial"/>
          <w:sz w:val="20"/>
        </w:rPr>
        <w:t xml:space="preserve">, </w:t>
      </w:r>
      <w:r w:rsidR="0040383E" w:rsidRPr="00081855">
        <w:rPr>
          <w:rFonts w:cs="Arial"/>
          <w:sz w:val="20"/>
        </w:rPr>
        <w:t>Tržaška cesta 21</w:t>
      </w:r>
      <w:r w:rsidR="00C066EE" w:rsidRPr="00081855">
        <w:rPr>
          <w:rFonts w:cs="Arial"/>
          <w:sz w:val="20"/>
        </w:rPr>
        <w:t>, Ljubljana</w:t>
      </w:r>
      <w:r w:rsidR="005B1231" w:rsidRPr="00081855">
        <w:rPr>
          <w:rFonts w:cs="Arial"/>
          <w:sz w:val="20"/>
        </w:rPr>
        <w:t xml:space="preserve">, skladno z 52. členom </w:t>
      </w:r>
      <w:r w:rsidRPr="00081855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081855">
        <w:rPr>
          <w:rFonts w:cs="Arial"/>
          <w:sz w:val="20"/>
        </w:rPr>
        <w:t>11/18</w:t>
      </w:r>
      <w:r w:rsidR="00364F83" w:rsidRPr="00081855">
        <w:rPr>
          <w:rFonts w:cs="Arial"/>
          <w:sz w:val="20"/>
        </w:rPr>
        <w:t xml:space="preserve"> in 79/18</w:t>
      </w:r>
      <w:r w:rsidR="00B61836" w:rsidRPr="00081855">
        <w:rPr>
          <w:rFonts w:cs="Arial"/>
          <w:sz w:val="20"/>
        </w:rPr>
        <w:t xml:space="preserve"> </w:t>
      </w:r>
      <w:r w:rsidR="009E3F45" w:rsidRPr="00081855">
        <w:rPr>
          <w:rFonts w:cs="Arial"/>
          <w:sz w:val="20"/>
        </w:rPr>
        <w:t>– v nadaljevanju: ZSPDSLS-1</w:t>
      </w:r>
      <w:r w:rsidR="00222757" w:rsidRPr="00081855">
        <w:rPr>
          <w:rFonts w:cs="Arial"/>
          <w:sz w:val="20"/>
        </w:rPr>
        <w:t xml:space="preserve">) </w:t>
      </w:r>
      <w:r w:rsidR="005B1231" w:rsidRPr="00081855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081855">
        <w:rPr>
          <w:rFonts w:cs="Arial"/>
          <w:sz w:val="20"/>
        </w:rPr>
        <w:t xml:space="preserve">objavlja  </w:t>
      </w:r>
    </w:p>
    <w:p w14:paraId="7BA17360" w14:textId="77777777" w:rsidR="00E01879" w:rsidRPr="00081855" w:rsidRDefault="00E01879" w:rsidP="006F471E">
      <w:pPr>
        <w:jc w:val="center"/>
        <w:rPr>
          <w:rFonts w:cs="Arial"/>
          <w:b/>
          <w:sz w:val="20"/>
        </w:rPr>
      </w:pPr>
    </w:p>
    <w:p w14:paraId="7BD42474" w14:textId="77777777" w:rsidR="0099234A" w:rsidRPr="00081855" w:rsidRDefault="0099234A" w:rsidP="006F471E">
      <w:pPr>
        <w:jc w:val="center"/>
        <w:rPr>
          <w:rFonts w:cs="Arial"/>
          <w:b/>
          <w:sz w:val="20"/>
        </w:rPr>
      </w:pPr>
    </w:p>
    <w:p w14:paraId="1DC1F79E" w14:textId="77777777" w:rsidR="00ED6713" w:rsidRDefault="005B1231" w:rsidP="006F471E">
      <w:pPr>
        <w:jc w:val="center"/>
        <w:rPr>
          <w:rFonts w:cs="Arial"/>
          <w:b/>
          <w:sz w:val="20"/>
        </w:rPr>
      </w:pPr>
      <w:r w:rsidRPr="00081855">
        <w:rPr>
          <w:rFonts w:cs="Arial"/>
          <w:b/>
          <w:sz w:val="20"/>
        </w:rPr>
        <w:t>NAMERO</w:t>
      </w:r>
      <w:r w:rsidR="0040383E" w:rsidRPr="00081855">
        <w:rPr>
          <w:rFonts w:cs="Arial"/>
          <w:b/>
          <w:sz w:val="20"/>
        </w:rPr>
        <w:t xml:space="preserve"> ZA PRODAJO NEPREMIČNIN</w:t>
      </w:r>
    </w:p>
    <w:p w14:paraId="14877CA4" w14:textId="4C10E440" w:rsidR="00E44C83" w:rsidRPr="00081855" w:rsidRDefault="004A5B84" w:rsidP="006F471E">
      <w:pPr>
        <w:jc w:val="center"/>
        <w:rPr>
          <w:rFonts w:cs="Arial"/>
          <w:b/>
          <w:sz w:val="20"/>
        </w:rPr>
      </w:pPr>
      <w:r w:rsidRPr="00081855">
        <w:rPr>
          <w:rFonts w:cs="Arial"/>
          <w:b/>
          <w:sz w:val="20"/>
        </w:rPr>
        <w:t xml:space="preserve"> </w:t>
      </w:r>
      <w:proofErr w:type="spellStart"/>
      <w:r w:rsidR="00904765" w:rsidRPr="00081855">
        <w:rPr>
          <w:rFonts w:cs="Arial"/>
          <w:b/>
          <w:sz w:val="20"/>
        </w:rPr>
        <w:t>parc</w:t>
      </w:r>
      <w:proofErr w:type="spellEnd"/>
      <w:r w:rsidR="00904765" w:rsidRPr="00081855">
        <w:rPr>
          <w:rFonts w:cs="Arial"/>
          <w:b/>
          <w:sz w:val="20"/>
        </w:rPr>
        <w:t xml:space="preserve">. </w:t>
      </w:r>
      <w:r w:rsidR="00344B81" w:rsidRPr="00081855">
        <w:rPr>
          <w:rFonts w:cs="Arial"/>
          <w:b/>
          <w:sz w:val="20"/>
        </w:rPr>
        <w:t xml:space="preserve">*177 in 108/2, obe k. o. 1397 </w:t>
      </w:r>
      <w:r w:rsidR="00CD346D">
        <w:rPr>
          <w:rFonts w:cs="Arial"/>
          <w:b/>
          <w:sz w:val="20"/>
        </w:rPr>
        <w:t xml:space="preserve">- </w:t>
      </w:r>
      <w:r w:rsidR="00344B81" w:rsidRPr="00081855">
        <w:rPr>
          <w:rFonts w:cs="Arial"/>
          <w:b/>
          <w:sz w:val="20"/>
        </w:rPr>
        <w:t>Tržišče, obe do celote (1/1)</w:t>
      </w:r>
    </w:p>
    <w:p w14:paraId="2CC554DB" w14:textId="77777777" w:rsidR="007E14BC" w:rsidRPr="00081855" w:rsidRDefault="007E14BC" w:rsidP="00E44C83">
      <w:pPr>
        <w:jc w:val="both"/>
        <w:rPr>
          <w:rFonts w:cs="Arial"/>
          <w:sz w:val="20"/>
        </w:rPr>
      </w:pPr>
    </w:p>
    <w:p w14:paraId="29550EA8" w14:textId="77777777" w:rsidR="00E44C83" w:rsidRPr="00081855" w:rsidRDefault="00E44C83" w:rsidP="00E44C83">
      <w:pPr>
        <w:jc w:val="both"/>
        <w:rPr>
          <w:rFonts w:cs="Arial"/>
          <w:b/>
          <w:sz w:val="20"/>
          <w:u w:val="single"/>
        </w:rPr>
      </w:pPr>
      <w:r w:rsidRPr="00081855">
        <w:rPr>
          <w:rFonts w:cs="Arial"/>
          <w:b/>
          <w:sz w:val="20"/>
          <w:u w:val="single"/>
        </w:rPr>
        <w:t>1. Naziv in s</w:t>
      </w:r>
      <w:r w:rsidR="004B6175" w:rsidRPr="00081855">
        <w:rPr>
          <w:rFonts w:cs="Arial"/>
          <w:b/>
          <w:sz w:val="20"/>
          <w:u w:val="single"/>
        </w:rPr>
        <w:t>edež organizatorja</w:t>
      </w:r>
      <w:r w:rsidR="008020E2" w:rsidRPr="00081855">
        <w:rPr>
          <w:rFonts w:cs="Arial"/>
          <w:b/>
          <w:sz w:val="20"/>
          <w:u w:val="single"/>
        </w:rPr>
        <w:t xml:space="preserve"> prodaje</w:t>
      </w:r>
      <w:r w:rsidR="004B6175" w:rsidRPr="00081855">
        <w:rPr>
          <w:rFonts w:cs="Arial"/>
          <w:b/>
          <w:sz w:val="20"/>
          <w:u w:val="single"/>
        </w:rPr>
        <w:t xml:space="preserve"> </w:t>
      </w:r>
    </w:p>
    <w:p w14:paraId="3F20063E" w14:textId="77777777" w:rsidR="00E44C83" w:rsidRPr="00081855" w:rsidRDefault="00E44C83" w:rsidP="00E44C83">
      <w:pPr>
        <w:jc w:val="both"/>
        <w:rPr>
          <w:rFonts w:cs="Arial"/>
          <w:sz w:val="20"/>
        </w:rPr>
      </w:pPr>
      <w:r w:rsidRPr="00081855">
        <w:rPr>
          <w:rFonts w:cs="Arial"/>
          <w:sz w:val="20"/>
        </w:rPr>
        <w:t xml:space="preserve">Republika Slovenija, Ministrstvo za </w:t>
      </w:r>
      <w:r w:rsidR="00FB5862" w:rsidRPr="00081855">
        <w:rPr>
          <w:rFonts w:cs="Arial"/>
          <w:sz w:val="20"/>
        </w:rPr>
        <w:t>javno upravo</w:t>
      </w:r>
      <w:r w:rsidR="003B30A8" w:rsidRPr="00081855">
        <w:rPr>
          <w:rFonts w:cs="Arial"/>
          <w:sz w:val="20"/>
        </w:rPr>
        <w:t xml:space="preserve">, </w:t>
      </w:r>
      <w:r w:rsidR="00FB5862" w:rsidRPr="00081855">
        <w:rPr>
          <w:rFonts w:cs="Arial"/>
          <w:sz w:val="20"/>
        </w:rPr>
        <w:t xml:space="preserve">Tržaška cesta 21, </w:t>
      </w:r>
      <w:r w:rsidR="00C066EE" w:rsidRPr="00081855">
        <w:rPr>
          <w:rFonts w:cs="Arial"/>
          <w:sz w:val="20"/>
        </w:rPr>
        <w:t>1000 Ljubljana</w:t>
      </w:r>
      <w:r w:rsidRPr="00081855">
        <w:rPr>
          <w:rFonts w:cs="Arial"/>
          <w:sz w:val="20"/>
        </w:rPr>
        <w:t>.</w:t>
      </w:r>
    </w:p>
    <w:p w14:paraId="4A9C4FBD" w14:textId="77777777" w:rsidR="00E44C83" w:rsidRPr="00081855" w:rsidRDefault="00E44C83" w:rsidP="00E44C83">
      <w:pPr>
        <w:jc w:val="both"/>
        <w:rPr>
          <w:rFonts w:cs="Arial"/>
          <w:sz w:val="20"/>
        </w:rPr>
      </w:pPr>
    </w:p>
    <w:p w14:paraId="69ABEFFB" w14:textId="77777777" w:rsidR="007E14BC" w:rsidRPr="00081855" w:rsidRDefault="007E14BC" w:rsidP="00E44C83">
      <w:pPr>
        <w:jc w:val="both"/>
        <w:rPr>
          <w:rFonts w:cs="Arial"/>
          <w:sz w:val="20"/>
        </w:rPr>
      </w:pPr>
    </w:p>
    <w:p w14:paraId="042266B9" w14:textId="77777777" w:rsidR="00E44C83" w:rsidRPr="00081855" w:rsidRDefault="00E44C83" w:rsidP="00E44C83">
      <w:pPr>
        <w:jc w:val="both"/>
        <w:rPr>
          <w:rFonts w:cs="Arial"/>
          <w:b/>
          <w:sz w:val="20"/>
          <w:u w:val="single"/>
        </w:rPr>
      </w:pPr>
      <w:r w:rsidRPr="00081855">
        <w:rPr>
          <w:rFonts w:cs="Arial"/>
          <w:b/>
          <w:sz w:val="20"/>
          <w:u w:val="single"/>
        </w:rPr>
        <w:t>2.</w:t>
      </w:r>
      <w:r w:rsidR="004B6175" w:rsidRPr="00081855">
        <w:rPr>
          <w:rFonts w:cs="Arial"/>
          <w:b/>
          <w:sz w:val="20"/>
          <w:u w:val="single"/>
        </w:rPr>
        <w:t xml:space="preserve"> </w:t>
      </w:r>
      <w:r w:rsidR="008020E2" w:rsidRPr="00081855">
        <w:rPr>
          <w:rFonts w:cs="Arial"/>
          <w:b/>
          <w:sz w:val="20"/>
          <w:u w:val="single"/>
        </w:rPr>
        <w:t>Predmet</w:t>
      </w:r>
      <w:r w:rsidR="00480477" w:rsidRPr="00081855">
        <w:rPr>
          <w:rFonts w:cs="Arial"/>
          <w:b/>
          <w:sz w:val="20"/>
          <w:u w:val="single"/>
        </w:rPr>
        <w:t xml:space="preserve"> </w:t>
      </w:r>
      <w:r w:rsidR="008020E2" w:rsidRPr="00081855">
        <w:rPr>
          <w:rFonts w:cs="Arial"/>
          <w:b/>
          <w:sz w:val="20"/>
          <w:u w:val="single"/>
        </w:rPr>
        <w:t>prodaje</w:t>
      </w:r>
      <w:r w:rsidR="00B84BCF" w:rsidRPr="00081855">
        <w:rPr>
          <w:rFonts w:cs="Arial"/>
          <w:b/>
          <w:sz w:val="20"/>
          <w:u w:val="single"/>
        </w:rPr>
        <w:t xml:space="preserve"> </w:t>
      </w:r>
    </w:p>
    <w:p w14:paraId="36CB8852" w14:textId="58B0084F" w:rsidR="00DC2B5F" w:rsidRPr="00081855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bookmarkStart w:id="0" w:name="_Hlk65848484"/>
      <w:r w:rsidRPr="00081855">
        <w:rPr>
          <w:rFonts w:cs="Arial"/>
          <w:sz w:val="20"/>
        </w:rPr>
        <w:t xml:space="preserve">Predmet prodaje </w:t>
      </w:r>
      <w:r w:rsidR="00344B81" w:rsidRPr="00081855">
        <w:rPr>
          <w:rFonts w:cs="Arial"/>
          <w:sz w:val="20"/>
        </w:rPr>
        <w:t xml:space="preserve">sta nepremičnini, ki se prodajata </w:t>
      </w:r>
      <w:r w:rsidR="00344B81" w:rsidRPr="00081855">
        <w:rPr>
          <w:rFonts w:cs="Arial"/>
          <w:sz w:val="20"/>
          <w:u w:val="single"/>
        </w:rPr>
        <w:t>skupaj kot celota</w:t>
      </w:r>
      <w:r w:rsidR="00344B81" w:rsidRPr="00081855">
        <w:rPr>
          <w:rFonts w:cs="Arial"/>
          <w:sz w:val="20"/>
        </w:rPr>
        <w:t xml:space="preserve">, in sicer: </w:t>
      </w:r>
    </w:p>
    <w:p w14:paraId="393985B6" w14:textId="77777777" w:rsidR="00530E1D" w:rsidRPr="00081855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  <w:highlight w:val="magenta"/>
        </w:rPr>
      </w:pPr>
    </w:p>
    <w:tbl>
      <w:tblPr>
        <w:tblStyle w:val="Tabelamrea4poudarek1"/>
        <w:tblW w:w="8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6"/>
        <w:gridCol w:w="1306"/>
        <w:gridCol w:w="1776"/>
        <w:gridCol w:w="1517"/>
        <w:gridCol w:w="1652"/>
        <w:gridCol w:w="717"/>
      </w:tblGrid>
      <w:tr w:rsidR="001B63C6" w:rsidRPr="00081855" w14:paraId="0F260877" w14:textId="77777777" w:rsidTr="001B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5B60" w14:textId="77777777" w:rsidR="001B63C6" w:rsidRPr="00081855" w:rsidRDefault="001B63C6" w:rsidP="0097443B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proofErr w:type="spellStart"/>
            <w:r w:rsidRPr="00081855">
              <w:rPr>
                <w:rFonts w:cs="Arial"/>
                <w:iCs/>
                <w:sz w:val="20"/>
              </w:rPr>
              <w:t>parc</w:t>
            </w:r>
            <w:proofErr w:type="spellEnd"/>
            <w:r w:rsidRPr="00081855">
              <w:rPr>
                <w:rFonts w:cs="Arial"/>
                <w:iCs/>
                <w:sz w:val="20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5DED" w14:textId="77777777" w:rsidR="001B63C6" w:rsidRPr="00081855" w:rsidRDefault="001B63C6" w:rsidP="0097443B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081855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FDE1" w14:textId="77777777" w:rsidR="001B63C6" w:rsidRPr="00081855" w:rsidRDefault="001B63C6" w:rsidP="0097443B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bookmarkStart w:id="1" w:name="_Hlk531855882"/>
            <w:r w:rsidRPr="00081855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5DBB" w14:textId="439B2136" w:rsidR="001B63C6" w:rsidRPr="00081855" w:rsidRDefault="001B63C6" w:rsidP="0097443B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081855">
              <w:rPr>
                <w:rFonts w:cs="Arial"/>
                <w:iCs/>
                <w:sz w:val="20"/>
              </w:rPr>
              <w:t>Izmera celotnega zemljišča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A33A" w14:textId="54DAC90B" w:rsidR="001B63C6" w:rsidRPr="00081855" w:rsidRDefault="001B63C6" w:rsidP="0097443B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081855">
              <w:rPr>
                <w:rFonts w:cs="Arial"/>
                <w:iCs/>
                <w:sz w:val="20"/>
              </w:rPr>
              <w:t>Namenska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A26D" w14:textId="3882E1A4" w:rsidR="001B63C6" w:rsidRPr="00081855" w:rsidRDefault="001B63C6" w:rsidP="0097443B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081855">
              <w:rPr>
                <w:rFonts w:cs="Arial"/>
                <w:iCs/>
                <w:sz w:val="20"/>
              </w:rPr>
              <w:t>delež</w:t>
            </w:r>
          </w:p>
        </w:tc>
      </w:tr>
      <w:tr w:rsidR="001B63C6" w:rsidRPr="00081855" w14:paraId="2EC93FBB" w14:textId="77777777" w:rsidTr="001B6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11F810A" w14:textId="488A3FB7" w:rsidR="001B63C6" w:rsidRPr="00081855" w:rsidRDefault="001B63C6" w:rsidP="0097443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81855">
              <w:rPr>
                <w:rFonts w:cs="Arial"/>
                <w:sz w:val="20"/>
              </w:rPr>
              <w:t>*177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7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0A6453B" w14:textId="3567C18B" w:rsidR="001B63C6" w:rsidRPr="00081855" w:rsidRDefault="001B63C6" w:rsidP="0097443B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081855">
              <w:rPr>
                <w:rFonts w:cs="Arial"/>
                <w:b/>
                <w:bCs/>
                <w:sz w:val="20"/>
              </w:rPr>
              <w:t>1397 Tržišče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5BAD827" w14:textId="5FCB71A2" w:rsidR="001B63C6" w:rsidRPr="00081855" w:rsidRDefault="001B63C6" w:rsidP="0097443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081855">
              <w:rPr>
                <w:rFonts w:cs="Arial"/>
                <w:b/>
                <w:bCs/>
                <w:sz w:val="20"/>
              </w:rPr>
              <w:t xml:space="preserve">parcela 1397 *177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C032369" w14:textId="38260E28" w:rsidR="001B63C6" w:rsidRPr="00081855" w:rsidRDefault="001B63C6" w:rsidP="001B63C6">
            <w:pPr>
              <w:spacing w:line="260" w:lineRule="exact"/>
              <w:jc w:val="center"/>
              <w:rPr>
                <w:rFonts w:cs="Arial"/>
                <w:b/>
                <w:bCs/>
                <w:sz w:val="28"/>
                <w:szCs w:val="28"/>
                <w:highlight w:val="magenta"/>
                <w:vertAlign w:val="superscript"/>
              </w:rPr>
            </w:pPr>
            <w:r w:rsidRPr="00081855">
              <w:rPr>
                <w:rFonts w:cs="Arial"/>
                <w:b/>
                <w:bCs/>
                <w:sz w:val="28"/>
                <w:szCs w:val="28"/>
                <w:vertAlign w:val="superscript"/>
              </w:rPr>
              <w:t>52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F726BC7" w14:textId="2BA2F887" w:rsidR="001B63C6" w:rsidRPr="00081855" w:rsidRDefault="001B63C6" w:rsidP="0097443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081855">
              <w:rPr>
                <w:rFonts w:cs="Arial"/>
                <w:b/>
                <w:bCs/>
                <w:sz w:val="20"/>
              </w:rPr>
              <w:t xml:space="preserve">Območja stavbnih zemljišč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0790BDF" w14:textId="62059096" w:rsidR="001B63C6" w:rsidRPr="00081855" w:rsidRDefault="001B63C6" w:rsidP="0097443B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highlight w:val="magenta"/>
              </w:rPr>
            </w:pPr>
            <w:r w:rsidRPr="00081855">
              <w:rPr>
                <w:rFonts w:cs="Arial"/>
                <w:b/>
                <w:bCs/>
                <w:sz w:val="20"/>
              </w:rPr>
              <w:t>1/1</w:t>
            </w:r>
          </w:p>
        </w:tc>
      </w:tr>
      <w:bookmarkEnd w:id="1"/>
      <w:tr w:rsidR="001B63C6" w:rsidRPr="00081855" w14:paraId="4B87DDD0" w14:textId="77777777" w:rsidTr="001B63C6">
        <w:trPr>
          <w:trHeight w:val="7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67F8736" w14:textId="75EB4D27" w:rsidR="001B63C6" w:rsidRPr="00081855" w:rsidRDefault="001B63C6" w:rsidP="007D51D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81855">
              <w:rPr>
                <w:rFonts w:cs="Arial"/>
                <w:sz w:val="20"/>
              </w:rPr>
              <w:t>108/2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7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5731184" w14:textId="05167BCD" w:rsidR="001B63C6" w:rsidRPr="00081855" w:rsidRDefault="001B63C6" w:rsidP="007D51D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081855">
              <w:rPr>
                <w:rFonts w:cs="Arial"/>
                <w:b/>
                <w:bCs/>
                <w:sz w:val="20"/>
              </w:rPr>
              <w:t>1397 Tržišče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A73A1D5" w14:textId="3966DF71" w:rsidR="001B63C6" w:rsidRPr="00081855" w:rsidRDefault="001B63C6" w:rsidP="007D51D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081855">
              <w:rPr>
                <w:rFonts w:cs="Arial"/>
                <w:b/>
                <w:bCs/>
                <w:sz w:val="20"/>
              </w:rPr>
              <w:t>Parcela 1397 108/2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1146104" w14:textId="73E0333D" w:rsidR="001B63C6" w:rsidRPr="00081855" w:rsidRDefault="001B63C6" w:rsidP="007D51D7">
            <w:pPr>
              <w:spacing w:line="260" w:lineRule="exact"/>
              <w:jc w:val="center"/>
              <w:rPr>
                <w:rFonts w:cs="Arial"/>
                <w:b/>
                <w:bCs/>
                <w:sz w:val="28"/>
                <w:szCs w:val="28"/>
                <w:vertAlign w:val="superscript"/>
              </w:rPr>
            </w:pPr>
            <w:r w:rsidRPr="00081855">
              <w:rPr>
                <w:rFonts w:cs="Arial"/>
                <w:b/>
                <w:bCs/>
                <w:sz w:val="28"/>
                <w:szCs w:val="28"/>
                <w:vertAlign w:val="superscript"/>
              </w:rPr>
              <w:t>553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5DA9B03" w14:textId="6B2E2B5A" w:rsidR="001B63C6" w:rsidRPr="00081855" w:rsidRDefault="001B63C6" w:rsidP="007D51D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081855">
              <w:rPr>
                <w:rFonts w:cs="Arial"/>
                <w:b/>
                <w:bCs/>
                <w:sz w:val="20"/>
              </w:rPr>
              <w:t>Del območja stavbnih zemljišč, del območja kmetijskih zemljišč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E79A3A5" w14:textId="3AC11843" w:rsidR="001B63C6" w:rsidRPr="00081855" w:rsidRDefault="001B63C6" w:rsidP="007D51D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highlight w:val="magenta"/>
              </w:rPr>
            </w:pPr>
            <w:r w:rsidRPr="00081855">
              <w:rPr>
                <w:rFonts w:cs="Arial"/>
                <w:b/>
                <w:bCs/>
                <w:sz w:val="20"/>
              </w:rPr>
              <w:t>1/1</w:t>
            </w:r>
          </w:p>
        </w:tc>
      </w:tr>
    </w:tbl>
    <w:p w14:paraId="799EBAFA" w14:textId="77777777" w:rsidR="008020E2" w:rsidRPr="00081855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  <w:highlight w:val="magenta"/>
        </w:rPr>
      </w:pPr>
    </w:p>
    <w:p w14:paraId="576EAAFE" w14:textId="797E3ADB" w:rsidR="001B63C6" w:rsidRPr="00081855" w:rsidRDefault="001B63C6" w:rsidP="00AD5445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81855">
        <w:rPr>
          <w:rFonts w:cs="Arial"/>
          <w:sz w:val="20"/>
        </w:rPr>
        <w:t xml:space="preserve">Na nepremičnini </w:t>
      </w:r>
      <w:proofErr w:type="spellStart"/>
      <w:r w:rsidRPr="00081855">
        <w:rPr>
          <w:rFonts w:cs="Arial"/>
          <w:sz w:val="20"/>
        </w:rPr>
        <w:t>parc</w:t>
      </w:r>
      <w:proofErr w:type="spellEnd"/>
      <w:r w:rsidRPr="00081855">
        <w:rPr>
          <w:rFonts w:cs="Arial"/>
          <w:sz w:val="20"/>
        </w:rPr>
        <w:t>. št. *177</w:t>
      </w:r>
      <w:r w:rsidR="00CA6D56" w:rsidRPr="00081855">
        <w:rPr>
          <w:rFonts w:cs="Arial"/>
          <w:sz w:val="20"/>
        </w:rPr>
        <w:t>, k. o. 1397 Tržišče</w:t>
      </w:r>
      <w:r w:rsidRPr="00081855">
        <w:rPr>
          <w:rFonts w:cs="Arial"/>
          <w:sz w:val="20"/>
        </w:rPr>
        <w:t xml:space="preserve"> </w:t>
      </w:r>
      <w:r w:rsidR="00CD346D">
        <w:rPr>
          <w:rFonts w:cs="Arial"/>
          <w:sz w:val="20"/>
        </w:rPr>
        <w:t xml:space="preserve">po GURS </w:t>
      </w:r>
      <w:r w:rsidRPr="00081855">
        <w:rPr>
          <w:rFonts w:cs="Arial"/>
          <w:sz w:val="20"/>
        </w:rPr>
        <w:t xml:space="preserve">stoji </w:t>
      </w:r>
      <w:r w:rsidR="00CD346D">
        <w:rPr>
          <w:rFonts w:cs="Arial"/>
          <w:sz w:val="20"/>
        </w:rPr>
        <w:t xml:space="preserve">del </w:t>
      </w:r>
      <w:r w:rsidRPr="00081855">
        <w:rPr>
          <w:rFonts w:cs="Arial"/>
          <w:sz w:val="20"/>
        </w:rPr>
        <w:t>stavb</w:t>
      </w:r>
      <w:r w:rsidR="00CD346D">
        <w:rPr>
          <w:rFonts w:cs="Arial"/>
          <w:sz w:val="20"/>
        </w:rPr>
        <w:t>e</w:t>
      </w:r>
      <w:r w:rsidRPr="00081855">
        <w:rPr>
          <w:rFonts w:cs="Arial"/>
          <w:sz w:val="20"/>
        </w:rPr>
        <w:t xml:space="preserve"> št. </w:t>
      </w:r>
      <w:r w:rsidR="000276E6" w:rsidRPr="00081855">
        <w:rPr>
          <w:rFonts w:cs="Arial"/>
          <w:sz w:val="20"/>
        </w:rPr>
        <w:t xml:space="preserve">432 z enim delom in naslovom Vrhek 19, 8295 Tržišče, </w:t>
      </w:r>
      <w:r w:rsidR="00DC2654" w:rsidRPr="00081855">
        <w:rPr>
          <w:rFonts w:cs="Arial"/>
          <w:sz w:val="20"/>
        </w:rPr>
        <w:t>po</w:t>
      </w:r>
      <w:r w:rsidR="00CD346D">
        <w:rPr>
          <w:rFonts w:cs="Arial"/>
          <w:sz w:val="20"/>
        </w:rPr>
        <w:t xml:space="preserve"> </w:t>
      </w:r>
      <w:r w:rsidR="00DC2654" w:rsidRPr="00081855">
        <w:rPr>
          <w:rFonts w:cs="Arial"/>
          <w:sz w:val="20"/>
        </w:rPr>
        <w:t xml:space="preserve">GURS </w:t>
      </w:r>
      <w:r w:rsidR="000276E6" w:rsidRPr="00081855">
        <w:rPr>
          <w:rFonts w:cs="Arial"/>
          <w:sz w:val="20"/>
        </w:rPr>
        <w:t>dejanska raba dela stavbe – stanovanje v enostanovan</w:t>
      </w:r>
      <w:r w:rsidR="00DC2654" w:rsidRPr="00081855">
        <w:rPr>
          <w:rFonts w:cs="Arial"/>
          <w:sz w:val="20"/>
        </w:rPr>
        <w:t>j</w:t>
      </w:r>
      <w:r w:rsidR="000276E6" w:rsidRPr="00081855">
        <w:rPr>
          <w:rFonts w:cs="Arial"/>
          <w:sz w:val="20"/>
        </w:rPr>
        <w:t>ski stavbi</w:t>
      </w:r>
      <w:r w:rsidR="00DC2654" w:rsidRPr="00081855">
        <w:rPr>
          <w:rFonts w:cs="Arial"/>
          <w:sz w:val="20"/>
        </w:rPr>
        <w:t>, površina dela stavbe 45,7</w:t>
      </w:r>
      <w:r w:rsidR="00CD346D">
        <w:rPr>
          <w:rFonts w:cs="Arial"/>
          <w:sz w:val="20"/>
        </w:rPr>
        <w:t xml:space="preserve"> </w:t>
      </w:r>
      <w:r w:rsidR="00DC2654" w:rsidRPr="00081855">
        <w:rPr>
          <w:rFonts w:cs="Arial"/>
          <w:sz w:val="20"/>
        </w:rPr>
        <w:t>m², uporabna površina dela stavbe 23</w:t>
      </w:r>
      <w:r w:rsidR="00CD346D">
        <w:rPr>
          <w:rFonts w:cs="Arial"/>
          <w:sz w:val="20"/>
        </w:rPr>
        <w:t xml:space="preserve"> </w:t>
      </w:r>
      <w:r w:rsidR="00DC2654" w:rsidRPr="00081855">
        <w:rPr>
          <w:rFonts w:cs="Arial"/>
          <w:sz w:val="20"/>
        </w:rPr>
        <w:t xml:space="preserve">m², leto izgradnje 1850. </w:t>
      </w:r>
    </w:p>
    <w:p w14:paraId="5A40E426" w14:textId="77777777" w:rsidR="00CA6D56" w:rsidRPr="00081855" w:rsidRDefault="00CA6D56" w:rsidP="00AD544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DA47118" w14:textId="206AAABC" w:rsidR="00081855" w:rsidRPr="00081855" w:rsidRDefault="00CA6D56" w:rsidP="00AD5445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81855">
        <w:rPr>
          <w:rFonts w:cs="Arial"/>
          <w:sz w:val="20"/>
        </w:rPr>
        <w:t xml:space="preserve">Na </w:t>
      </w:r>
      <w:proofErr w:type="spellStart"/>
      <w:r w:rsidRPr="00081855">
        <w:rPr>
          <w:rFonts w:cs="Arial"/>
          <w:sz w:val="20"/>
        </w:rPr>
        <w:t>parc</w:t>
      </w:r>
      <w:proofErr w:type="spellEnd"/>
      <w:r w:rsidRPr="00081855">
        <w:rPr>
          <w:rFonts w:cs="Arial"/>
          <w:sz w:val="20"/>
        </w:rPr>
        <w:t xml:space="preserve">. št. 108/2, k. o. 1397 Tržišče </w:t>
      </w:r>
      <w:r w:rsidR="00CD346D">
        <w:rPr>
          <w:rFonts w:cs="Arial"/>
          <w:sz w:val="20"/>
        </w:rPr>
        <w:t xml:space="preserve">po GURS </w:t>
      </w:r>
      <w:r w:rsidRPr="00081855">
        <w:rPr>
          <w:rFonts w:cs="Arial"/>
          <w:sz w:val="20"/>
        </w:rPr>
        <w:t xml:space="preserve">stoji stavba št. 431- gospodarsko poslopje v izmeri 5,10 m² in št. 433 </w:t>
      </w:r>
      <w:r w:rsidR="00CD346D">
        <w:rPr>
          <w:rFonts w:cs="Arial"/>
          <w:sz w:val="20"/>
        </w:rPr>
        <w:t xml:space="preserve">- </w:t>
      </w:r>
      <w:r w:rsidRPr="00081855">
        <w:rPr>
          <w:rFonts w:cs="Arial"/>
          <w:sz w:val="20"/>
        </w:rPr>
        <w:t>gospodarsko poslopje v izmeri 17,10 m²</w:t>
      </w:r>
      <w:r w:rsidR="00CD346D">
        <w:rPr>
          <w:rFonts w:cs="Arial"/>
          <w:sz w:val="20"/>
        </w:rPr>
        <w:t xml:space="preserve"> in del stavbe št. 432.</w:t>
      </w:r>
    </w:p>
    <w:p w14:paraId="3B70AAF2" w14:textId="6C5AEBAA" w:rsidR="00081855" w:rsidRPr="00081855" w:rsidRDefault="00081855" w:rsidP="00AD544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70FCC38" w14:textId="4AA6C739" w:rsidR="00081855" w:rsidRDefault="00081855" w:rsidP="00AD5445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DA08B7">
        <w:rPr>
          <w:rFonts w:cs="Arial"/>
          <w:sz w:val="20"/>
          <w:u w:val="single"/>
        </w:rPr>
        <w:t>Objekti so v zelo slabem stanju, v fazi samo</w:t>
      </w:r>
      <w:r w:rsidR="003F188F">
        <w:rPr>
          <w:rFonts w:cs="Arial"/>
          <w:sz w:val="20"/>
          <w:u w:val="single"/>
        </w:rPr>
        <w:t xml:space="preserve"> </w:t>
      </w:r>
      <w:r w:rsidRPr="00DA08B7">
        <w:rPr>
          <w:rFonts w:cs="Arial"/>
          <w:sz w:val="20"/>
          <w:u w:val="single"/>
        </w:rPr>
        <w:t>rušitve</w:t>
      </w:r>
      <w:r w:rsidRPr="00081855">
        <w:rPr>
          <w:rFonts w:cs="Arial"/>
          <w:sz w:val="20"/>
        </w:rPr>
        <w:t>, zato skladno s šestim odstavkom 31. člena Zakona o učinkoviti rabi energije (Uradni list RS, št. 158/20) energetska izkaznica ni priložena.</w:t>
      </w:r>
    </w:p>
    <w:p w14:paraId="0C4E9695" w14:textId="3DF395A4" w:rsidR="00E36D52" w:rsidRDefault="00E36D52" w:rsidP="00AD544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239C835" w14:textId="12530DC0" w:rsidR="00E36D52" w:rsidRPr="007249F7" w:rsidRDefault="00E36D52" w:rsidP="00E36D52">
      <w:pPr>
        <w:autoSpaceDE w:val="0"/>
        <w:autoSpaceDN w:val="0"/>
        <w:adjustRightInd w:val="0"/>
        <w:jc w:val="both"/>
        <w:rPr>
          <w:rFonts w:cs="Arial"/>
          <w:sz w:val="20"/>
        </w:rPr>
      </w:pPr>
      <w:bookmarkStart w:id="2" w:name="_Hlk68794173"/>
      <w:r w:rsidRPr="007249F7">
        <w:rPr>
          <w:rFonts w:cs="Arial"/>
          <w:sz w:val="20"/>
        </w:rPr>
        <w:t>Skladno z določilom 118. člena Gradbenega zakona (</w:t>
      </w:r>
      <w:r w:rsidRPr="007249F7">
        <w:rPr>
          <w:sz w:val="20"/>
        </w:rPr>
        <w:t xml:space="preserve">Uradni list RS, št. </w:t>
      </w:r>
      <w:hyperlink r:id="rId8" w:tgtFrame="_blank" w:tooltip="Gradbeni zakon (GZ)" w:history="1">
        <w:r w:rsidRPr="007249F7">
          <w:rPr>
            <w:sz w:val="20"/>
          </w:rPr>
          <w:t>61/17</w:t>
        </w:r>
      </w:hyperlink>
      <w:r w:rsidRPr="007249F7">
        <w:rPr>
          <w:sz w:val="20"/>
        </w:rPr>
        <w:t xml:space="preserve">, </w:t>
      </w:r>
      <w:hyperlink r:id="rId9" w:tgtFrame="_blank" w:tooltip="Popravek Gradbenega zakona (GZ)" w:history="1">
        <w:r w:rsidRPr="007249F7">
          <w:rPr>
            <w:sz w:val="20"/>
          </w:rPr>
          <w:t xml:space="preserve">72/17 – </w:t>
        </w:r>
        <w:proofErr w:type="spellStart"/>
        <w:r w:rsidRPr="007249F7">
          <w:rPr>
            <w:sz w:val="20"/>
          </w:rPr>
          <w:t>popr</w:t>
        </w:r>
        <w:proofErr w:type="spellEnd"/>
        <w:r w:rsidRPr="007249F7">
          <w:rPr>
            <w:sz w:val="20"/>
          </w:rPr>
          <w:t>.</w:t>
        </w:r>
      </w:hyperlink>
      <w:r w:rsidRPr="007249F7">
        <w:rPr>
          <w:sz w:val="20"/>
        </w:rPr>
        <w:t xml:space="preserve">, </w:t>
      </w:r>
      <w:hyperlink r:id="rId10" w:tgtFrame="_blank" w:tooltip="Zakon o spremembi Gradbenega zakona" w:history="1">
        <w:r w:rsidRPr="007249F7">
          <w:rPr>
            <w:sz w:val="20"/>
          </w:rPr>
          <w:t>65/20</w:t>
        </w:r>
      </w:hyperlink>
      <w:r w:rsidRPr="007249F7">
        <w:rPr>
          <w:sz w:val="20"/>
        </w:rPr>
        <w:t xml:space="preserve"> in </w:t>
      </w:r>
      <w:hyperlink r:id="rId11" w:tgtFrame="_blank" w:tooltip="Zakon o dodatnih ukrepih za omilitev posledic COVID-19 " w:history="1">
        <w:r w:rsidRPr="007249F7">
          <w:rPr>
            <w:sz w:val="20"/>
          </w:rPr>
          <w:t>15/21</w:t>
        </w:r>
      </w:hyperlink>
      <w:r w:rsidRPr="007249F7">
        <w:rPr>
          <w:sz w:val="20"/>
        </w:rPr>
        <w:t xml:space="preserve"> – ZDUOP</w:t>
      </w:r>
      <w:r w:rsidRPr="007249F7">
        <w:rPr>
          <w:rFonts w:cs="Arial"/>
          <w:sz w:val="20"/>
        </w:rPr>
        <w:t>) se domneva, da imajo objekti, zgrajeni pred 1.</w:t>
      </w:r>
      <w:r>
        <w:rPr>
          <w:rFonts w:cs="Arial"/>
          <w:sz w:val="20"/>
        </w:rPr>
        <w:t xml:space="preserve"> </w:t>
      </w:r>
      <w:r w:rsidRPr="007249F7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Pr="007249F7">
        <w:rPr>
          <w:rFonts w:cs="Arial"/>
          <w:sz w:val="20"/>
        </w:rPr>
        <w:t xml:space="preserve">1968, gradbeno dovoljenje. Zahteva za izdajo odločbe, s katero bi </w:t>
      </w:r>
      <w:r>
        <w:rPr>
          <w:rFonts w:cs="Arial"/>
          <w:sz w:val="20"/>
        </w:rPr>
        <w:t>Upravna enota</w:t>
      </w:r>
      <w:r w:rsidRPr="007249F7">
        <w:rPr>
          <w:rFonts w:cs="Arial"/>
          <w:sz w:val="20"/>
        </w:rPr>
        <w:t xml:space="preserve"> potrdila citirano pravno domnevo</w:t>
      </w:r>
      <w:r>
        <w:rPr>
          <w:rFonts w:cs="Arial"/>
          <w:sz w:val="20"/>
        </w:rPr>
        <w:t xml:space="preserve">, </w:t>
      </w:r>
      <w:r w:rsidRPr="007249F7">
        <w:rPr>
          <w:rFonts w:cs="Arial"/>
          <w:sz w:val="20"/>
        </w:rPr>
        <w:t>še ni bila vložena.</w:t>
      </w:r>
    </w:p>
    <w:bookmarkEnd w:id="2"/>
    <w:p w14:paraId="3DC2678E" w14:textId="77777777" w:rsidR="00E36D52" w:rsidRDefault="00E36D52" w:rsidP="00E36D52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B79E3C0" w14:textId="7AA4E1E2" w:rsidR="00E36D52" w:rsidRPr="00E36D52" w:rsidRDefault="00E36D52" w:rsidP="00E36D52">
      <w:pPr>
        <w:autoSpaceDE w:val="0"/>
        <w:autoSpaceDN w:val="0"/>
        <w:adjustRightInd w:val="0"/>
        <w:rPr>
          <w:rFonts w:cs="Arial"/>
          <w:sz w:val="20"/>
          <w:lang w:eastAsia="sl-SI"/>
        </w:rPr>
      </w:pPr>
      <w:r w:rsidRPr="00E36D52">
        <w:rPr>
          <w:rFonts w:cs="Arial"/>
          <w:sz w:val="20"/>
          <w:lang w:eastAsia="sl-SI"/>
        </w:rPr>
        <w:t xml:space="preserve">Ker je manjši del </w:t>
      </w:r>
      <w:proofErr w:type="spellStart"/>
      <w:r w:rsidRPr="00E36D52">
        <w:rPr>
          <w:rFonts w:cs="Arial"/>
          <w:sz w:val="20"/>
          <w:lang w:eastAsia="sl-SI"/>
        </w:rPr>
        <w:t>parc</w:t>
      </w:r>
      <w:proofErr w:type="spellEnd"/>
      <w:r w:rsidRPr="00E36D52">
        <w:rPr>
          <w:rFonts w:cs="Arial"/>
          <w:sz w:val="20"/>
          <w:lang w:eastAsia="sl-SI"/>
        </w:rPr>
        <w:t xml:space="preserve">. št. 108/2, k. o. 1397 </w:t>
      </w:r>
      <w:r w:rsidR="00CD346D">
        <w:rPr>
          <w:rFonts w:cs="Arial"/>
          <w:sz w:val="20"/>
          <w:lang w:eastAsia="sl-SI"/>
        </w:rPr>
        <w:t>-</w:t>
      </w:r>
      <w:r w:rsidRPr="00E36D52">
        <w:rPr>
          <w:rFonts w:cs="Arial"/>
          <w:sz w:val="20"/>
          <w:lang w:eastAsia="sl-SI"/>
        </w:rPr>
        <w:t xml:space="preserve">Tržišče po namenski rabi kmetijsko zemljišče, je treba izvesti še postopek prodaje skladno z določili Zakona o kmetijskih zemljiščih. </w:t>
      </w:r>
    </w:p>
    <w:p w14:paraId="0A49374E" w14:textId="77777777" w:rsidR="00E36D52" w:rsidRPr="00E36D52" w:rsidRDefault="00E36D52" w:rsidP="00E36D52">
      <w:pPr>
        <w:autoSpaceDE w:val="0"/>
        <w:autoSpaceDN w:val="0"/>
        <w:adjustRightInd w:val="0"/>
        <w:rPr>
          <w:rFonts w:cs="Arial"/>
          <w:sz w:val="20"/>
          <w:highlight w:val="yellow"/>
          <w:lang w:eastAsia="sl-SI"/>
        </w:rPr>
      </w:pPr>
    </w:p>
    <w:p w14:paraId="309C381B" w14:textId="7A36AE2F" w:rsidR="00B65445" w:rsidRPr="00081855" w:rsidRDefault="00E36D52" w:rsidP="00AD5445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C</w:t>
      </w:r>
      <w:r w:rsidR="00B65445" w:rsidRPr="00081855">
        <w:rPr>
          <w:rFonts w:cs="Arial"/>
          <w:sz w:val="20"/>
        </w:rPr>
        <w:t xml:space="preserve">enilec je stavbno zemljišče glede na oddaljenost od objektov komunalne infrastrukture ocenil kot komunalno opremljeno. </w:t>
      </w:r>
      <w:r w:rsidR="00081855" w:rsidRPr="00081855">
        <w:rPr>
          <w:rFonts w:cs="Arial"/>
          <w:sz w:val="20"/>
        </w:rPr>
        <w:t xml:space="preserve">Po podatkih GURS </w:t>
      </w:r>
      <w:r w:rsidR="00CD346D">
        <w:rPr>
          <w:rFonts w:cs="Arial"/>
          <w:sz w:val="20"/>
        </w:rPr>
        <w:t xml:space="preserve">na stanovanjski stavbi </w:t>
      </w:r>
      <w:r w:rsidR="00081855" w:rsidRPr="00081855">
        <w:rPr>
          <w:rFonts w:cs="Arial"/>
          <w:sz w:val="20"/>
        </w:rPr>
        <w:t xml:space="preserve">obstoji električni in vodovodni priključek, ne obstoji pa kanalizacijski priključek. </w:t>
      </w:r>
    </w:p>
    <w:p w14:paraId="141CD3A1" w14:textId="77777777" w:rsidR="00CA6D56" w:rsidRPr="00081855" w:rsidRDefault="00CA6D56" w:rsidP="00AD544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bookmarkEnd w:id="0"/>
    <w:p w14:paraId="5206E030" w14:textId="6DC3E594" w:rsidR="000E56AC" w:rsidRPr="00081855" w:rsidRDefault="002E4EA1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81855">
        <w:rPr>
          <w:rFonts w:cs="Arial"/>
          <w:sz w:val="20"/>
        </w:rPr>
        <w:t>Nepremičnin</w:t>
      </w:r>
      <w:r w:rsidR="009311C4" w:rsidRPr="00081855">
        <w:rPr>
          <w:rFonts w:cs="Arial"/>
          <w:sz w:val="20"/>
        </w:rPr>
        <w:t xml:space="preserve">a je </w:t>
      </w:r>
      <w:r w:rsidR="00A14900" w:rsidRPr="00081855">
        <w:rPr>
          <w:rFonts w:cs="Arial"/>
          <w:sz w:val="20"/>
        </w:rPr>
        <w:t>zemljiškoknjižno urejena</w:t>
      </w:r>
      <w:r w:rsidR="00AD5AAE" w:rsidRPr="00081855">
        <w:rPr>
          <w:rFonts w:cs="Arial"/>
          <w:sz w:val="20"/>
        </w:rPr>
        <w:t>.</w:t>
      </w:r>
    </w:p>
    <w:p w14:paraId="217C86B2" w14:textId="41482704" w:rsidR="007B16C5" w:rsidRPr="00081855" w:rsidRDefault="007B16C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80DA1D1" w14:textId="7AB3E480" w:rsidR="007B16C5" w:rsidRPr="0073519F" w:rsidRDefault="00AD5AAE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D12556">
        <w:rPr>
          <w:rFonts w:cs="Arial"/>
          <w:sz w:val="20"/>
        </w:rPr>
        <w:t xml:space="preserve">Iz potrdila o namenski rabi zemljišč </w:t>
      </w:r>
      <w:r w:rsidRPr="00D63862">
        <w:rPr>
          <w:rFonts w:cs="Arial"/>
          <w:sz w:val="20"/>
        </w:rPr>
        <w:t>št. 3506-0014/2021-2 z dne 13. 1. 2021</w:t>
      </w:r>
      <w:r w:rsidR="00FF5E51" w:rsidRPr="0073519F">
        <w:rPr>
          <w:rFonts w:cs="Arial"/>
          <w:sz w:val="20"/>
        </w:rPr>
        <w:t xml:space="preserve"> </w:t>
      </w:r>
      <w:r w:rsidR="0073519F" w:rsidRPr="0073519F">
        <w:rPr>
          <w:rFonts w:cs="Arial"/>
          <w:sz w:val="20"/>
        </w:rPr>
        <w:t xml:space="preserve">izhaja, </w:t>
      </w:r>
      <w:r w:rsidR="00FF5E51" w:rsidRPr="0073519F">
        <w:rPr>
          <w:rFonts w:cs="Arial"/>
          <w:sz w:val="20"/>
        </w:rPr>
        <w:t>da na nepremičnini obstoji predkupna pravica Občine Sevnica</w:t>
      </w:r>
      <w:r w:rsidR="00680CF9">
        <w:rPr>
          <w:rFonts w:cs="Arial"/>
          <w:sz w:val="20"/>
        </w:rPr>
        <w:t>.</w:t>
      </w:r>
      <w:r w:rsidR="00C63A0F">
        <w:rPr>
          <w:rFonts w:cs="Arial"/>
          <w:sz w:val="20"/>
        </w:rPr>
        <w:t xml:space="preserve"> </w:t>
      </w:r>
    </w:p>
    <w:p w14:paraId="6CD36009" w14:textId="77777777" w:rsidR="00013EAB" w:rsidRPr="00081855" w:rsidRDefault="00013EAB" w:rsidP="00013EAB">
      <w:pPr>
        <w:autoSpaceDE w:val="0"/>
        <w:autoSpaceDN w:val="0"/>
        <w:adjustRightInd w:val="0"/>
        <w:jc w:val="both"/>
        <w:rPr>
          <w:rFonts w:cs="Arial"/>
          <w:sz w:val="20"/>
          <w:highlight w:val="magenta"/>
        </w:rPr>
      </w:pPr>
      <w:r w:rsidRPr="00081855">
        <w:rPr>
          <w:rFonts w:cs="Arial"/>
          <w:sz w:val="20"/>
          <w:highlight w:val="magenta"/>
        </w:rPr>
        <w:t xml:space="preserve"> </w:t>
      </w:r>
    </w:p>
    <w:p w14:paraId="2DBE2706" w14:textId="5B4C93A5" w:rsidR="00E44C83" w:rsidRPr="00081855" w:rsidRDefault="00F23FF3" w:rsidP="00E44C83">
      <w:pPr>
        <w:jc w:val="both"/>
        <w:rPr>
          <w:rFonts w:cs="Arial"/>
          <w:b/>
          <w:sz w:val="20"/>
          <w:u w:val="single"/>
        </w:rPr>
      </w:pPr>
      <w:r w:rsidRPr="00081855">
        <w:rPr>
          <w:rFonts w:cs="Arial"/>
          <w:b/>
          <w:sz w:val="20"/>
          <w:u w:val="single"/>
        </w:rPr>
        <w:t>3</w:t>
      </w:r>
      <w:r w:rsidR="00227465" w:rsidRPr="00081855">
        <w:rPr>
          <w:rFonts w:cs="Arial"/>
          <w:b/>
          <w:sz w:val="20"/>
          <w:u w:val="single"/>
        </w:rPr>
        <w:t xml:space="preserve">. </w:t>
      </w:r>
      <w:r w:rsidR="00E44C83" w:rsidRPr="00081855">
        <w:rPr>
          <w:rFonts w:cs="Arial"/>
          <w:b/>
          <w:sz w:val="20"/>
          <w:u w:val="single"/>
        </w:rPr>
        <w:t>Vrsta pra</w:t>
      </w:r>
      <w:r w:rsidR="004B6175" w:rsidRPr="00081855">
        <w:rPr>
          <w:rFonts w:cs="Arial"/>
          <w:b/>
          <w:sz w:val="20"/>
          <w:u w:val="single"/>
        </w:rPr>
        <w:t>vnega posla</w:t>
      </w:r>
      <w:r w:rsidR="001B5274" w:rsidRPr="00081855">
        <w:rPr>
          <w:rFonts w:cs="Arial"/>
          <w:b/>
          <w:sz w:val="20"/>
          <w:u w:val="single"/>
        </w:rPr>
        <w:t xml:space="preserve"> in sklenitev pogodbe</w:t>
      </w:r>
      <w:r w:rsidR="00E44C83" w:rsidRPr="00081855">
        <w:rPr>
          <w:rFonts w:cs="Arial"/>
          <w:b/>
          <w:sz w:val="20"/>
          <w:u w:val="single"/>
        </w:rPr>
        <w:t xml:space="preserve"> </w:t>
      </w:r>
    </w:p>
    <w:p w14:paraId="72EBCD92" w14:textId="77777777" w:rsidR="00871E0C" w:rsidRPr="00081855" w:rsidRDefault="00046187" w:rsidP="00542CD4">
      <w:pPr>
        <w:ind w:right="-54"/>
        <w:jc w:val="both"/>
        <w:rPr>
          <w:rFonts w:cs="Arial"/>
          <w:sz w:val="20"/>
        </w:rPr>
      </w:pPr>
      <w:r w:rsidRPr="00081855">
        <w:rPr>
          <w:rFonts w:cs="Arial"/>
          <w:sz w:val="20"/>
        </w:rPr>
        <w:t>Prodaja nepremičnin</w:t>
      </w:r>
      <w:r w:rsidR="004012F9" w:rsidRPr="00081855">
        <w:rPr>
          <w:rFonts w:cs="Arial"/>
          <w:sz w:val="20"/>
        </w:rPr>
        <w:t>e</w:t>
      </w:r>
      <w:r w:rsidR="00F23FF3" w:rsidRPr="00081855">
        <w:rPr>
          <w:rFonts w:cs="Arial"/>
          <w:sz w:val="20"/>
        </w:rPr>
        <w:t xml:space="preserve"> po metodi neposredne pogodbe</w:t>
      </w:r>
      <w:r w:rsidR="00542CD4" w:rsidRPr="00081855">
        <w:rPr>
          <w:rFonts w:cs="Arial"/>
          <w:sz w:val="20"/>
        </w:rPr>
        <w:t xml:space="preserve">. Pogodba mora biti sklenjena v roku 15 dni po </w:t>
      </w:r>
      <w:r w:rsidR="001B5274" w:rsidRPr="00081855">
        <w:rPr>
          <w:rFonts w:cs="Arial"/>
          <w:sz w:val="20"/>
        </w:rPr>
        <w:t xml:space="preserve">pozivu organizatorja </w:t>
      </w:r>
      <w:r w:rsidR="00F23FF3" w:rsidRPr="00081855">
        <w:rPr>
          <w:rFonts w:cs="Arial"/>
          <w:sz w:val="20"/>
        </w:rPr>
        <w:t>postopka prodaje</w:t>
      </w:r>
      <w:r w:rsidR="00F05E5B" w:rsidRPr="00081855">
        <w:rPr>
          <w:rFonts w:cs="Arial"/>
          <w:sz w:val="20"/>
        </w:rPr>
        <w:t>.</w:t>
      </w:r>
      <w:r w:rsidR="001B5274" w:rsidRPr="00081855">
        <w:rPr>
          <w:rFonts w:cs="Arial"/>
          <w:sz w:val="20"/>
        </w:rPr>
        <w:t xml:space="preserve"> </w:t>
      </w:r>
      <w:r w:rsidR="00380DD6" w:rsidRPr="00081855">
        <w:rPr>
          <w:rFonts w:cs="Arial"/>
          <w:sz w:val="20"/>
        </w:rPr>
        <w:t>V kolikor pog</w:t>
      </w:r>
      <w:r w:rsidR="00F23FF3" w:rsidRPr="00081855">
        <w:rPr>
          <w:rFonts w:cs="Arial"/>
          <w:sz w:val="20"/>
        </w:rPr>
        <w:t xml:space="preserve">odba ni sklenjena v danem roku lahko </w:t>
      </w:r>
      <w:r w:rsidR="00380DD6" w:rsidRPr="00081855">
        <w:rPr>
          <w:rFonts w:cs="Arial"/>
          <w:sz w:val="20"/>
        </w:rPr>
        <w:t xml:space="preserve">organizator </w:t>
      </w:r>
      <w:r w:rsidR="00670515" w:rsidRPr="00081855">
        <w:rPr>
          <w:rFonts w:cs="Arial"/>
          <w:sz w:val="20"/>
        </w:rPr>
        <w:t xml:space="preserve">odstopi </w:t>
      </w:r>
      <w:r w:rsidR="00380DD6" w:rsidRPr="00081855">
        <w:rPr>
          <w:rFonts w:cs="Arial"/>
          <w:sz w:val="20"/>
        </w:rPr>
        <w:t xml:space="preserve">od sklenitve posla. </w:t>
      </w:r>
    </w:p>
    <w:p w14:paraId="653535D8" w14:textId="5A65C152" w:rsidR="00D254EB" w:rsidRPr="00081855" w:rsidRDefault="00D254EB" w:rsidP="00542CD4">
      <w:pPr>
        <w:ind w:right="-54"/>
        <w:jc w:val="both"/>
        <w:rPr>
          <w:rFonts w:cs="Arial"/>
          <w:sz w:val="20"/>
        </w:rPr>
      </w:pPr>
    </w:p>
    <w:p w14:paraId="0CB65324" w14:textId="77777777" w:rsidR="00E21A58" w:rsidRPr="00081855" w:rsidRDefault="00E21A58" w:rsidP="00542CD4">
      <w:pPr>
        <w:ind w:right="-54"/>
        <w:jc w:val="both"/>
        <w:rPr>
          <w:rFonts w:cs="Arial"/>
          <w:sz w:val="20"/>
        </w:rPr>
      </w:pPr>
    </w:p>
    <w:p w14:paraId="455F7AE2" w14:textId="77777777" w:rsidR="00E44C83" w:rsidRPr="00081855" w:rsidRDefault="00670515" w:rsidP="00E44C83">
      <w:pPr>
        <w:jc w:val="both"/>
        <w:rPr>
          <w:rFonts w:cs="Arial"/>
          <w:b/>
          <w:sz w:val="20"/>
          <w:u w:val="single"/>
        </w:rPr>
      </w:pPr>
      <w:r w:rsidRPr="00081855">
        <w:rPr>
          <w:rFonts w:cs="Arial"/>
          <w:b/>
          <w:sz w:val="20"/>
          <w:u w:val="single"/>
        </w:rPr>
        <w:t>4</w:t>
      </w:r>
      <w:r w:rsidR="00F54FF9" w:rsidRPr="00081855">
        <w:rPr>
          <w:rFonts w:cs="Arial"/>
          <w:b/>
          <w:sz w:val="20"/>
          <w:u w:val="single"/>
        </w:rPr>
        <w:t>. N</w:t>
      </w:r>
      <w:r w:rsidR="00B84BCF" w:rsidRPr="00081855">
        <w:rPr>
          <w:rFonts w:cs="Arial"/>
          <w:b/>
          <w:sz w:val="20"/>
          <w:u w:val="single"/>
        </w:rPr>
        <w:t>ajnižja ponudbena cena</w:t>
      </w:r>
    </w:p>
    <w:p w14:paraId="7AF9FAA7" w14:textId="2A67A889" w:rsidR="00487560" w:rsidRPr="00081855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81855">
        <w:rPr>
          <w:rFonts w:cs="Arial"/>
          <w:sz w:val="20"/>
        </w:rPr>
        <w:t>Ponudbe</w:t>
      </w:r>
      <w:bookmarkStart w:id="3" w:name="_Hlk514331226"/>
      <w:r w:rsidR="00F23FF3" w:rsidRPr="00081855">
        <w:rPr>
          <w:rFonts w:cs="Arial"/>
          <w:sz w:val="20"/>
        </w:rPr>
        <w:t>na cena za</w:t>
      </w:r>
      <w:r w:rsidR="00D63FBD" w:rsidRPr="00081855">
        <w:rPr>
          <w:rFonts w:cs="Arial"/>
          <w:sz w:val="20"/>
        </w:rPr>
        <w:t xml:space="preserve"> </w:t>
      </w:r>
      <w:r w:rsidR="007B0F27" w:rsidRPr="00081855">
        <w:rPr>
          <w:rFonts w:cs="Arial"/>
          <w:sz w:val="20"/>
        </w:rPr>
        <w:t>nepremičnin</w:t>
      </w:r>
      <w:r w:rsidR="00433C21" w:rsidRPr="00081855">
        <w:rPr>
          <w:rFonts w:cs="Arial"/>
          <w:sz w:val="20"/>
        </w:rPr>
        <w:t>i</w:t>
      </w:r>
      <w:r w:rsidR="00380212" w:rsidRPr="00081855">
        <w:rPr>
          <w:rFonts w:cs="Arial"/>
          <w:sz w:val="20"/>
        </w:rPr>
        <w:t xml:space="preserve">, </w:t>
      </w:r>
      <w:proofErr w:type="spellStart"/>
      <w:r w:rsidR="00380212" w:rsidRPr="00081855">
        <w:rPr>
          <w:rFonts w:cs="Arial"/>
          <w:sz w:val="20"/>
        </w:rPr>
        <w:t>parc</w:t>
      </w:r>
      <w:proofErr w:type="spellEnd"/>
      <w:r w:rsidR="00380212" w:rsidRPr="00081855">
        <w:rPr>
          <w:rFonts w:cs="Arial"/>
          <w:sz w:val="20"/>
        </w:rPr>
        <w:t xml:space="preserve">. št. </w:t>
      </w:r>
      <w:r w:rsidR="00433C21" w:rsidRPr="00081855">
        <w:rPr>
          <w:rFonts w:cs="Arial"/>
          <w:sz w:val="20"/>
        </w:rPr>
        <w:t>*177 in 108/2, obe k. o. 1397</w:t>
      </w:r>
      <w:r w:rsidR="00C63A0F">
        <w:rPr>
          <w:rFonts w:cs="Arial"/>
          <w:sz w:val="20"/>
        </w:rPr>
        <w:t>-</w:t>
      </w:r>
      <w:r w:rsidR="00433C21" w:rsidRPr="00081855">
        <w:rPr>
          <w:rFonts w:cs="Arial"/>
          <w:sz w:val="20"/>
        </w:rPr>
        <w:t>Tržišče, obe do 1/1 znaša</w:t>
      </w:r>
      <w:r w:rsidR="00C63A0F">
        <w:rPr>
          <w:rFonts w:cs="Arial"/>
          <w:sz w:val="20"/>
        </w:rPr>
        <w:t>:</w:t>
      </w:r>
    </w:p>
    <w:p w14:paraId="3D2FE68D" w14:textId="77777777" w:rsidR="00487560" w:rsidRPr="00081855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081855" w14:paraId="1E0D74B0" w14:textId="77777777" w:rsidTr="00CE6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AC8BAE" w14:textId="77777777" w:rsidR="00487560" w:rsidRPr="00081855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081855">
              <w:rPr>
                <w:rFonts w:cs="Arial"/>
                <w:sz w:val="20"/>
              </w:rPr>
              <w:t>parcela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7797F6" w14:textId="77777777" w:rsidR="00487560" w:rsidRPr="00081855" w:rsidRDefault="00487560" w:rsidP="00CC619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081855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081855" w14:paraId="70E60EBE" w14:textId="77777777" w:rsidTr="00D25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vAlign w:val="center"/>
          </w:tcPr>
          <w:p w14:paraId="05423FE2" w14:textId="6DD6AEB7" w:rsidR="00487560" w:rsidRPr="00081855" w:rsidRDefault="00037EF1" w:rsidP="00D254EB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1365CC" w:rsidRPr="00081855">
              <w:rPr>
                <w:rFonts w:cs="Arial"/>
                <w:sz w:val="20"/>
              </w:rPr>
              <w:t xml:space="preserve">arcela </w:t>
            </w:r>
            <w:r>
              <w:rPr>
                <w:rFonts w:cs="Arial"/>
                <w:sz w:val="20"/>
              </w:rPr>
              <w:t>1397 *177 in parcela 1397 108/2, obe do 1/1</w:t>
            </w:r>
          </w:p>
        </w:tc>
        <w:tc>
          <w:tcPr>
            <w:tcW w:w="4378" w:type="dxa"/>
            <w:vAlign w:val="center"/>
          </w:tcPr>
          <w:p w14:paraId="59998091" w14:textId="244EEF2B" w:rsidR="00487560" w:rsidRPr="00081855" w:rsidRDefault="00CE24A2" w:rsidP="009F7C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  <w:r w:rsidR="00433C21" w:rsidRPr="00081855">
              <w:rPr>
                <w:rFonts w:cs="Arial"/>
                <w:b/>
                <w:sz w:val="20"/>
              </w:rPr>
              <w:t>.000,00</w:t>
            </w:r>
            <w:r w:rsidR="00AB38CE" w:rsidRPr="00081855">
              <w:rPr>
                <w:rFonts w:cs="Arial"/>
                <w:b/>
                <w:sz w:val="20"/>
              </w:rPr>
              <w:t xml:space="preserve"> EUR</w:t>
            </w:r>
          </w:p>
        </w:tc>
      </w:tr>
    </w:tbl>
    <w:p w14:paraId="44D08795" w14:textId="77777777" w:rsidR="00487560" w:rsidRPr="00081855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3"/>
    <w:p w14:paraId="5C820D87" w14:textId="7B2C0367" w:rsidR="005714FD" w:rsidRPr="00081855" w:rsidRDefault="005714FD" w:rsidP="005714F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81855">
        <w:rPr>
          <w:rFonts w:cs="Arial"/>
          <w:sz w:val="20"/>
        </w:rPr>
        <w:t xml:space="preserve">Najugodnejši ponudnik plača na ponujeno ceno še 2% davek na </w:t>
      </w:r>
      <w:r w:rsidR="00433C21" w:rsidRPr="00081855">
        <w:rPr>
          <w:rFonts w:cs="Arial"/>
          <w:sz w:val="20"/>
        </w:rPr>
        <w:t>promet nepremičnin.</w:t>
      </w:r>
    </w:p>
    <w:p w14:paraId="044DE424" w14:textId="77777777" w:rsidR="005714FD" w:rsidRPr="00081855" w:rsidRDefault="005714FD" w:rsidP="005714FD">
      <w:pPr>
        <w:jc w:val="both"/>
        <w:rPr>
          <w:rFonts w:cs="Arial"/>
          <w:sz w:val="20"/>
          <w:lang w:eastAsia="sl-SI"/>
        </w:rPr>
      </w:pPr>
      <w:r w:rsidRPr="00081855">
        <w:rPr>
          <w:rFonts w:cs="Arial"/>
          <w:sz w:val="20"/>
          <w:lang w:eastAsia="sl-SI"/>
        </w:rPr>
        <w:t>Ponudba se odda na obrazcu z vsebino iz priloge 1 te objave.</w:t>
      </w:r>
    </w:p>
    <w:p w14:paraId="4F108F1F" w14:textId="77777777" w:rsidR="00901097" w:rsidRPr="00081855" w:rsidRDefault="00901097" w:rsidP="00E44C83">
      <w:pPr>
        <w:jc w:val="both"/>
        <w:rPr>
          <w:rFonts w:cs="Arial"/>
          <w:b/>
          <w:sz w:val="20"/>
          <w:highlight w:val="magenta"/>
          <w:u w:val="single"/>
        </w:rPr>
      </w:pPr>
    </w:p>
    <w:p w14:paraId="37D3E390" w14:textId="7A209567" w:rsidR="00E44C83" w:rsidRPr="00081855" w:rsidRDefault="00670515" w:rsidP="00E44C83">
      <w:pPr>
        <w:jc w:val="both"/>
        <w:rPr>
          <w:rFonts w:cs="Arial"/>
          <w:b/>
          <w:sz w:val="20"/>
          <w:u w:val="single"/>
        </w:rPr>
      </w:pPr>
      <w:r w:rsidRPr="00081855">
        <w:rPr>
          <w:rFonts w:cs="Arial"/>
          <w:b/>
          <w:sz w:val="20"/>
          <w:u w:val="single"/>
        </w:rPr>
        <w:t>5</w:t>
      </w:r>
      <w:r w:rsidR="004B6175" w:rsidRPr="00081855">
        <w:rPr>
          <w:rFonts w:cs="Arial"/>
          <w:b/>
          <w:sz w:val="20"/>
          <w:u w:val="single"/>
        </w:rPr>
        <w:t>. Način in rok plačila kupnine</w:t>
      </w:r>
    </w:p>
    <w:p w14:paraId="56CDE959" w14:textId="77777777" w:rsidR="00E44C83" w:rsidRPr="00081855" w:rsidRDefault="00E44C83" w:rsidP="00E44C83">
      <w:pPr>
        <w:jc w:val="both"/>
        <w:rPr>
          <w:rFonts w:cs="Arial"/>
          <w:sz w:val="20"/>
        </w:rPr>
      </w:pPr>
      <w:r w:rsidRPr="00081855">
        <w:rPr>
          <w:rFonts w:cs="Arial"/>
          <w:sz w:val="20"/>
        </w:rPr>
        <w:t xml:space="preserve">Kupnina se plača </w:t>
      </w:r>
      <w:r w:rsidR="00984ECE" w:rsidRPr="00081855">
        <w:rPr>
          <w:rFonts w:cs="Arial"/>
          <w:sz w:val="20"/>
        </w:rPr>
        <w:t xml:space="preserve">v </w:t>
      </w:r>
      <w:r w:rsidR="00BB7214" w:rsidRPr="00081855">
        <w:rPr>
          <w:rFonts w:cs="Arial"/>
          <w:sz w:val="20"/>
        </w:rPr>
        <w:t>30</w:t>
      </w:r>
      <w:r w:rsidR="00542CD4" w:rsidRPr="00081855">
        <w:rPr>
          <w:rFonts w:cs="Arial"/>
          <w:sz w:val="20"/>
        </w:rPr>
        <w:t>-ih</w:t>
      </w:r>
      <w:r w:rsidRPr="00081855">
        <w:rPr>
          <w:rFonts w:cs="Arial"/>
          <w:sz w:val="20"/>
        </w:rPr>
        <w:t xml:space="preserve"> dneh po sklenitvi pogodbe. </w:t>
      </w:r>
    </w:p>
    <w:p w14:paraId="347DD399" w14:textId="77777777" w:rsidR="001B5146" w:rsidRPr="00081855" w:rsidRDefault="001B5146" w:rsidP="00E44C83">
      <w:pPr>
        <w:jc w:val="both"/>
        <w:rPr>
          <w:rFonts w:cs="Arial"/>
          <w:sz w:val="20"/>
        </w:rPr>
      </w:pPr>
    </w:p>
    <w:p w14:paraId="5A2B6D5F" w14:textId="77777777" w:rsidR="00E44C83" w:rsidRPr="00081855" w:rsidRDefault="00E44C83" w:rsidP="00E44C83">
      <w:pPr>
        <w:jc w:val="both"/>
        <w:rPr>
          <w:rFonts w:cs="Arial"/>
          <w:sz w:val="20"/>
          <w:u w:val="single"/>
        </w:rPr>
      </w:pPr>
      <w:r w:rsidRPr="00081855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081855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081855">
        <w:rPr>
          <w:rFonts w:cs="Arial"/>
          <w:sz w:val="20"/>
          <w:u w:val="single"/>
        </w:rPr>
        <w:t>sel za razvezan po samem zakonu</w:t>
      </w:r>
      <w:r w:rsidR="00380DD6" w:rsidRPr="00081855">
        <w:rPr>
          <w:rFonts w:cs="Arial"/>
          <w:sz w:val="20"/>
          <w:u w:val="single"/>
        </w:rPr>
        <w:t>.</w:t>
      </w:r>
    </w:p>
    <w:p w14:paraId="4F0FB8B7" w14:textId="77777777" w:rsidR="00C77797" w:rsidRPr="00081855" w:rsidRDefault="00C77797" w:rsidP="00E44C83">
      <w:pPr>
        <w:jc w:val="both"/>
        <w:rPr>
          <w:rFonts w:cs="Arial"/>
          <w:sz w:val="20"/>
          <w:u w:val="single"/>
        </w:rPr>
      </w:pPr>
    </w:p>
    <w:p w14:paraId="292E3134" w14:textId="77777777" w:rsidR="00380212" w:rsidRPr="00081855" w:rsidRDefault="00380212" w:rsidP="00E44C83">
      <w:pPr>
        <w:jc w:val="both"/>
        <w:rPr>
          <w:rFonts w:cs="Arial"/>
          <w:sz w:val="20"/>
          <w:highlight w:val="magenta"/>
          <w:u w:val="single"/>
        </w:rPr>
      </w:pPr>
    </w:p>
    <w:p w14:paraId="6C2260DE" w14:textId="77777777" w:rsidR="004F5EA4" w:rsidRPr="00081855" w:rsidRDefault="00670515" w:rsidP="00380212">
      <w:pPr>
        <w:jc w:val="both"/>
        <w:rPr>
          <w:rFonts w:cs="Arial"/>
          <w:b/>
          <w:sz w:val="20"/>
          <w:u w:val="single"/>
        </w:rPr>
      </w:pPr>
      <w:r w:rsidRPr="00081855">
        <w:rPr>
          <w:rFonts w:cs="Arial"/>
          <w:b/>
          <w:sz w:val="20"/>
          <w:u w:val="single"/>
        </w:rPr>
        <w:t>6</w:t>
      </w:r>
      <w:r w:rsidR="00E44C83" w:rsidRPr="00081855">
        <w:rPr>
          <w:rFonts w:cs="Arial"/>
          <w:b/>
          <w:sz w:val="20"/>
          <w:u w:val="single"/>
        </w:rPr>
        <w:t>.</w:t>
      </w:r>
      <w:r w:rsidR="004B6175" w:rsidRPr="00081855">
        <w:rPr>
          <w:rFonts w:cs="Arial"/>
          <w:b/>
          <w:sz w:val="20"/>
          <w:u w:val="single"/>
        </w:rPr>
        <w:t xml:space="preserve"> </w:t>
      </w:r>
      <w:r w:rsidR="00B84BCF" w:rsidRPr="00081855">
        <w:rPr>
          <w:rFonts w:cs="Arial"/>
          <w:b/>
          <w:sz w:val="20"/>
          <w:u w:val="single"/>
        </w:rPr>
        <w:t xml:space="preserve">Sklenitev pogodbe </w:t>
      </w:r>
    </w:p>
    <w:p w14:paraId="7DEB21B3" w14:textId="77777777" w:rsidR="004F5EA4" w:rsidRPr="00081855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081855">
        <w:rPr>
          <w:rFonts w:cs="Arial"/>
          <w:sz w:val="20"/>
          <w:lang w:eastAsia="sl-SI"/>
        </w:rPr>
        <w:t xml:space="preserve">V kolikor bo v roku prispelo </w:t>
      </w:r>
      <w:r w:rsidR="009977DA" w:rsidRPr="00081855">
        <w:rPr>
          <w:rFonts w:cs="Arial"/>
          <w:sz w:val="20"/>
          <w:lang w:eastAsia="sl-SI"/>
        </w:rPr>
        <w:t>več</w:t>
      </w:r>
      <w:r w:rsidRPr="00081855">
        <w:rPr>
          <w:rFonts w:cs="Arial"/>
          <w:sz w:val="20"/>
          <w:lang w:eastAsia="sl-SI"/>
        </w:rPr>
        <w:t xml:space="preserve"> ponudb, </w:t>
      </w:r>
      <w:r w:rsidR="009977DA" w:rsidRPr="00081855">
        <w:rPr>
          <w:rFonts w:cs="Arial"/>
          <w:sz w:val="20"/>
          <w:lang w:eastAsia="sl-SI"/>
        </w:rPr>
        <w:t>se bodo organizirala dodatna pogajanja o ceni in o drugih pogojih pravnega posla.</w:t>
      </w:r>
      <w:r w:rsidRPr="00081855">
        <w:rPr>
          <w:rFonts w:cs="Arial"/>
          <w:sz w:val="20"/>
          <w:lang w:eastAsia="sl-SI"/>
        </w:rPr>
        <w:t xml:space="preserve"> </w:t>
      </w:r>
    </w:p>
    <w:p w14:paraId="4078D660" w14:textId="77777777" w:rsidR="00074954" w:rsidRPr="00081855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magenta"/>
          <w:lang w:eastAsia="sl-SI"/>
        </w:rPr>
      </w:pPr>
    </w:p>
    <w:p w14:paraId="5C907F45" w14:textId="77777777" w:rsidR="00B84BCF" w:rsidRPr="00081855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081855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2E6F5867" w14:textId="77777777" w:rsidR="00B84BCF" w:rsidRPr="00081855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0B4A383D" w14:textId="77777777" w:rsidR="00E36D52" w:rsidRPr="00E36D52" w:rsidRDefault="00E36D52" w:rsidP="00E36D52">
      <w:pPr>
        <w:jc w:val="both"/>
        <w:rPr>
          <w:rFonts w:cs="Arial"/>
          <w:sz w:val="20"/>
        </w:rPr>
      </w:pPr>
      <w:r w:rsidRPr="00E36D52">
        <w:rPr>
          <w:rFonts w:cs="Arial"/>
          <w:sz w:val="20"/>
        </w:rPr>
        <w:t xml:space="preserve">Pogodba bo sklenjena s tistim ponudnikom, ki bo ponudil najvišjo odkupno ceno ob pogoju da: </w:t>
      </w:r>
    </w:p>
    <w:p w14:paraId="395C2406" w14:textId="6AEFBC3B" w:rsidR="00E36D52" w:rsidRPr="00E36D52" w:rsidRDefault="00E36D52" w:rsidP="00E36D52">
      <w:pPr>
        <w:pStyle w:val="Odstavekseznama"/>
        <w:numPr>
          <w:ilvl w:val="0"/>
          <w:numId w:val="25"/>
        </w:numPr>
        <w:jc w:val="both"/>
        <w:rPr>
          <w:rFonts w:cs="Arial"/>
          <w:sz w:val="20"/>
          <w:lang w:eastAsia="sl-SI"/>
        </w:rPr>
      </w:pPr>
      <w:r w:rsidRPr="00E36D52">
        <w:rPr>
          <w:rFonts w:cs="Arial"/>
          <w:sz w:val="20"/>
        </w:rPr>
        <w:t>predkupni upravičenec, Občina Sevnica, ne bo uveljavljal</w:t>
      </w:r>
      <w:r w:rsidR="00680CF9">
        <w:rPr>
          <w:rFonts w:cs="Arial"/>
          <w:sz w:val="20"/>
        </w:rPr>
        <w:t>a</w:t>
      </w:r>
      <w:r w:rsidRPr="00E36D52">
        <w:rPr>
          <w:rFonts w:cs="Arial"/>
          <w:sz w:val="20"/>
        </w:rPr>
        <w:t xml:space="preserve"> predkupne pravice in</w:t>
      </w:r>
    </w:p>
    <w:p w14:paraId="1EDEC5EF" w14:textId="77777777" w:rsidR="00E36D52" w:rsidRPr="00E36D52" w:rsidRDefault="00E36D52" w:rsidP="00E36D52">
      <w:pPr>
        <w:pStyle w:val="Odstavekseznama"/>
        <w:numPr>
          <w:ilvl w:val="0"/>
          <w:numId w:val="25"/>
        </w:numPr>
        <w:jc w:val="both"/>
        <w:rPr>
          <w:rFonts w:cs="Arial"/>
          <w:sz w:val="20"/>
          <w:lang w:eastAsia="sl-SI"/>
        </w:rPr>
      </w:pPr>
      <w:r w:rsidRPr="00E36D52">
        <w:rPr>
          <w:rFonts w:cs="Arial"/>
          <w:sz w:val="20"/>
        </w:rPr>
        <w:t xml:space="preserve">da bo ponudnik, ki bo ponudil najvišjo odkupno ceno uspešen tudi v postopku </w:t>
      </w:r>
      <w:r w:rsidRPr="00E36D52">
        <w:rPr>
          <w:rFonts w:cs="Arial"/>
          <w:sz w:val="20"/>
          <w:lang w:eastAsia="sl-SI"/>
        </w:rPr>
        <w:t xml:space="preserve">prodaje po določilih Zakona o kmetijskih zemljiščih. </w:t>
      </w:r>
    </w:p>
    <w:p w14:paraId="49743CB8" w14:textId="77777777" w:rsidR="00E36D52" w:rsidRDefault="00E36D52" w:rsidP="004F5EA4">
      <w:pPr>
        <w:jc w:val="both"/>
        <w:rPr>
          <w:rFonts w:cs="Arial"/>
          <w:sz w:val="20"/>
        </w:rPr>
      </w:pPr>
    </w:p>
    <w:p w14:paraId="009F3533" w14:textId="29EECE7C" w:rsidR="004F5EA4" w:rsidRPr="00081855" w:rsidRDefault="004F5EA4" w:rsidP="004F5EA4">
      <w:pPr>
        <w:jc w:val="both"/>
        <w:rPr>
          <w:rFonts w:cs="Arial"/>
          <w:sz w:val="20"/>
        </w:rPr>
      </w:pPr>
      <w:r w:rsidRPr="00081855">
        <w:rPr>
          <w:rFonts w:cs="Arial"/>
          <w:sz w:val="20"/>
        </w:rPr>
        <w:t>Vse stroške v zvezi s prenosom lastništva (overitve, takse, vpis v zemljiško knjigo in drugo) plača kupec.</w:t>
      </w:r>
    </w:p>
    <w:p w14:paraId="76C88778" w14:textId="77777777" w:rsidR="00B84BCF" w:rsidRPr="00081855" w:rsidRDefault="00B84BCF" w:rsidP="00B84BCF">
      <w:pPr>
        <w:spacing w:line="260" w:lineRule="exact"/>
        <w:jc w:val="both"/>
        <w:rPr>
          <w:rFonts w:cs="Arial"/>
          <w:sz w:val="20"/>
          <w:highlight w:val="magenta"/>
        </w:rPr>
      </w:pPr>
    </w:p>
    <w:p w14:paraId="0601EB4D" w14:textId="65603E27" w:rsidR="004F5EA4" w:rsidRPr="00081855" w:rsidRDefault="00AB38CE" w:rsidP="004F5EA4">
      <w:pPr>
        <w:jc w:val="both"/>
        <w:rPr>
          <w:rFonts w:cs="Arial"/>
          <w:sz w:val="20"/>
          <w:lang w:eastAsia="sl-SI"/>
        </w:rPr>
      </w:pPr>
      <w:r w:rsidRPr="00081855">
        <w:rPr>
          <w:rFonts w:cs="Arial"/>
          <w:sz w:val="20"/>
        </w:rPr>
        <w:t>Nepremičnin</w:t>
      </w:r>
      <w:r w:rsidR="00680CF9">
        <w:rPr>
          <w:rFonts w:cs="Arial"/>
          <w:sz w:val="20"/>
        </w:rPr>
        <w:t>e</w:t>
      </w:r>
      <w:r w:rsidR="004F5EA4" w:rsidRPr="00081855">
        <w:rPr>
          <w:rFonts w:cs="Arial"/>
          <w:sz w:val="20"/>
        </w:rPr>
        <w:t xml:space="preserve"> bo</w:t>
      </w:r>
      <w:r w:rsidR="00680CF9">
        <w:rPr>
          <w:rFonts w:cs="Arial"/>
          <w:sz w:val="20"/>
        </w:rPr>
        <w:t>do</w:t>
      </w:r>
      <w:r w:rsidR="004F5EA4" w:rsidRPr="00081855">
        <w:rPr>
          <w:rFonts w:cs="Arial"/>
          <w:sz w:val="20"/>
        </w:rPr>
        <w:t xml:space="preserve"> prodan</w:t>
      </w:r>
      <w:r w:rsidR="00680CF9">
        <w:rPr>
          <w:rFonts w:cs="Arial"/>
          <w:sz w:val="20"/>
        </w:rPr>
        <w:t>e</w:t>
      </w:r>
      <w:r w:rsidR="004F5EA4" w:rsidRPr="00081855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081855">
        <w:rPr>
          <w:rFonts w:cs="Arial"/>
          <w:sz w:val="20"/>
          <w:lang w:eastAsia="sl-SI"/>
        </w:rPr>
        <w:t>Prodajal</w:t>
      </w:r>
      <w:r w:rsidR="00B64793" w:rsidRPr="00081855">
        <w:rPr>
          <w:rFonts w:cs="Arial"/>
          <w:sz w:val="20"/>
          <w:lang w:eastAsia="sl-SI"/>
        </w:rPr>
        <w:t>ec</w:t>
      </w:r>
      <w:r w:rsidR="004F5EA4" w:rsidRPr="00081855">
        <w:rPr>
          <w:rFonts w:cs="Arial"/>
          <w:sz w:val="20"/>
          <w:lang w:eastAsia="sl-SI"/>
        </w:rPr>
        <w:t xml:space="preserve"> ne jamči za izmer</w:t>
      </w:r>
      <w:r w:rsidR="00D254EB" w:rsidRPr="00081855">
        <w:rPr>
          <w:rFonts w:cs="Arial"/>
          <w:sz w:val="20"/>
          <w:lang w:eastAsia="sl-SI"/>
        </w:rPr>
        <w:t>o</w:t>
      </w:r>
      <w:r w:rsidR="004F5EA4" w:rsidRPr="00081855">
        <w:rPr>
          <w:rFonts w:cs="Arial"/>
          <w:sz w:val="20"/>
          <w:lang w:eastAsia="sl-SI"/>
        </w:rPr>
        <w:t xml:space="preserve"> površin, niti za nj</w:t>
      </w:r>
      <w:r w:rsidR="00680CF9">
        <w:rPr>
          <w:rFonts w:cs="Arial"/>
          <w:sz w:val="20"/>
          <w:lang w:eastAsia="sl-SI"/>
        </w:rPr>
        <w:t>ihov</w:t>
      </w:r>
      <w:r w:rsidR="004F5EA4" w:rsidRPr="00081855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2ACACC9" w14:textId="77777777" w:rsidR="00B84BCF" w:rsidRPr="00081855" w:rsidRDefault="00B84BCF" w:rsidP="00B84BCF">
      <w:pPr>
        <w:spacing w:line="260" w:lineRule="exact"/>
        <w:jc w:val="both"/>
        <w:rPr>
          <w:rFonts w:cs="Arial"/>
          <w:sz w:val="20"/>
          <w:highlight w:val="magenta"/>
          <w:lang w:eastAsia="sl-SI"/>
        </w:rPr>
      </w:pPr>
    </w:p>
    <w:p w14:paraId="056D5D43" w14:textId="77777777" w:rsidR="00B84BCF" w:rsidRPr="00081855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081855">
        <w:rPr>
          <w:rFonts w:cs="Arial"/>
          <w:sz w:val="20"/>
          <w:lang w:eastAsia="sl-SI"/>
        </w:rPr>
        <w:t xml:space="preserve">Organizator si pridržuje pravico, da </w:t>
      </w:r>
      <w:r w:rsidRPr="00081855">
        <w:rPr>
          <w:rFonts w:cs="Arial"/>
          <w:sz w:val="20"/>
        </w:rPr>
        <w:t>lahko do sklenitve pravnega posla, brez odškodninske odgovornosti, odstopi od pogajanj.</w:t>
      </w:r>
    </w:p>
    <w:p w14:paraId="4F9F7655" w14:textId="77777777" w:rsidR="00380212" w:rsidRPr="00081855" w:rsidRDefault="00380212" w:rsidP="00B84BCF">
      <w:pPr>
        <w:spacing w:line="260" w:lineRule="exact"/>
        <w:jc w:val="both"/>
        <w:rPr>
          <w:rFonts w:cs="Arial"/>
          <w:sz w:val="20"/>
        </w:rPr>
      </w:pPr>
    </w:p>
    <w:p w14:paraId="338B6E0D" w14:textId="77777777" w:rsidR="00871E0C" w:rsidRPr="00081855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0709B408" w14:textId="77777777" w:rsidR="00367FAC" w:rsidRPr="00081855" w:rsidRDefault="00670515" w:rsidP="00E44C83">
      <w:pPr>
        <w:jc w:val="both"/>
        <w:rPr>
          <w:rFonts w:cs="Arial"/>
          <w:b/>
          <w:sz w:val="20"/>
          <w:u w:val="single"/>
        </w:rPr>
      </w:pPr>
      <w:r w:rsidRPr="00081855">
        <w:rPr>
          <w:rFonts w:cs="Arial"/>
          <w:b/>
          <w:sz w:val="20"/>
          <w:u w:val="single"/>
        </w:rPr>
        <w:t>7</w:t>
      </w:r>
      <w:r w:rsidR="00E44C83" w:rsidRPr="00081855">
        <w:rPr>
          <w:rFonts w:cs="Arial"/>
          <w:b/>
          <w:sz w:val="20"/>
          <w:u w:val="single"/>
        </w:rPr>
        <w:t xml:space="preserve">. Podrobnejši pogoji </w:t>
      </w:r>
      <w:r w:rsidR="00367FAC" w:rsidRPr="00081855">
        <w:rPr>
          <w:rFonts w:cs="Arial"/>
          <w:b/>
          <w:sz w:val="20"/>
          <w:u w:val="single"/>
        </w:rPr>
        <w:t>zbiranja ponudb</w:t>
      </w:r>
    </w:p>
    <w:p w14:paraId="1A4C3914" w14:textId="77777777" w:rsidR="00367FAC" w:rsidRPr="00081855" w:rsidRDefault="00E1585D" w:rsidP="00367FAC">
      <w:pPr>
        <w:jc w:val="both"/>
        <w:rPr>
          <w:rFonts w:cs="Arial"/>
          <w:sz w:val="20"/>
        </w:rPr>
      </w:pPr>
      <w:r w:rsidRPr="00081855">
        <w:rPr>
          <w:rFonts w:cs="Arial"/>
          <w:sz w:val="20"/>
        </w:rPr>
        <w:t>Ponudbo lahko oddajo</w:t>
      </w:r>
      <w:r w:rsidR="00367FAC" w:rsidRPr="00081855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 w:rsidRPr="00081855">
        <w:rPr>
          <w:rFonts w:cs="Arial"/>
          <w:sz w:val="20"/>
        </w:rPr>
        <w:t xml:space="preserve"> </w:t>
      </w:r>
    </w:p>
    <w:p w14:paraId="79366125" w14:textId="77777777" w:rsidR="00E1585D" w:rsidRPr="00081855" w:rsidRDefault="00E1585D" w:rsidP="00367FAC">
      <w:pPr>
        <w:jc w:val="both"/>
        <w:rPr>
          <w:rFonts w:cs="Arial"/>
          <w:sz w:val="20"/>
        </w:rPr>
      </w:pPr>
    </w:p>
    <w:p w14:paraId="3639C114" w14:textId="7C25C4FE" w:rsidR="00A21655" w:rsidRPr="00081855" w:rsidRDefault="00A21655" w:rsidP="00A21655">
      <w:pPr>
        <w:jc w:val="both"/>
        <w:rPr>
          <w:rFonts w:cs="Arial"/>
          <w:sz w:val="20"/>
          <w:lang w:eastAsia="sl-SI"/>
        </w:rPr>
      </w:pPr>
      <w:r w:rsidRPr="00081855">
        <w:rPr>
          <w:rFonts w:cs="Arial"/>
          <w:sz w:val="20"/>
        </w:rPr>
        <w:t xml:space="preserve">Ponudnik mora </w:t>
      </w:r>
      <w:r w:rsidRPr="00081855">
        <w:rPr>
          <w:rFonts w:cs="Arial"/>
          <w:b/>
          <w:bCs/>
          <w:color w:val="000000"/>
          <w:sz w:val="20"/>
          <w:shd w:val="clear" w:color="auto" w:fill="DEEAF6"/>
        </w:rPr>
        <w:t xml:space="preserve">najkasneje do </w:t>
      </w:r>
      <w:r w:rsidR="00D12556">
        <w:rPr>
          <w:rFonts w:cs="Arial"/>
          <w:b/>
          <w:bCs/>
          <w:color w:val="000000"/>
          <w:sz w:val="20"/>
          <w:shd w:val="clear" w:color="auto" w:fill="DEEAF6"/>
        </w:rPr>
        <w:t>1</w:t>
      </w:r>
      <w:r w:rsidR="004C1E3E" w:rsidRPr="00081855">
        <w:rPr>
          <w:rFonts w:cs="Arial"/>
          <w:b/>
          <w:bCs/>
          <w:color w:val="000000"/>
          <w:sz w:val="20"/>
          <w:shd w:val="clear" w:color="auto" w:fill="DEEAF6"/>
        </w:rPr>
        <w:t xml:space="preserve">. </w:t>
      </w:r>
      <w:r w:rsidR="00D12556">
        <w:rPr>
          <w:rFonts w:cs="Arial"/>
          <w:b/>
          <w:bCs/>
          <w:color w:val="000000"/>
          <w:sz w:val="20"/>
          <w:shd w:val="clear" w:color="auto" w:fill="DEEAF6"/>
        </w:rPr>
        <w:t>9</w:t>
      </w:r>
      <w:r w:rsidRPr="00081855">
        <w:rPr>
          <w:rFonts w:cs="Arial"/>
          <w:b/>
          <w:bCs/>
          <w:color w:val="000000"/>
          <w:sz w:val="20"/>
          <w:shd w:val="clear" w:color="auto" w:fill="DEEAF6"/>
        </w:rPr>
        <w:t>. 202</w:t>
      </w:r>
      <w:r w:rsidR="009F7CC6" w:rsidRPr="00081855">
        <w:rPr>
          <w:rFonts w:cs="Arial"/>
          <w:b/>
          <w:bCs/>
          <w:color w:val="000000"/>
          <w:sz w:val="20"/>
          <w:shd w:val="clear" w:color="auto" w:fill="DEEAF6"/>
        </w:rPr>
        <w:t>1</w:t>
      </w:r>
      <w:r w:rsidRPr="00081855">
        <w:rPr>
          <w:rFonts w:cs="Arial"/>
          <w:b/>
          <w:bCs/>
          <w:color w:val="000000"/>
          <w:sz w:val="20"/>
          <w:shd w:val="clear" w:color="auto" w:fill="DEEAF6"/>
        </w:rPr>
        <w:t xml:space="preserve"> </w:t>
      </w:r>
      <w:r w:rsidR="00D254EB" w:rsidRPr="00081855">
        <w:rPr>
          <w:rFonts w:cs="Arial"/>
          <w:sz w:val="20"/>
        </w:rPr>
        <w:t>s</w:t>
      </w:r>
      <w:r w:rsidRPr="00081855">
        <w:rPr>
          <w:rFonts w:cs="Arial"/>
          <w:sz w:val="20"/>
        </w:rPr>
        <w:t xml:space="preserve"> priporočeno pošiljko na naslov: Ministrstvo za javno upravo, Tržaška cesta 21, Ljubljana, z nazivom zadeve »ponudba v zadevi </w:t>
      </w:r>
      <w:r w:rsidR="00E83A59" w:rsidRPr="00081855">
        <w:rPr>
          <w:rFonts w:cs="Arial"/>
          <w:sz w:val="20"/>
        </w:rPr>
        <w:t>477-</w:t>
      </w:r>
      <w:r w:rsidR="00334E9C" w:rsidRPr="00081855">
        <w:rPr>
          <w:rFonts w:cs="Arial"/>
          <w:sz w:val="20"/>
        </w:rPr>
        <w:t>272</w:t>
      </w:r>
      <w:r w:rsidR="00B64793" w:rsidRPr="00081855">
        <w:rPr>
          <w:rFonts w:cs="Arial"/>
          <w:sz w:val="20"/>
        </w:rPr>
        <w:t>/20</w:t>
      </w:r>
      <w:r w:rsidR="005714FD" w:rsidRPr="00081855">
        <w:rPr>
          <w:rFonts w:cs="Arial"/>
          <w:sz w:val="20"/>
        </w:rPr>
        <w:t>18</w:t>
      </w:r>
      <w:r w:rsidRPr="00081855">
        <w:rPr>
          <w:rFonts w:cs="Arial"/>
          <w:sz w:val="20"/>
        </w:rPr>
        <w:t xml:space="preserve"> – NE ODPIRAJ« poslati:</w:t>
      </w:r>
    </w:p>
    <w:p w14:paraId="60B0E0D3" w14:textId="77777777" w:rsidR="00A21655" w:rsidRPr="000818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081855">
        <w:rPr>
          <w:rFonts w:cs="Arial"/>
          <w:sz w:val="20"/>
        </w:rPr>
        <w:t>izpolnjen in lastnoročno podpisan obrazec, ki je priloga 1 te objave ter</w:t>
      </w:r>
    </w:p>
    <w:p w14:paraId="7CADE035" w14:textId="34B7874C" w:rsidR="00A21655" w:rsidRPr="000818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081855">
        <w:rPr>
          <w:rFonts w:cs="Arial"/>
          <w:sz w:val="20"/>
        </w:rPr>
        <w:t>kopijo osebnega dokumenta (potni list ali osebno izkaznico) – velja za fizične osebe in s.</w:t>
      </w:r>
      <w:r w:rsidR="00B5073E" w:rsidRPr="00081855">
        <w:rPr>
          <w:rFonts w:cs="Arial"/>
          <w:sz w:val="20"/>
        </w:rPr>
        <w:t xml:space="preserve"> </w:t>
      </w:r>
      <w:r w:rsidRPr="00081855">
        <w:rPr>
          <w:rFonts w:cs="Arial"/>
          <w:sz w:val="20"/>
        </w:rPr>
        <w:t>p.-je.</w:t>
      </w:r>
    </w:p>
    <w:p w14:paraId="357F3E20" w14:textId="77777777" w:rsidR="00A21655" w:rsidRPr="00081855" w:rsidRDefault="00A21655" w:rsidP="00A21655">
      <w:pPr>
        <w:rPr>
          <w:rFonts w:eastAsia="Calibri" w:cs="Arial"/>
          <w:b/>
          <w:bCs/>
          <w:sz w:val="20"/>
        </w:rPr>
      </w:pPr>
    </w:p>
    <w:p w14:paraId="6D7F289D" w14:textId="21E10F6A" w:rsidR="00A21655" w:rsidRPr="00081855" w:rsidRDefault="00A21655" w:rsidP="00A21655">
      <w:pPr>
        <w:rPr>
          <w:rFonts w:cs="Arial"/>
          <w:sz w:val="20"/>
        </w:rPr>
      </w:pPr>
      <w:r w:rsidRPr="00081855">
        <w:rPr>
          <w:rFonts w:cs="Arial"/>
          <w:sz w:val="20"/>
        </w:rPr>
        <w:t xml:space="preserve">Šteje se, da je prijava pravočasna, če je oddana na pošto priporočeno, </w:t>
      </w:r>
      <w:r w:rsidRPr="00081855">
        <w:rPr>
          <w:rFonts w:cs="Arial"/>
          <w:sz w:val="20"/>
          <w:u w:val="single"/>
        </w:rPr>
        <w:t>in prispe na naslov organizatorja</w:t>
      </w:r>
      <w:r w:rsidRPr="00081855">
        <w:rPr>
          <w:rFonts w:cs="Arial"/>
          <w:sz w:val="20"/>
        </w:rPr>
        <w:t xml:space="preserve"> najkasneje </w:t>
      </w:r>
      <w:r w:rsidRPr="00680CF9">
        <w:rPr>
          <w:rFonts w:cs="Arial"/>
          <w:b/>
          <w:bCs/>
          <w:sz w:val="20"/>
        </w:rPr>
        <w:t xml:space="preserve">do </w:t>
      </w:r>
      <w:r w:rsidR="00680CF9" w:rsidRPr="00680CF9">
        <w:rPr>
          <w:rFonts w:cs="Arial"/>
          <w:b/>
          <w:bCs/>
          <w:sz w:val="20"/>
        </w:rPr>
        <w:t>1</w:t>
      </w:r>
      <w:r w:rsidR="00334E9C" w:rsidRPr="00680CF9">
        <w:rPr>
          <w:rFonts w:cs="Arial"/>
          <w:b/>
          <w:bCs/>
          <w:sz w:val="20"/>
        </w:rPr>
        <w:t xml:space="preserve">. </w:t>
      </w:r>
      <w:r w:rsidR="00680CF9" w:rsidRPr="00680CF9">
        <w:rPr>
          <w:rFonts w:cs="Arial"/>
          <w:b/>
          <w:bCs/>
          <w:sz w:val="20"/>
        </w:rPr>
        <w:t>9</w:t>
      </w:r>
      <w:r w:rsidR="00334E9C" w:rsidRPr="00680CF9">
        <w:rPr>
          <w:rFonts w:cs="Arial"/>
          <w:b/>
          <w:bCs/>
          <w:sz w:val="20"/>
        </w:rPr>
        <w:t>. 2021</w:t>
      </w:r>
      <w:r w:rsidRPr="00680CF9">
        <w:rPr>
          <w:rFonts w:cs="Arial"/>
          <w:b/>
          <w:bCs/>
          <w:sz w:val="20"/>
        </w:rPr>
        <w:t xml:space="preserve"> do 15:00 ure</w:t>
      </w:r>
      <w:r w:rsidRPr="00081855">
        <w:rPr>
          <w:rFonts w:cs="Arial"/>
          <w:sz w:val="20"/>
        </w:rPr>
        <w:t xml:space="preserve">. </w:t>
      </w:r>
      <w:r w:rsidRPr="00081855">
        <w:rPr>
          <w:rFonts w:cs="Arial"/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 w:rsidRPr="00081855">
        <w:rPr>
          <w:rFonts w:cs="Arial"/>
          <w:sz w:val="20"/>
        </w:rPr>
        <w:t xml:space="preserve">. </w:t>
      </w:r>
    </w:p>
    <w:p w14:paraId="42460AD1" w14:textId="77777777" w:rsidR="00367FAC" w:rsidRPr="00081855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1419D077" w14:textId="77777777" w:rsidR="00871E0C" w:rsidRPr="00081855" w:rsidRDefault="00367FAC" w:rsidP="00E1585D">
      <w:pPr>
        <w:jc w:val="both"/>
        <w:rPr>
          <w:rFonts w:cs="Arial"/>
          <w:b/>
          <w:sz w:val="20"/>
          <w:u w:val="single"/>
        </w:rPr>
      </w:pPr>
      <w:r w:rsidRPr="00081855">
        <w:rPr>
          <w:rFonts w:cs="Arial"/>
          <w:bCs/>
          <w:sz w:val="20"/>
          <w:lang w:eastAsia="sl-SI"/>
        </w:rPr>
        <w:t xml:space="preserve">Odpiranje ponudb </w:t>
      </w:r>
      <w:r w:rsidR="00E1585D" w:rsidRPr="00081855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081855">
        <w:rPr>
          <w:rFonts w:cs="Arial"/>
          <w:bCs/>
          <w:sz w:val="20"/>
          <w:u w:val="single"/>
          <w:lang w:eastAsia="sl-SI"/>
        </w:rPr>
        <w:t>BO</w:t>
      </w:r>
      <w:r w:rsidRPr="00081855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081855">
        <w:rPr>
          <w:rFonts w:cs="Arial"/>
          <w:bCs/>
          <w:sz w:val="20"/>
          <w:u w:val="single"/>
          <w:lang w:eastAsia="sl-SI"/>
        </w:rPr>
        <w:t>.</w:t>
      </w:r>
    </w:p>
    <w:p w14:paraId="3D5F2538" w14:textId="77777777" w:rsidR="00871E0C" w:rsidRPr="00081855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0623B3D5" w14:textId="77777777" w:rsidR="00367FAC" w:rsidRPr="00081855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081855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081855">
        <w:rPr>
          <w:rFonts w:cs="Arial"/>
          <w:bCs/>
          <w:sz w:val="20"/>
          <w:lang w:eastAsia="sl-SI"/>
        </w:rPr>
        <w:t>najkasneje 7 dni po zaključenem odpiranju ponudb</w:t>
      </w:r>
      <w:r w:rsidRPr="00081855">
        <w:rPr>
          <w:rFonts w:cs="Arial"/>
          <w:bCs/>
          <w:sz w:val="20"/>
          <w:lang w:eastAsia="sl-SI"/>
        </w:rPr>
        <w:t>.</w:t>
      </w:r>
    </w:p>
    <w:p w14:paraId="22B6A7BB" w14:textId="77777777" w:rsidR="009F7CC6" w:rsidRPr="00081855" w:rsidRDefault="009F7CC6" w:rsidP="00367FAC">
      <w:pPr>
        <w:rPr>
          <w:rFonts w:cs="Arial"/>
          <w:sz w:val="20"/>
          <w:lang w:eastAsia="sl-SI"/>
        </w:rPr>
      </w:pPr>
    </w:p>
    <w:p w14:paraId="544D70FF" w14:textId="77777777" w:rsidR="009F7CC6" w:rsidRPr="00081855" w:rsidRDefault="009F7CC6" w:rsidP="00367FAC">
      <w:pPr>
        <w:rPr>
          <w:rFonts w:cs="Arial"/>
          <w:sz w:val="20"/>
          <w:lang w:eastAsia="sl-SI"/>
        </w:rPr>
      </w:pPr>
    </w:p>
    <w:p w14:paraId="39F4CC17" w14:textId="36E1B0B4" w:rsidR="00E44C83" w:rsidRPr="00081855" w:rsidRDefault="00670515" w:rsidP="00E44C83">
      <w:pPr>
        <w:jc w:val="both"/>
        <w:rPr>
          <w:rFonts w:cs="Arial"/>
          <w:b/>
          <w:sz w:val="20"/>
          <w:u w:val="single"/>
        </w:rPr>
      </w:pPr>
      <w:r w:rsidRPr="00081855">
        <w:rPr>
          <w:rFonts w:cs="Arial"/>
          <w:b/>
          <w:sz w:val="20"/>
          <w:u w:val="single"/>
        </w:rPr>
        <w:t>8</w:t>
      </w:r>
      <w:r w:rsidR="004F5EA4" w:rsidRPr="00081855">
        <w:rPr>
          <w:rFonts w:cs="Arial"/>
          <w:b/>
          <w:sz w:val="20"/>
          <w:u w:val="single"/>
        </w:rPr>
        <w:t>. O</w:t>
      </w:r>
      <w:r w:rsidR="004B6175" w:rsidRPr="00081855">
        <w:rPr>
          <w:rFonts w:cs="Arial"/>
          <w:b/>
          <w:sz w:val="20"/>
          <w:u w:val="single"/>
        </w:rPr>
        <w:t xml:space="preserve">gled </w:t>
      </w:r>
    </w:p>
    <w:p w14:paraId="7F4665F1" w14:textId="55DC17AC" w:rsidR="00B64793" w:rsidRPr="00081855" w:rsidRDefault="00B64793" w:rsidP="00B64793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081855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prodaje se obrnite na </w:t>
      </w:r>
      <w:r w:rsidR="00385813" w:rsidRPr="00081855">
        <w:rPr>
          <w:rStyle w:val="Hiperpovezava"/>
          <w:rFonts w:cs="Arial"/>
          <w:color w:val="auto"/>
          <w:sz w:val="20"/>
          <w:u w:val="none"/>
        </w:rPr>
        <w:t>Metka Smrdel</w:t>
      </w:r>
      <w:r w:rsidR="00995C12" w:rsidRPr="00081855">
        <w:rPr>
          <w:rStyle w:val="Hiperpovezava"/>
          <w:rFonts w:cs="Arial"/>
          <w:color w:val="auto"/>
          <w:sz w:val="20"/>
          <w:u w:val="none"/>
        </w:rPr>
        <w:t>,</w:t>
      </w:r>
      <w:r w:rsidR="00385813" w:rsidRPr="00081855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081855">
        <w:rPr>
          <w:rStyle w:val="Hiperpovezava"/>
          <w:rFonts w:cs="Arial"/>
          <w:color w:val="auto"/>
          <w:sz w:val="20"/>
          <w:u w:val="none"/>
        </w:rPr>
        <w:t>telefon 01</w:t>
      </w:r>
      <w:r w:rsidR="00662F68" w:rsidRPr="00081855">
        <w:rPr>
          <w:rStyle w:val="Hiperpovezava"/>
          <w:rFonts w:cs="Arial"/>
          <w:color w:val="auto"/>
          <w:sz w:val="20"/>
          <w:u w:val="none"/>
        </w:rPr>
        <w:t>/</w:t>
      </w:r>
      <w:r w:rsidRPr="00081855">
        <w:rPr>
          <w:rStyle w:val="Hiperpovezava"/>
          <w:rFonts w:cs="Arial"/>
          <w:color w:val="auto"/>
          <w:sz w:val="20"/>
          <w:u w:val="none"/>
        </w:rPr>
        <w:t xml:space="preserve"> 478 </w:t>
      </w:r>
      <w:r w:rsidR="00385813" w:rsidRPr="00081855">
        <w:rPr>
          <w:rStyle w:val="Hiperpovezava"/>
          <w:rFonts w:cs="Arial"/>
          <w:color w:val="auto"/>
          <w:sz w:val="20"/>
          <w:u w:val="none"/>
        </w:rPr>
        <w:t>16 67</w:t>
      </w:r>
      <w:r w:rsidRPr="00081855">
        <w:rPr>
          <w:rStyle w:val="Hiperpovezava"/>
          <w:rFonts w:cs="Arial"/>
          <w:color w:val="auto"/>
          <w:sz w:val="20"/>
          <w:u w:val="none"/>
        </w:rPr>
        <w:t xml:space="preserve">, e-pošta: </w:t>
      </w:r>
      <w:r w:rsidR="00662F68" w:rsidRPr="00081855">
        <w:rPr>
          <w:rStyle w:val="Hiperpovezava"/>
          <w:rFonts w:cs="Arial"/>
          <w:color w:val="auto"/>
          <w:sz w:val="20"/>
          <w:u w:val="none"/>
        </w:rPr>
        <w:t>metka.smrdel@gov.si</w:t>
      </w:r>
      <w:r w:rsidRPr="00081855">
        <w:rPr>
          <w:rStyle w:val="Hiperpovezava"/>
          <w:rFonts w:cs="Arial"/>
          <w:color w:val="auto"/>
          <w:sz w:val="20"/>
          <w:u w:val="none"/>
        </w:rPr>
        <w:t>. Ogled predmeta prodaje je možen izključno po predhodni najavi</w:t>
      </w:r>
      <w:r w:rsidR="00334E9C" w:rsidRPr="00081855">
        <w:rPr>
          <w:rStyle w:val="Hiperpovezava"/>
          <w:rFonts w:cs="Arial"/>
          <w:color w:val="auto"/>
          <w:sz w:val="20"/>
          <w:u w:val="none"/>
        </w:rPr>
        <w:t xml:space="preserve"> na zgornji e- naslov</w:t>
      </w:r>
      <w:r w:rsidR="001E2824" w:rsidRPr="00081855">
        <w:rPr>
          <w:rStyle w:val="Hiperpovezava"/>
          <w:rFonts w:cs="Arial"/>
          <w:color w:val="auto"/>
          <w:sz w:val="20"/>
          <w:u w:val="none"/>
        </w:rPr>
        <w:t xml:space="preserve">, najkasneje do </w:t>
      </w:r>
      <w:r w:rsidR="00570679">
        <w:rPr>
          <w:rStyle w:val="Hiperpovezava"/>
          <w:rFonts w:cs="Arial"/>
          <w:color w:val="auto"/>
          <w:sz w:val="20"/>
          <w:u w:val="none"/>
        </w:rPr>
        <w:t>20</w:t>
      </w:r>
      <w:r w:rsidR="001E2824" w:rsidRPr="00081855">
        <w:rPr>
          <w:rStyle w:val="Hiperpovezava"/>
          <w:rFonts w:cs="Arial"/>
          <w:color w:val="auto"/>
          <w:sz w:val="20"/>
          <w:u w:val="none"/>
        </w:rPr>
        <w:t>. 8. 2021</w:t>
      </w:r>
      <w:r w:rsidR="00334E9C" w:rsidRPr="00081855">
        <w:rPr>
          <w:rStyle w:val="Hiperpovezava"/>
          <w:rFonts w:cs="Arial"/>
          <w:color w:val="auto"/>
          <w:sz w:val="20"/>
          <w:u w:val="none"/>
        </w:rPr>
        <w:t>.</w:t>
      </w:r>
    </w:p>
    <w:p w14:paraId="4AC1DBB7" w14:textId="77777777" w:rsidR="00871E0C" w:rsidRPr="00081855" w:rsidRDefault="00871E0C" w:rsidP="00194838">
      <w:pPr>
        <w:jc w:val="both"/>
        <w:rPr>
          <w:rFonts w:cs="Arial"/>
          <w:sz w:val="20"/>
        </w:rPr>
      </w:pPr>
    </w:p>
    <w:p w14:paraId="0A16DD6A" w14:textId="77777777" w:rsidR="009F7CC6" w:rsidRPr="00081855" w:rsidRDefault="009F7CC6" w:rsidP="00194838">
      <w:pPr>
        <w:jc w:val="both"/>
        <w:rPr>
          <w:rFonts w:cs="Arial"/>
          <w:sz w:val="20"/>
        </w:rPr>
      </w:pPr>
    </w:p>
    <w:p w14:paraId="2A38EE7F" w14:textId="77777777" w:rsidR="00E44C83" w:rsidRPr="00081855" w:rsidRDefault="00670515" w:rsidP="00E44C83">
      <w:pPr>
        <w:jc w:val="both"/>
        <w:rPr>
          <w:rFonts w:cs="Arial"/>
          <w:b/>
          <w:sz w:val="20"/>
          <w:u w:val="single"/>
        </w:rPr>
      </w:pPr>
      <w:r w:rsidRPr="00081855">
        <w:rPr>
          <w:rFonts w:cs="Arial"/>
          <w:b/>
          <w:sz w:val="20"/>
          <w:u w:val="single"/>
        </w:rPr>
        <w:t>9</w:t>
      </w:r>
      <w:r w:rsidR="004B6175" w:rsidRPr="00081855">
        <w:rPr>
          <w:rFonts w:cs="Arial"/>
          <w:b/>
          <w:sz w:val="20"/>
          <w:u w:val="single"/>
        </w:rPr>
        <w:t>. Opozorilo</w:t>
      </w:r>
    </w:p>
    <w:p w14:paraId="65224072" w14:textId="77777777" w:rsidR="00266117" w:rsidRPr="00081855" w:rsidRDefault="00D5488D" w:rsidP="007434F9">
      <w:pPr>
        <w:jc w:val="both"/>
        <w:rPr>
          <w:rFonts w:cs="Arial"/>
          <w:sz w:val="20"/>
        </w:rPr>
      </w:pPr>
      <w:r w:rsidRPr="00081855">
        <w:rPr>
          <w:rFonts w:cs="Arial"/>
          <w:sz w:val="20"/>
        </w:rPr>
        <w:t xml:space="preserve">Organizator lahko </w:t>
      </w:r>
      <w:r w:rsidR="00E44C83" w:rsidRPr="00081855">
        <w:rPr>
          <w:rFonts w:cs="Arial"/>
          <w:sz w:val="20"/>
        </w:rPr>
        <w:t>do sklenitve pra</w:t>
      </w:r>
      <w:r w:rsidR="004F5EA4" w:rsidRPr="00081855">
        <w:rPr>
          <w:rFonts w:cs="Arial"/>
          <w:sz w:val="20"/>
        </w:rPr>
        <w:t xml:space="preserve">vnega posla, postopek zbiranja ponudb </w:t>
      </w:r>
      <w:r w:rsidR="00E44C83" w:rsidRPr="00081855">
        <w:rPr>
          <w:rFonts w:cs="Arial"/>
          <w:sz w:val="20"/>
        </w:rPr>
        <w:t>ustavi</w:t>
      </w:r>
      <w:r w:rsidRPr="00081855">
        <w:rPr>
          <w:rFonts w:cs="Arial"/>
          <w:sz w:val="20"/>
        </w:rPr>
        <w:t xml:space="preserve"> oziroma ne sklene pogodbe z uspelim </w:t>
      </w:r>
      <w:r w:rsidR="004F5EA4" w:rsidRPr="00081855">
        <w:rPr>
          <w:rFonts w:cs="Arial"/>
          <w:sz w:val="20"/>
        </w:rPr>
        <w:t>ponudnikom</w:t>
      </w:r>
      <w:r w:rsidR="000D6EBE" w:rsidRPr="00081855">
        <w:rPr>
          <w:rFonts w:cs="Arial"/>
          <w:sz w:val="20"/>
        </w:rPr>
        <w:t>, brez odškodninske odgovornosti</w:t>
      </w:r>
      <w:r w:rsidR="00983BBC" w:rsidRPr="00081855">
        <w:rPr>
          <w:rFonts w:cs="Arial"/>
          <w:sz w:val="20"/>
        </w:rPr>
        <w:t>.</w:t>
      </w:r>
    </w:p>
    <w:p w14:paraId="6E0F4C19" w14:textId="77777777" w:rsidR="009F7CC6" w:rsidRPr="00081855" w:rsidRDefault="009F7CC6" w:rsidP="007434F9">
      <w:pPr>
        <w:jc w:val="both"/>
        <w:rPr>
          <w:rFonts w:cs="Arial"/>
          <w:sz w:val="20"/>
        </w:rPr>
      </w:pPr>
    </w:p>
    <w:p w14:paraId="5BE7507E" w14:textId="77777777" w:rsidR="009F7CC6" w:rsidRPr="00081855" w:rsidRDefault="009F7CC6" w:rsidP="007434F9">
      <w:pPr>
        <w:jc w:val="both"/>
        <w:rPr>
          <w:rFonts w:cs="Arial"/>
          <w:sz w:val="20"/>
        </w:rPr>
      </w:pPr>
    </w:p>
    <w:p w14:paraId="5407E3E3" w14:textId="77777777" w:rsidR="007434F9" w:rsidRPr="00081855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081855">
        <w:rPr>
          <w:rFonts w:cs="Arial"/>
          <w:b/>
          <w:bCs/>
          <w:sz w:val="20"/>
          <w:u w:val="single"/>
        </w:rPr>
        <w:t>10 . Objava  obvestila posameznikom po 13. členu Splošne uredbe o varstvu podatkov (GDPR)</w:t>
      </w:r>
    </w:p>
    <w:p w14:paraId="6C635F5C" w14:textId="7AC882F8" w:rsidR="00983BBC" w:rsidRDefault="007434F9" w:rsidP="00EB618D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081855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  <w:hyperlink r:id="rId12" w:history="1">
        <w:r w:rsidR="00983BBC" w:rsidRPr="00081855">
          <w:rPr>
            <w:rStyle w:val="Hiperpovezava"/>
            <w:rFonts w:cs="Arial"/>
            <w:color w:val="auto"/>
            <w:sz w:val="20"/>
            <w:u w:val="none"/>
          </w:rPr>
          <w:t>https://www.gov.si/assets/ministrstva/MJU/DSP/Sistemsko-urejanje/OBVESTILO_ravnanje_s_stvarnim_premozenjem-1.pdf</w:t>
        </w:r>
      </w:hyperlink>
    </w:p>
    <w:p w14:paraId="7955644B" w14:textId="77777777" w:rsidR="00422A9B" w:rsidRPr="00081855" w:rsidRDefault="00422A9B" w:rsidP="00EB618D">
      <w:pPr>
        <w:jc w:val="both"/>
        <w:rPr>
          <w:rFonts w:cs="Arial"/>
          <w:sz w:val="20"/>
        </w:rPr>
      </w:pPr>
    </w:p>
    <w:p w14:paraId="3B4E486E" w14:textId="77777777" w:rsidR="007434F9" w:rsidRPr="00081855" w:rsidRDefault="007434F9" w:rsidP="007434F9">
      <w:pPr>
        <w:jc w:val="both"/>
        <w:rPr>
          <w:rFonts w:cs="Arial"/>
          <w:sz w:val="20"/>
        </w:rPr>
      </w:pPr>
    </w:p>
    <w:p w14:paraId="453D6F1D" w14:textId="77777777" w:rsidR="00983BBC" w:rsidRPr="00081855" w:rsidRDefault="00983BBC" w:rsidP="007434F9">
      <w:pPr>
        <w:jc w:val="both"/>
        <w:rPr>
          <w:rFonts w:cs="Arial"/>
          <w:sz w:val="20"/>
        </w:rPr>
      </w:pPr>
    </w:p>
    <w:p w14:paraId="79D809D4" w14:textId="18FD55F4" w:rsidR="00EC24FF" w:rsidRPr="00081855" w:rsidRDefault="00EC24FF" w:rsidP="00EC24FF">
      <w:pPr>
        <w:autoSpaceDE w:val="0"/>
        <w:autoSpaceDN w:val="0"/>
        <w:adjustRightInd w:val="0"/>
        <w:rPr>
          <w:rFonts w:cs="Arial"/>
          <w:b/>
          <w:sz w:val="20"/>
          <w:lang w:eastAsia="sl-SI"/>
        </w:rPr>
      </w:pPr>
      <w:r w:rsidRPr="00081855">
        <w:rPr>
          <w:rFonts w:cs="Arial"/>
          <w:b/>
          <w:sz w:val="20"/>
        </w:rPr>
        <w:t xml:space="preserve">                                                     Po pooblastilu št. </w:t>
      </w:r>
      <w:r w:rsidRPr="00081855">
        <w:rPr>
          <w:rFonts w:cs="Arial"/>
          <w:b/>
          <w:sz w:val="20"/>
          <w:lang w:eastAsia="sl-SI"/>
        </w:rPr>
        <w:t>1004-214/2012-JU/76 z dne 15. 4. 2021</w:t>
      </w:r>
    </w:p>
    <w:p w14:paraId="6FFE0B1D" w14:textId="77777777" w:rsidR="00EC24FF" w:rsidRPr="00081855" w:rsidRDefault="00EC24FF" w:rsidP="00EC24FF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081855">
        <w:rPr>
          <w:rFonts w:cs="Arial"/>
          <w:b/>
          <w:sz w:val="20"/>
        </w:rPr>
        <w:tab/>
        <w:t xml:space="preserve">Matija Mrzel </w:t>
      </w:r>
    </w:p>
    <w:p w14:paraId="7FFD5689" w14:textId="77777777" w:rsidR="00EC24FF" w:rsidRPr="00081855" w:rsidRDefault="00EC24FF" w:rsidP="00EC24FF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081855">
        <w:rPr>
          <w:rFonts w:cs="Arial"/>
          <w:b/>
          <w:sz w:val="20"/>
        </w:rPr>
        <w:tab/>
        <w:t xml:space="preserve">namestnik generalnega direktorja </w:t>
      </w:r>
    </w:p>
    <w:p w14:paraId="34EDC17A" w14:textId="77777777" w:rsidR="00EC24FF" w:rsidRPr="00081855" w:rsidRDefault="00EC24FF" w:rsidP="00EC24FF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081855">
        <w:rPr>
          <w:rFonts w:cs="Arial"/>
          <w:b/>
          <w:sz w:val="20"/>
        </w:rPr>
        <w:tab/>
        <w:t xml:space="preserve">Direktorata za stvarno premoženje </w:t>
      </w:r>
    </w:p>
    <w:p w14:paraId="20243AF7" w14:textId="77777777" w:rsidR="00EC24FF" w:rsidRPr="00081855" w:rsidRDefault="00EC24FF" w:rsidP="00EC24FF">
      <w:pPr>
        <w:tabs>
          <w:tab w:val="center" w:pos="5670"/>
        </w:tabs>
        <w:jc w:val="both"/>
        <w:rPr>
          <w:rFonts w:cs="Arial"/>
          <w:b/>
          <w:sz w:val="20"/>
        </w:rPr>
      </w:pPr>
    </w:p>
    <w:p w14:paraId="60DC8C7E" w14:textId="77777777" w:rsidR="00A971D8" w:rsidRPr="00081855" w:rsidRDefault="00A971D8" w:rsidP="007434F9">
      <w:pPr>
        <w:jc w:val="both"/>
        <w:rPr>
          <w:rFonts w:cs="Arial"/>
          <w:sz w:val="20"/>
          <w:highlight w:val="magenta"/>
        </w:rPr>
      </w:pPr>
    </w:p>
    <w:p w14:paraId="08069944" w14:textId="77777777" w:rsidR="00983BBC" w:rsidRPr="00081855" w:rsidRDefault="00983BBC" w:rsidP="007434F9">
      <w:pPr>
        <w:jc w:val="both"/>
        <w:rPr>
          <w:rFonts w:cs="Arial"/>
          <w:sz w:val="20"/>
          <w:highlight w:val="magenta"/>
        </w:rPr>
      </w:pPr>
    </w:p>
    <w:p w14:paraId="534EDCB6" w14:textId="77777777" w:rsidR="007B0F27" w:rsidRPr="00081855" w:rsidRDefault="007B0F27" w:rsidP="009A54C5">
      <w:pPr>
        <w:tabs>
          <w:tab w:val="center" w:pos="5670"/>
        </w:tabs>
        <w:jc w:val="both"/>
        <w:rPr>
          <w:rFonts w:cs="Arial"/>
          <w:noProof/>
          <w:sz w:val="20"/>
          <w:highlight w:val="magenta"/>
        </w:rPr>
      </w:pPr>
      <w:r w:rsidRPr="00081855">
        <w:rPr>
          <w:rFonts w:cs="Arial"/>
          <w:noProof/>
          <w:sz w:val="20"/>
          <w:highlight w:val="magenta"/>
        </w:rPr>
        <w:br/>
      </w:r>
      <w:r w:rsidRPr="00081855">
        <w:rPr>
          <w:rFonts w:cs="Arial"/>
          <w:noProof/>
          <w:sz w:val="20"/>
          <w:highlight w:val="magenta"/>
        </w:rPr>
        <w:br/>
      </w:r>
    </w:p>
    <w:p w14:paraId="137614A7" w14:textId="4A87F9C8" w:rsidR="00500014" w:rsidRPr="00081855" w:rsidRDefault="00500014" w:rsidP="009A54C5">
      <w:pPr>
        <w:tabs>
          <w:tab w:val="center" w:pos="5670"/>
        </w:tabs>
        <w:jc w:val="both"/>
        <w:rPr>
          <w:rFonts w:cs="Arial"/>
          <w:sz w:val="20"/>
          <w:highlight w:val="magenta"/>
        </w:rPr>
      </w:pPr>
    </w:p>
    <w:p w14:paraId="3402F8AD" w14:textId="19A9D52E" w:rsidR="007B718F" w:rsidRPr="00081855" w:rsidRDefault="008F5C15" w:rsidP="009A54C5">
      <w:pPr>
        <w:tabs>
          <w:tab w:val="center" w:pos="5670"/>
        </w:tabs>
        <w:jc w:val="both"/>
        <w:rPr>
          <w:rFonts w:cs="Arial"/>
          <w:sz w:val="20"/>
          <w:highlight w:val="magenta"/>
        </w:rPr>
      </w:pPr>
      <w:r w:rsidRPr="00081855">
        <w:rPr>
          <w:rFonts w:cs="Arial"/>
          <w:noProof/>
          <w:sz w:val="20"/>
        </w:rPr>
        <w:lastRenderedPageBreak/>
        <w:drawing>
          <wp:inline distT="0" distB="0" distL="0" distR="0" wp14:anchorId="4B33CE43" wp14:editId="2DBC7051">
            <wp:extent cx="5372100" cy="4029391"/>
            <wp:effectExtent l="0" t="0" r="0" b="9525"/>
            <wp:docPr id="2" name="Slika 2" descr="Fotografija stav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Fotografija stavb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399" cy="403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ACC8D" w14:textId="77777777" w:rsidR="00727859" w:rsidRPr="00081855" w:rsidRDefault="00727859" w:rsidP="009A54C5">
      <w:pPr>
        <w:tabs>
          <w:tab w:val="center" w:pos="5670"/>
        </w:tabs>
        <w:jc w:val="both"/>
        <w:rPr>
          <w:rFonts w:cs="Arial"/>
          <w:sz w:val="20"/>
          <w:highlight w:val="magenta"/>
        </w:rPr>
      </w:pPr>
    </w:p>
    <w:p w14:paraId="465636E8" w14:textId="77777777" w:rsidR="00266117" w:rsidRPr="00081855" w:rsidRDefault="00266117" w:rsidP="009A54C5">
      <w:pPr>
        <w:tabs>
          <w:tab w:val="center" w:pos="5670"/>
        </w:tabs>
        <w:jc w:val="both"/>
        <w:rPr>
          <w:rFonts w:cs="Arial"/>
          <w:noProof/>
          <w:sz w:val="20"/>
          <w:highlight w:val="magenta"/>
        </w:rPr>
      </w:pPr>
    </w:p>
    <w:p w14:paraId="74853B85" w14:textId="77777777" w:rsidR="00266117" w:rsidRPr="00081855" w:rsidRDefault="00266117" w:rsidP="009A54C5">
      <w:pPr>
        <w:tabs>
          <w:tab w:val="center" w:pos="5670"/>
        </w:tabs>
        <w:jc w:val="both"/>
        <w:rPr>
          <w:rFonts w:cs="Arial"/>
          <w:noProof/>
          <w:sz w:val="20"/>
          <w:highlight w:val="magenta"/>
        </w:rPr>
      </w:pPr>
    </w:p>
    <w:p w14:paraId="364943F8" w14:textId="77777777" w:rsidR="001B791B" w:rsidRPr="00081855" w:rsidRDefault="001B791B" w:rsidP="009A54C5">
      <w:pPr>
        <w:tabs>
          <w:tab w:val="center" w:pos="5670"/>
        </w:tabs>
        <w:jc w:val="both"/>
        <w:rPr>
          <w:rFonts w:cs="Arial"/>
          <w:sz w:val="20"/>
          <w:highlight w:val="magenta"/>
        </w:rPr>
      </w:pPr>
    </w:p>
    <w:p w14:paraId="33C1553D" w14:textId="77777777" w:rsidR="00EE4853" w:rsidRPr="00081855" w:rsidRDefault="00EE4853" w:rsidP="009A54C5">
      <w:pPr>
        <w:tabs>
          <w:tab w:val="center" w:pos="5670"/>
        </w:tabs>
        <w:jc w:val="both"/>
        <w:rPr>
          <w:rFonts w:cs="Arial"/>
          <w:sz w:val="20"/>
          <w:highlight w:val="magenta"/>
        </w:rPr>
      </w:pPr>
    </w:p>
    <w:p w14:paraId="1AEFDE54" w14:textId="77777777" w:rsidR="00EE4853" w:rsidRPr="00081855" w:rsidRDefault="00EE4853" w:rsidP="009A54C5">
      <w:pPr>
        <w:tabs>
          <w:tab w:val="center" w:pos="5670"/>
        </w:tabs>
        <w:jc w:val="both"/>
        <w:rPr>
          <w:rFonts w:cs="Arial"/>
          <w:sz w:val="20"/>
          <w:highlight w:val="magenta"/>
        </w:rPr>
      </w:pPr>
    </w:p>
    <w:p w14:paraId="7F30F5D5" w14:textId="01274E83" w:rsidR="00EE4853" w:rsidRPr="00081855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453EADC" w14:textId="77777777" w:rsidR="00EE4853" w:rsidRPr="00081855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265C4C6" w14:textId="77777777" w:rsidR="001B791B" w:rsidRPr="00081855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F7C1BE1" w14:textId="77777777" w:rsidR="001B63C6" w:rsidRPr="00081855" w:rsidRDefault="001B63C6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63C6" w:rsidRPr="00081855" w:rsidSect="00783310"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351B3" w14:textId="77777777" w:rsidR="00C26D38" w:rsidRDefault="00C26D38">
      <w:r>
        <w:separator/>
      </w:r>
    </w:p>
  </w:endnote>
  <w:endnote w:type="continuationSeparator" w:id="0">
    <w:p w14:paraId="62C1EE1B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1EAF8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CCFF466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EDE1D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F1BC1D3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A89EB" w14:textId="77777777" w:rsidR="00C26D38" w:rsidRDefault="00C26D38">
      <w:r>
        <w:separator/>
      </w:r>
    </w:p>
  </w:footnote>
  <w:footnote w:type="continuationSeparator" w:id="0">
    <w:p w14:paraId="0167016B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6F1DB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1F81110A" w14:textId="77777777" w:rsidTr="007C6E67">
      <w:trPr>
        <w:trHeight w:val="980"/>
      </w:trPr>
      <w:tc>
        <w:tcPr>
          <w:tcW w:w="657" w:type="dxa"/>
        </w:tcPr>
        <w:p w14:paraId="69FF0B4E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5C2CE82" wp14:editId="0D791006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7861A69E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5542023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605B094F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35777158" w14:textId="4917084F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920CD4">
      <w:rPr>
        <w:rFonts w:cs="Arial"/>
        <w:sz w:val="16"/>
      </w:rPr>
      <w:t>8</w:t>
    </w:r>
    <w:r w:rsidR="00422A9B">
      <w:rPr>
        <w:rFonts w:cs="Arial"/>
        <w:sz w:val="16"/>
      </w:rPr>
      <w:t>3 30</w:t>
    </w:r>
  </w:p>
  <w:p w14:paraId="42440619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46AAD1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23C0AC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B2159"/>
    <w:multiLevelType w:val="hybridMultilevel"/>
    <w:tmpl w:val="4D148986"/>
    <w:lvl w:ilvl="0" w:tplc="73D8B6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A817489"/>
    <w:multiLevelType w:val="hybridMultilevel"/>
    <w:tmpl w:val="5D3E9452"/>
    <w:lvl w:ilvl="0" w:tplc="7F72B050">
      <w:start w:val="139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18"/>
  </w:num>
  <w:num w:numId="7">
    <w:abstractNumId w:val="13"/>
  </w:num>
  <w:num w:numId="8">
    <w:abstractNumId w:val="19"/>
  </w:num>
  <w:num w:numId="9">
    <w:abstractNumId w:val="6"/>
  </w:num>
  <w:num w:numId="10">
    <w:abstractNumId w:val="0"/>
  </w:num>
  <w:num w:numId="11">
    <w:abstractNumId w:val="9"/>
  </w:num>
  <w:num w:numId="12">
    <w:abstractNumId w:val="1"/>
  </w:num>
  <w:num w:numId="13">
    <w:abstractNumId w:val="17"/>
  </w:num>
  <w:num w:numId="14">
    <w:abstractNumId w:val="15"/>
  </w:num>
  <w:num w:numId="15">
    <w:abstractNumId w:val="5"/>
  </w:num>
  <w:num w:numId="16">
    <w:abstractNumId w:val="16"/>
  </w:num>
  <w:num w:numId="17">
    <w:abstractNumId w:val="21"/>
  </w:num>
  <w:num w:numId="18">
    <w:abstractNumId w:val="23"/>
  </w:num>
  <w:num w:numId="19">
    <w:abstractNumId w:val="14"/>
  </w:num>
  <w:num w:numId="20">
    <w:abstractNumId w:val="22"/>
  </w:num>
  <w:num w:numId="21">
    <w:abstractNumId w:val="2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69D7"/>
    <w:rsid w:val="000276E6"/>
    <w:rsid w:val="00027AE0"/>
    <w:rsid w:val="000354DC"/>
    <w:rsid w:val="00037768"/>
    <w:rsid w:val="00037EF1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1855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34AA"/>
    <w:rsid w:val="000C4445"/>
    <w:rsid w:val="000C5B02"/>
    <w:rsid w:val="000C726E"/>
    <w:rsid w:val="000D2307"/>
    <w:rsid w:val="000D6EBE"/>
    <w:rsid w:val="000E27C2"/>
    <w:rsid w:val="000E56AC"/>
    <w:rsid w:val="000F083F"/>
    <w:rsid w:val="001135B3"/>
    <w:rsid w:val="0012192D"/>
    <w:rsid w:val="00122202"/>
    <w:rsid w:val="00132AC3"/>
    <w:rsid w:val="001357B2"/>
    <w:rsid w:val="001364B1"/>
    <w:rsid w:val="001365CC"/>
    <w:rsid w:val="001403B2"/>
    <w:rsid w:val="0014272F"/>
    <w:rsid w:val="00151D8D"/>
    <w:rsid w:val="00152339"/>
    <w:rsid w:val="0015261B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63C6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2824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4BDE"/>
    <w:rsid w:val="0023599C"/>
    <w:rsid w:val="00237AB8"/>
    <w:rsid w:val="00240F83"/>
    <w:rsid w:val="00242B5C"/>
    <w:rsid w:val="0024547A"/>
    <w:rsid w:val="002462A7"/>
    <w:rsid w:val="00252456"/>
    <w:rsid w:val="00262FA5"/>
    <w:rsid w:val="00263203"/>
    <w:rsid w:val="00266117"/>
    <w:rsid w:val="00271CE5"/>
    <w:rsid w:val="00280E90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13E1"/>
    <w:rsid w:val="002C21FF"/>
    <w:rsid w:val="002C2EC4"/>
    <w:rsid w:val="002C4206"/>
    <w:rsid w:val="002D61AC"/>
    <w:rsid w:val="002D710D"/>
    <w:rsid w:val="002E0C1B"/>
    <w:rsid w:val="002E1ECC"/>
    <w:rsid w:val="002E4C59"/>
    <w:rsid w:val="002E4EA1"/>
    <w:rsid w:val="002E5123"/>
    <w:rsid w:val="002F09A6"/>
    <w:rsid w:val="002F19B9"/>
    <w:rsid w:val="002F29D2"/>
    <w:rsid w:val="002F3CDC"/>
    <w:rsid w:val="002F43C6"/>
    <w:rsid w:val="0030425E"/>
    <w:rsid w:val="00307CB4"/>
    <w:rsid w:val="003102C1"/>
    <w:rsid w:val="0031084B"/>
    <w:rsid w:val="00314A57"/>
    <w:rsid w:val="00315892"/>
    <w:rsid w:val="00321910"/>
    <w:rsid w:val="00321D44"/>
    <w:rsid w:val="0033019C"/>
    <w:rsid w:val="0033229B"/>
    <w:rsid w:val="0033324A"/>
    <w:rsid w:val="00334E9C"/>
    <w:rsid w:val="00335E45"/>
    <w:rsid w:val="00341C64"/>
    <w:rsid w:val="00342DD4"/>
    <w:rsid w:val="00344B81"/>
    <w:rsid w:val="00344E0A"/>
    <w:rsid w:val="00346AD7"/>
    <w:rsid w:val="00351157"/>
    <w:rsid w:val="003533C6"/>
    <w:rsid w:val="00355259"/>
    <w:rsid w:val="00362E5C"/>
    <w:rsid w:val="003636BF"/>
    <w:rsid w:val="00364F83"/>
    <w:rsid w:val="00365D14"/>
    <w:rsid w:val="00367FAC"/>
    <w:rsid w:val="0037209C"/>
    <w:rsid w:val="00372E07"/>
    <w:rsid w:val="0037479F"/>
    <w:rsid w:val="003771D8"/>
    <w:rsid w:val="003772A0"/>
    <w:rsid w:val="00380212"/>
    <w:rsid w:val="00380DD6"/>
    <w:rsid w:val="00384284"/>
    <w:rsid w:val="003845B4"/>
    <w:rsid w:val="00385813"/>
    <w:rsid w:val="00387607"/>
    <w:rsid w:val="00387B1A"/>
    <w:rsid w:val="00390D23"/>
    <w:rsid w:val="00391D55"/>
    <w:rsid w:val="00393094"/>
    <w:rsid w:val="003A3541"/>
    <w:rsid w:val="003A6A3A"/>
    <w:rsid w:val="003B1C49"/>
    <w:rsid w:val="003B30A8"/>
    <w:rsid w:val="003B3372"/>
    <w:rsid w:val="003B4C95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188F"/>
    <w:rsid w:val="003F5EC6"/>
    <w:rsid w:val="003F75D0"/>
    <w:rsid w:val="004012F9"/>
    <w:rsid w:val="00402ABC"/>
    <w:rsid w:val="0040383E"/>
    <w:rsid w:val="0040755E"/>
    <w:rsid w:val="00413F33"/>
    <w:rsid w:val="00420B8A"/>
    <w:rsid w:val="0042221C"/>
    <w:rsid w:val="00422A9B"/>
    <w:rsid w:val="004262B6"/>
    <w:rsid w:val="00426D7E"/>
    <w:rsid w:val="0042790A"/>
    <w:rsid w:val="004306EE"/>
    <w:rsid w:val="00430C16"/>
    <w:rsid w:val="004334CE"/>
    <w:rsid w:val="00433C21"/>
    <w:rsid w:val="00433CBC"/>
    <w:rsid w:val="0043448A"/>
    <w:rsid w:val="00435304"/>
    <w:rsid w:val="00441A04"/>
    <w:rsid w:val="00442633"/>
    <w:rsid w:val="004439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1E3E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2000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60C8"/>
    <w:rsid w:val="00567106"/>
    <w:rsid w:val="00570679"/>
    <w:rsid w:val="005714FD"/>
    <w:rsid w:val="005869E9"/>
    <w:rsid w:val="005B1231"/>
    <w:rsid w:val="005B45B7"/>
    <w:rsid w:val="005B4EA7"/>
    <w:rsid w:val="005C4A27"/>
    <w:rsid w:val="005C590D"/>
    <w:rsid w:val="005D0806"/>
    <w:rsid w:val="005D1EA2"/>
    <w:rsid w:val="005D1FFB"/>
    <w:rsid w:val="005D401B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2F68"/>
    <w:rsid w:val="00663915"/>
    <w:rsid w:val="00670515"/>
    <w:rsid w:val="00670FBD"/>
    <w:rsid w:val="006719FA"/>
    <w:rsid w:val="00680CF9"/>
    <w:rsid w:val="00681366"/>
    <w:rsid w:val="006856C6"/>
    <w:rsid w:val="00686578"/>
    <w:rsid w:val="00692DF2"/>
    <w:rsid w:val="0069597E"/>
    <w:rsid w:val="006B1B87"/>
    <w:rsid w:val="006B3C60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70C"/>
    <w:rsid w:val="007179E3"/>
    <w:rsid w:val="00722AE9"/>
    <w:rsid w:val="00723286"/>
    <w:rsid w:val="007249F7"/>
    <w:rsid w:val="00727859"/>
    <w:rsid w:val="007306D2"/>
    <w:rsid w:val="00733017"/>
    <w:rsid w:val="00734B95"/>
    <w:rsid w:val="0073519F"/>
    <w:rsid w:val="00735669"/>
    <w:rsid w:val="007366B2"/>
    <w:rsid w:val="00740407"/>
    <w:rsid w:val="007434F9"/>
    <w:rsid w:val="00745A83"/>
    <w:rsid w:val="00747FA2"/>
    <w:rsid w:val="007535A5"/>
    <w:rsid w:val="00754A54"/>
    <w:rsid w:val="00757895"/>
    <w:rsid w:val="00757FDC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7B5"/>
    <w:rsid w:val="007968A0"/>
    <w:rsid w:val="007A4A6D"/>
    <w:rsid w:val="007A5A4F"/>
    <w:rsid w:val="007B0F27"/>
    <w:rsid w:val="007B16C5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4478"/>
    <w:rsid w:val="0088043C"/>
    <w:rsid w:val="008852E0"/>
    <w:rsid w:val="00885610"/>
    <w:rsid w:val="008906C9"/>
    <w:rsid w:val="00890713"/>
    <w:rsid w:val="00891BE1"/>
    <w:rsid w:val="00894E2C"/>
    <w:rsid w:val="008A3040"/>
    <w:rsid w:val="008A389A"/>
    <w:rsid w:val="008A617C"/>
    <w:rsid w:val="008A6601"/>
    <w:rsid w:val="008B2EAD"/>
    <w:rsid w:val="008B7D7B"/>
    <w:rsid w:val="008C310C"/>
    <w:rsid w:val="008C5738"/>
    <w:rsid w:val="008C5AB8"/>
    <w:rsid w:val="008D04F0"/>
    <w:rsid w:val="008D2FE9"/>
    <w:rsid w:val="008D616B"/>
    <w:rsid w:val="008E1353"/>
    <w:rsid w:val="008E4591"/>
    <w:rsid w:val="008E4D90"/>
    <w:rsid w:val="008E60A5"/>
    <w:rsid w:val="008F3500"/>
    <w:rsid w:val="008F3D5C"/>
    <w:rsid w:val="008F3D83"/>
    <w:rsid w:val="008F4EC5"/>
    <w:rsid w:val="008F5C15"/>
    <w:rsid w:val="008F69FB"/>
    <w:rsid w:val="00900F01"/>
    <w:rsid w:val="00901097"/>
    <w:rsid w:val="009027C4"/>
    <w:rsid w:val="00904765"/>
    <w:rsid w:val="00906459"/>
    <w:rsid w:val="00907479"/>
    <w:rsid w:val="00914C97"/>
    <w:rsid w:val="00914F8E"/>
    <w:rsid w:val="00915D90"/>
    <w:rsid w:val="00915F33"/>
    <w:rsid w:val="00916DDA"/>
    <w:rsid w:val="00920CD4"/>
    <w:rsid w:val="00924105"/>
    <w:rsid w:val="00924E3C"/>
    <w:rsid w:val="0093093A"/>
    <w:rsid w:val="009311C4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443B"/>
    <w:rsid w:val="009751C1"/>
    <w:rsid w:val="009761E1"/>
    <w:rsid w:val="00982BBF"/>
    <w:rsid w:val="00983BBC"/>
    <w:rsid w:val="00984ECE"/>
    <w:rsid w:val="009903A1"/>
    <w:rsid w:val="0099234A"/>
    <w:rsid w:val="00995C12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9F7CC6"/>
    <w:rsid w:val="00A000A8"/>
    <w:rsid w:val="00A11704"/>
    <w:rsid w:val="00A11BBA"/>
    <w:rsid w:val="00A125C5"/>
    <w:rsid w:val="00A1452D"/>
    <w:rsid w:val="00A14900"/>
    <w:rsid w:val="00A179CB"/>
    <w:rsid w:val="00A21655"/>
    <w:rsid w:val="00A24CD9"/>
    <w:rsid w:val="00A31408"/>
    <w:rsid w:val="00A37199"/>
    <w:rsid w:val="00A409D9"/>
    <w:rsid w:val="00A4236A"/>
    <w:rsid w:val="00A42386"/>
    <w:rsid w:val="00A4255B"/>
    <w:rsid w:val="00A457C7"/>
    <w:rsid w:val="00A45C0D"/>
    <w:rsid w:val="00A473FB"/>
    <w:rsid w:val="00A5039D"/>
    <w:rsid w:val="00A53766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77FA2"/>
    <w:rsid w:val="00A8075E"/>
    <w:rsid w:val="00A8112F"/>
    <w:rsid w:val="00A813FF"/>
    <w:rsid w:val="00A82A09"/>
    <w:rsid w:val="00A876CC"/>
    <w:rsid w:val="00A93D92"/>
    <w:rsid w:val="00A971D8"/>
    <w:rsid w:val="00AA2C31"/>
    <w:rsid w:val="00AA6CA5"/>
    <w:rsid w:val="00AA744E"/>
    <w:rsid w:val="00AA77E7"/>
    <w:rsid w:val="00AB38CE"/>
    <w:rsid w:val="00AD2025"/>
    <w:rsid w:val="00AD5445"/>
    <w:rsid w:val="00AD5AAE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4E23"/>
    <w:rsid w:val="00B25C8E"/>
    <w:rsid w:val="00B27D81"/>
    <w:rsid w:val="00B31575"/>
    <w:rsid w:val="00B35623"/>
    <w:rsid w:val="00B37162"/>
    <w:rsid w:val="00B5073E"/>
    <w:rsid w:val="00B51F4B"/>
    <w:rsid w:val="00B52126"/>
    <w:rsid w:val="00B523AB"/>
    <w:rsid w:val="00B537B0"/>
    <w:rsid w:val="00B53D68"/>
    <w:rsid w:val="00B5435C"/>
    <w:rsid w:val="00B60B54"/>
    <w:rsid w:val="00B60FD3"/>
    <w:rsid w:val="00B610DF"/>
    <w:rsid w:val="00B61836"/>
    <w:rsid w:val="00B64793"/>
    <w:rsid w:val="00B65445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3873"/>
    <w:rsid w:val="00BA4208"/>
    <w:rsid w:val="00BA5694"/>
    <w:rsid w:val="00BB1F36"/>
    <w:rsid w:val="00BB38EB"/>
    <w:rsid w:val="00BB7214"/>
    <w:rsid w:val="00BC1EB5"/>
    <w:rsid w:val="00BC2489"/>
    <w:rsid w:val="00BC5A93"/>
    <w:rsid w:val="00BD16E9"/>
    <w:rsid w:val="00BD18EF"/>
    <w:rsid w:val="00BD302D"/>
    <w:rsid w:val="00BD4013"/>
    <w:rsid w:val="00BD4979"/>
    <w:rsid w:val="00BD49AE"/>
    <w:rsid w:val="00BD4D54"/>
    <w:rsid w:val="00BF1F22"/>
    <w:rsid w:val="00BF4EF1"/>
    <w:rsid w:val="00BF7D9B"/>
    <w:rsid w:val="00C00948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5B25"/>
    <w:rsid w:val="00C36C44"/>
    <w:rsid w:val="00C37645"/>
    <w:rsid w:val="00C50208"/>
    <w:rsid w:val="00C569F5"/>
    <w:rsid w:val="00C61358"/>
    <w:rsid w:val="00C63A0F"/>
    <w:rsid w:val="00C72E19"/>
    <w:rsid w:val="00C77797"/>
    <w:rsid w:val="00C9191F"/>
    <w:rsid w:val="00C9261E"/>
    <w:rsid w:val="00C92898"/>
    <w:rsid w:val="00C94712"/>
    <w:rsid w:val="00CA19F3"/>
    <w:rsid w:val="00CA6D56"/>
    <w:rsid w:val="00CB0324"/>
    <w:rsid w:val="00CB4AEF"/>
    <w:rsid w:val="00CB4E53"/>
    <w:rsid w:val="00CC1F2A"/>
    <w:rsid w:val="00CC3299"/>
    <w:rsid w:val="00CC60CA"/>
    <w:rsid w:val="00CC619F"/>
    <w:rsid w:val="00CD149E"/>
    <w:rsid w:val="00CD156E"/>
    <w:rsid w:val="00CD1846"/>
    <w:rsid w:val="00CD346D"/>
    <w:rsid w:val="00CD796E"/>
    <w:rsid w:val="00CD7B86"/>
    <w:rsid w:val="00CE24A2"/>
    <w:rsid w:val="00CE3D3F"/>
    <w:rsid w:val="00CE60A9"/>
    <w:rsid w:val="00CE7514"/>
    <w:rsid w:val="00CF0CD8"/>
    <w:rsid w:val="00CF2402"/>
    <w:rsid w:val="00D016DE"/>
    <w:rsid w:val="00D0297B"/>
    <w:rsid w:val="00D06C6D"/>
    <w:rsid w:val="00D100F1"/>
    <w:rsid w:val="00D12556"/>
    <w:rsid w:val="00D12B46"/>
    <w:rsid w:val="00D1348D"/>
    <w:rsid w:val="00D173AD"/>
    <w:rsid w:val="00D20ECB"/>
    <w:rsid w:val="00D23886"/>
    <w:rsid w:val="00D248DE"/>
    <w:rsid w:val="00D254EB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862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08B7"/>
    <w:rsid w:val="00DA5900"/>
    <w:rsid w:val="00DA73C0"/>
    <w:rsid w:val="00DB6859"/>
    <w:rsid w:val="00DB748A"/>
    <w:rsid w:val="00DB7564"/>
    <w:rsid w:val="00DC265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0FEF"/>
    <w:rsid w:val="00E1308A"/>
    <w:rsid w:val="00E1585D"/>
    <w:rsid w:val="00E20898"/>
    <w:rsid w:val="00E21A58"/>
    <w:rsid w:val="00E22F05"/>
    <w:rsid w:val="00E24EC2"/>
    <w:rsid w:val="00E25CD0"/>
    <w:rsid w:val="00E2649E"/>
    <w:rsid w:val="00E33A1B"/>
    <w:rsid w:val="00E36965"/>
    <w:rsid w:val="00E36D52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87D89"/>
    <w:rsid w:val="00E9107B"/>
    <w:rsid w:val="00E969F9"/>
    <w:rsid w:val="00E97071"/>
    <w:rsid w:val="00EA0F8C"/>
    <w:rsid w:val="00EA17E3"/>
    <w:rsid w:val="00EA4D82"/>
    <w:rsid w:val="00EA5D0F"/>
    <w:rsid w:val="00EB195E"/>
    <w:rsid w:val="00EB2B28"/>
    <w:rsid w:val="00EB618D"/>
    <w:rsid w:val="00EB793D"/>
    <w:rsid w:val="00EC24FF"/>
    <w:rsid w:val="00EC46DE"/>
    <w:rsid w:val="00EC6EF3"/>
    <w:rsid w:val="00EC7D53"/>
    <w:rsid w:val="00ED05C8"/>
    <w:rsid w:val="00ED3B97"/>
    <w:rsid w:val="00ED6713"/>
    <w:rsid w:val="00ED7BA7"/>
    <w:rsid w:val="00EE26C1"/>
    <w:rsid w:val="00EE4067"/>
    <w:rsid w:val="00EE46F2"/>
    <w:rsid w:val="00EE4853"/>
    <w:rsid w:val="00EE7E4C"/>
    <w:rsid w:val="00EF413C"/>
    <w:rsid w:val="00F022AF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164"/>
    <w:rsid w:val="00F46724"/>
    <w:rsid w:val="00F536FB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97A17"/>
    <w:rsid w:val="00FA1E76"/>
    <w:rsid w:val="00FB254D"/>
    <w:rsid w:val="00FB5633"/>
    <w:rsid w:val="00FB5852"/>
    <w:rsid w:val="00FB5862"/>
    <w:rsid w:val="00FB5E95"/>
    <w:rsid w:val="00FC399C"/>
    <w:rsid w:val="00FD25A2"/>
    <w:rsid w:val="00FE08C5"/>
    <w:rsid w:val="00FF5E5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7990FF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254EB"/>
    <w:rPr>
      <w:color w:val="605E5C"/>
      <w:shd w:val="clear" w:color="auto" w:fill="E1DFDD"/>
    </w:rPr>
  </w:style>
  <w:style w:type="paragraph" w:customStyle="1" w:styleId="odstavek">
    <w:name w:val="odstavek"/>
    <w:basedOn w:val="Navaden"/>
    <w:rsid w:val="00A4238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1B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2914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assets/ministrstva/MJU/DSP/Sistemsko-urejanje/OBVESTILO_ravnanje_s_stvarnim_premozenjem-1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1-01-03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20-01-097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21-3507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CAEB-E870-4D17-A830-F1E1BF6E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1304</TotalTime>
  <Pages>4</Pages>
  <Words>962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1757_1 k.o. 137-Odranci</vt:lpstr>
    </vt:vector>
  </TitlesOfParts>
  <Company>Indea d.o.o.</Company>
  <LinksUpToDate>false</LinksUpToDate>
  <CharactersWithSpaces>7188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n.p. Vrhek</dc:title>
  <dc:subject/>
  <dc:creator/>
  <cp:keywords/>
  <dc:description/>
  <cp:lastModifiedBy>Domen Boškovič</cp:lastModifiedBy>
  <cp:revision>65</cp:revision>
  <cp:lastPrinted>2019-07-25T11:29:00Z</cp:lastPrinted>
  <dcterms:created xsi:type="dcterms:W3CDTF">2021-07-19T11:31:00Z</dcterms:created>
  <dcterms:modified xsi:type="dcterms:W3CDTF">2021-08-09T09:46:00Z</dcterms:modified>
</cp:coreProperties>
</file>