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0C22B149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3A05F2">
        <w:rPr>
          <w:rFonts w:cs="Arial"/>
          <w:sz w:val="20"/>
        </w:rPr>
        <w:t>7-</w:t>
      </w:r>
      <w:r w:rsidR="008C195C">
        <w:rPr>
          <w:rFonts w:cs="Arial"/>
          <w:sz w:val="20"/>
        </w:rPr>
        <w:t>430/2012-MPJU/</w:t>
      </w:r>
      <w:r w:rsidR="007B6D37">
        <w:rPr>
          <w:rFonts w:cs="Arial"/>
          <w:sz w:val="20"/>
        </w:rPr>
        <w:t>100</w:t>
      </w:r>
    </w:p>
    <w:p w14:paraId="022DD924" w14:textId="41E66AAF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5E0C69">
        <w:rPr>
          <w:rFonts w:cs="Arial"/>
          <w:sz w:val="20"/>
        </w:rPr>
        <w:t>1</w:t>
      </w:r>
      <w:r w:rsidR="00F8241F">
        <w:rPr>
          <w:rFonts w:cs="Arial"/>
          <w:sz w:val="20"/>
        </w:rPr>
        <w:t xml:space="preserve">. </w:t>
      </w:r>
      <w:r w:rsidR="005E0C69">
        <w:rPr>
          <w:rFonts w:cs="Arial"/>
          <w:sz w:val="20"/>
        </w:rPr>
        <w:t>3</w:t>
      </w:r>
      <w:r w:rsidR="00F8241F">
        <w:rPr>
          <w:rFonts w:cs="Arial"/>
          <w:sz w:val="20"/>
        </w:rPr>
        <w:t>. 2022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7E3B7643" w:rsidR="004672FD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</w:t>
      </w:r>
      <w:r w:rsidR="0038394B">
        <w:rPr>
          <w:rFonts w:cs="Arial"/>
          <w:b/>
          <w:sz w:val="20"/>
        </w:rPr>
        <w:t xml:space="preserve"> </w:t>
      </w:r>
      <w:r w:rsidR="008C195C">
        <w:rPr>
          <w:rFonts w:cs="Arial"/>
          <w:b/>
          <w:sz w:val="20"/>
        </w:rPr>
        <w:t xml:space="preserve">SOLASTNIŠKIH DELEŽEV (1/3) NA </w:t>
      </w:r>
      <w:r w:rsidR="0038394B">
        <w:rPr>
          <w:rFonts w:cs="Arial"/>
          <w:b/>
          <w:sz w:val="20"/>
        </w:rPr>
        <w:t xml:space="preserve">PARC. ŠT. </w:t>
      </w:r>
      <w:r w:rsidR="008C195C">
        <w:rPr>
          <w:rFonts w:cs="Arial"/>
          <w:b/>
          <w:sz w:val="20"/>
        </w:rPr>
        <w:t>187/1 IN PARC. ŠT. 187/2, OBE K. O. 906-ČRNA</w:t>
      </w:r>
      <w:r w:rsidR="00F8241F">
        <w:rPr>
          <w:rFonts w:cs="Arial"/>
          <w:b/>
          <w:sz w:val="20"/>
        </w:rPr>
        <w:t>,</w:t>
      </w:r>
      <w:r w:rsidR="000B4884">
        <w:rPr>
          <w:rFonts w:cs="Arial"/>
          <w:b/>
          <w:sz w:val="20"/>
        </w:rPr>
        <w:t xml:space="preserve"> KI SE PRODAJATA SKUPAJ, V PAKETU,</w:t>
      </w:r>
      <w:r w:rsidR="001262E2">
        <w:rPr>
          <w:rFonts w:cs="Arial"/>
          <w:b/>
          <w:sz w:val="20"/>
        </w:rPr>
        <w:t xml:space="preserve"> 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2D80FFDF" w:rsidR="00EF2E65" w:rsidRDefault="00EF2E65" w:rsidP="00E44C83">
      <w:pPr>
        <w:jc w:val="both"/>
        <w:rPr>
          <w:rFonts w:cs="Arial"/>
          <w:sz w:val="20"/>
        </w:rPr>
      </w:pPr>
    </w:p>
    <w:p w14:paraId="48E4D44B" w14:textId="77777777" w:rsidR="00C165C5" w:rsidRPr="004F5EA4" w:rsidRDefault="00C165C5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FE3F212" w14:textId="16A941B6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>
        <w:rPr>
          <w:rFonts w:cs="Arial"/>
          <w:sz w:val="20"/>
        </w:rPr>
        <w:t>je naslednj</w:t>
      </w:r>
      <w:r w:rsidR="0038394B">
        <w:rPr>
          <w:rFonts w:cs="Arial"/>
          <w:sz w:val="20"/>
        </w:rPr>
        <w:t>e</w:t>
      </w:r>
      <w:r>
        <w:rPr>
          <w:rFonts w:cs="Arial"/>
          <w:sz w:val="20"/>
        </w:rPr>
        <w:t xml:space="preserve"> nepremičn</w:t>
      </w:r>
      <w:r w:rsidR="0038394B">
        <w:rPr>
          <w:rFonts w:cs="Arial"/>
          <w:sz w:val="20"/>
        </w:rPr>
        <w:t>o premoženje</w:t>
      </w:r>
      <w:r>
        <w:rPr>
          <w:rFonts w:cs="Arial"/>
          <w:sz w:val="20"/>
        </w:rPr>
        <w:t xml:space="preserve">: </w:t>
      </w:r>
    </w:p>
    <w:tbl>
      <w:tblPr>
        <w:tblStyle w:val="Tabelamrea4poudarek1"/>
        <w:tblW w:w="8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701"/>
        <w:gridCol w:w="1701"/>
        <w:gridCol w:w="1984"/>
        <w:gridCol w:w="2039"/>
      </w:tblGrid>
      <w:tr w:rsidR="0038394B" w:rsidRPr="002A1A8C" w14:paraId="680C8EF3" w14:textId="77777777" w:rsidTr="00383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6CA825E" w14:textId="04F319F7" w:rsidR="0038394B" w:rsidRPr="00F66E22" w:rsidRDefault="0038394B" w:rsidP="009E27E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proofErr w:type="spellStart"/>
            <w:r>
              <w:rPr>
                <w:rFonts w:cs="Arial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iCs/>
                <w:sz w:val="16"/>
                <w:szCs w:val="16"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  <w:hideMark/>
          </w:tcPr>
          <w:p w14:paraId="61F82437" w14:textId="1B383565" w:rsidR="0038394B" w:rsidRPr="00F66E22" w:rsidRDefault="0038394B" w:rsidP="009E27E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 xml:space="preserve">Katastrska občina </w:t>
            </w:r>
          </w:p>
        </w:tc>
        <w:tc>
          <w:tcPr>
            <w:tcW w:w="1701" w:type="dxa"/>
            <w:vAlign w:val="center"/>
            <w:hideMark/>
          </w:tcPr>
          <w:p w14:paraId="124273F1" w14:textId="7F598B21" w:rsidR="0038394B" w:rsidRPr="00F66E22" w:rsidRDefault="0038394B" w:rsidP="009E27E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izmera po GURS</w:t>
            </w:r>
            <w:r>
              <w:rPr>
                <w:rFonts w:cs="Arial"/>
                <w:iCs/>
                <w:sz w:val="16"/>
                <w:szCs w:val="16"/>
              </w:rPr>
              <w:t xml:space="preserve"> do celote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C9299D5" w14:textId="67B0490A" w:rsidR="0038394B" w:rsidRPr="00F66E22" w:rsidRDefault="0038394B" w:rsidP="009E27EF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 xml:space="preserve">Dejanska raba </w:t>
            </w:r>
          </w:p>
        </w:tc>
        <w:tc>
          <w:tcPr>
            <w:tcW w:w="2039" w:type="dxa"/>
            <w:vAlign w:val="center"/>
          </w:tcPr>
          <w:p w14:paraId="4F24806E" w14:textId="7FD201D3" w:rsidR="0038394B" w:rsidRPr="00F66E22" w:rsidRDefault="0038394B" w:rsidP="009E27E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F66E22">
              <w:rPr>
                <w:rFonts w:cs="Arial"/>
                <w:iCs/>
                <w:sz w:val="16"/>
                <w:szCs w:val="16"/>
              </w:rPr>
              <w:t>elež</w:t>
            </w:r>
          </w:p>
          <w:p w14:paraId="465FE622" w14:textId="7FE0550E" w:rsidR="0038394B" w:rsidRPr="00F66E22" w:rsidRDefault="0038394B" w:rsidP="009E27E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RS</w:t>
            </w:r>
            <w:r>
              <w:rPr>
                <w:rFonts w:cs="Arial"/>
                <w:iCs/>
                <w:sz w:val="16"/>
                <w:szCs w:val="16"/>
              </w:rPr>
              <w:t>, ki je predmet prodaje</w:t>
            </w:r>
          </w:p>
        </w:tc>
      </w:tr>
      <w:tr w:rsidR="0038394B" w:rsidRPr="00171610" w14:paraId="2996916A" w14:textId="77777777" w:rsidTr="00383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4D4EFFF" w14:textId="3A142479" w:rsidR="0038394B" w:rsidRPr="00171610" w:rsidRDefault="008C195C" w:rsidP="009E27EF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187/1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807DCCF" w14:textId="4268BA8C" w:rsidR="0038394B" w:rsidRPr="00171610" w:rsidRDefault="008C195C" w:rsidP="009E27EF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906-Črna</w:t>
            </w:r>
          </w:p>
        </w:tc>
        <w:tc>
          <w:tcPr>
            <w:tcW w:w="1701" w:type="dxa"/>
            <w:vAlign w:val="center"/>
          </w:tcPr>
          <w:p w14:paraId="6A826964" w14:textId="4DAC661A" w:rsidR="0038394B" w:rsidRPr="00171610" w:rsidRDefault="008C195C" w:rsidP="009E27E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790</w:t>
            </w:r>
            <w:r w:rsidR="0038394B" w:rsidRPr="00171610">
              <w:rPr>
                <w:rFonts w:cs="Arial"/>
                <w:b/>
                <w:bCs/>
                <w:sz w:val="16"/>
                <w:szCs w:val="16"/>
              </w:rPr>
              <w:t>,00 m</w:t>
            </w:r>
            <w:r w:rsidR="0038394B" w:rsidRPr="00171610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59A03B75" w14:textId="4CDA7C8A" w:rsidR="0038394B" w:rsidRPr="00171610" w:rsidRDefault="0038394B" w:rsidP="009E27EF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71610">
              <w:rPr>
                <w:rFonts w:cs="Arial"/>
                <w:b/>
                <w:bCs/>
                <w:sz w:val="16"/>
                <w:szCs w:val="16"/>
              </w:rPr>
              <w:t>pozidano stavbno zemljišče</w:t>
            </w:r>
          </w:p>
        </w:tc>
        <w:tc>
          <w:tcPr>
            <w:tcW w:w="2039" w:type="dxa"/>
          </w:tcPr>
          <w:p w14:paraId="7315E246" w14:textId="1C8C8616" w:rsidR="0038394B" w:rsidRPr="00171610" w:rsidRDefault="0038394B" w:rsidP="0038394B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171610">
              <w:rPr>
                <w:rFonts w:cs="Arial"/>
                <w:b/>
                <w:bCs/>
                <w:sz w:val="16"/>
                <w:szCs w:val="16"/>
              </w:rPr>
              <w:t>1/</w:t>
            </w:r>
            <w:r w:rsidR="008C195C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</w:tr>
      <w:tr w:rsidR="008C195C" w:rsidRPr="00171610" w14:paraId="5845C3B5" w14:textId="77777777" w:rsidTr="008C195C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D9E2F3" w:themeFill="accent1" w:themeFillTint="33"/>
            <w:vAlign w:val="center"/>
          </w:tcPr>
          <w:p w14:paraId="4075C2A9" w14:textId="75F6EB2C" w:rsidR="008C195C" w:rsidRDefault="008C195C" w:rsidP="009E27EF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187/2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0B9A97C" w14:textId="57C5D903" w:rsidR="008C195C" w:rsidRDefault="008C195C" w:rsidP="009E27EF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906-Črna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DA7B696" w14:textId="2915E05A" w:rsidR="008C195C" w:rsidRDefault="008C195C" w:rsidP="009E27E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293,00 </w:t>
            </w:r>
            <w:r w:rsidRPr="00171610">
              <w:rPr>
                <w:rFonts w:cs="Arial"/>
                <w:b/>
                <w:bCs/>
                <w:sz w:val="16"/>
                <w:szCs w:val="16"/>
              </w:rPr>
              <w:t>m</w:t>
            </w:r>
            <w:r w:rsidRPr="00171610">
              <w:rPr>
                <w:rFonts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56148FB4" w14:textId="5DE06CB5" w:rsidR="008C195C" w:rsidRPr="00171610" w:rsidRDefault="008C195C" w:rsidP="009E27EF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nepozidano stavbno zemljišče</w:t>
            </w:r>
          </w:p>
        </w:tc>
        <w:tc>
          <w:tcPr>
            <w:tcW w:w="2039" w:type="dxa"/>
            <w:shd w:val="clear" w:color="auto" w:fill="D9E2F3" w:themeFill="accent1" w:themeFillTint="33"/>
          </w:tcPr>
          <w:p w14:paraId="6DD9D177" w14:textId="32EDCEBC" w:rsidR="008C195C" w:rsidRPr="00171610" w:rsidRDefault="008C195C" w:rsidP="0038394B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1/3</w:t>
            </w:r>
          </w:p>
        </w:tc>
      </w:tr>
    </w:tbl>
    <w:p w14:paraId="5E20CF6E" w14:textId="66018699" w:rsidR="008C195C" w:rsidRDefault="008C195C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Solastniška deleža Republike Slovenije, ki sta predmet prodaje se nahajata na območju stavbnih zemljišč na območju Občine Črna na Koroškem in prostorsko predstavljata zaključeno celoto. </w:t>
      </w:r>
      <w:r w:rsidR="009E22F6">
        <w:rPr>
          <w:rFonts w:cs="Arial"/>
          <w:sz w:val="20"/>
        </w:rPr>
        <w:t xml:space="preserve">Dostop do njiju je omogočen preko javne površine. </w:t>
      </w:r>
    </w:p>
    <w:p w14:paraId="48A80685" w14:textId="302244BD" w:rsidR="008C195C" w:rsidRDefault="008C195C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2DB3CDFE" w14:textId="74C886AE" w:rsidR="008C195C" w:rsidRDefault="008C195C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Na zemljišču s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>. št. 187/1, k. o. 906-Črna po podatkih GURS stoji stavba z id. št. stavbe 491, del 1, pomožni kmetijski del stavbe</w:t>
      </w:r>
      <w:r w:rsidR="00F84407">
        <w:rPr>
          <w:rFonts w:cs="Arial"/>
          <w:sz w:val="20"/>
        </w:rPr>
        <w:t>,</w:t>
      </w:r>
      <w:r>
        <w:rPr>
          <w:rFonts w:cs="Arial"/>
          <w:sz w:val="20"/>
        </w:rPr>
        <w:t xml:space="preserve"> ki je bil zgrajen leta 1983, v skupni izmeri 14.00 m2.</w:t>
      </w:r>
    </w:p>
    <w:p w14:paraId="032AB9FB" w14:textId="77777777" w:rsidR="00F8241F" w:rsidRPr="00F84407" w:rsidRDefault="00F8241F" w:rsidP="00F84407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1FEADC3" w14:textId="77777777" w:rsidR="00F84407" w:rsidRPr="00F84407" w:rsidRDefault="00F8241F" w:rsidP="00F84407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F84407">
        <w:rPr>
          <w:rFonts w:cs="Arial"/>
          <w:sz w:val="20"/>
        </w:rPr>
        <w:t>Solastnišk</w:t>
      </w:r>
      <w:r w:rsidR="008C195C" w:rsidRPr="00F84407">
        <w:rPr>
          <w:rFonts w:cs="Arial"/>
          <w:sz w:val="20"/>
        </w:rPr>
        <w:t>a</w:t>
      </w:r>
      <w:r w:rsidRPr="00F84407">
        <w:rPr>
          <w:rFonts w:cs="Arial"/>
          <w:sz w:val="20"/>
        </w:rPr>
        <w:t xml:space="preserve"> delež</w:t>
      </w:r>
      <w:r w:rsidR="008C195C" w:rsidRPr="00F84407">
        <w:rPr>
          <w:rFonts w:cs="Arial"/>
          <w:sz w:val="20"/>
        </w:rPr>
        <w:t>a</w:t>
      </w:r>
      <w:r w:rsidRPr="00F84407">
        <w:rPr>
          <w:rFonts w:cs="Arial"/>
          <w:sz w:val="20"/>
        </w:rPr>
        <w:t xml:space="preserve"> Republike Slovenije, ki </w:t>
      </w:r>
      <w:r w:rsidR="008C195C" w:rsidRPr="00F84407">
        <w:rPr>
          <w:rFonts w:cs="Arial"/>
          <w:sz w:val="20"/>
        </w:rPr>
        <w:t>sta</w:t>
      </w:r>
      <w:r w:rsidRPr="00F84407">
        <w:rPr>
          <w:rFonts w:cs="Arial"/>
          <w:sz w:val="20"/>
        </w:rPr>
        <w:t xml:space="preserve"> predmet prodaje</w:t>
      </w:r>
      <w:r w:rsidR="008C195C" w:rsidRPr="00F84407">
        <w:rPr>
          <w:rFonts w:cs="Arial"/>
          <w:sz w:val="20"/>
        </w:rPr>
        <w:t xml:space="preserve"> skupaj v paket</w:t>
      </w:r>
      <w:r w:rsidR="00B61263" w:rsidRPr="00F84407">
        <w:rPr>
          <w:rFonts w:cs="Arial"/>
          <w:sz w:val="20"/>
        </w:rPr>
        <w:t>u</w:t>
      </w:r>
      <w:r w:rsidR="008C195C" w:rsidRPr="00F84407">
        <w:rPr>
          <w:rFonts w:cs="Arial"/>
          <w:sz w:val="20"/>
        </w:rPr>
        <w:t xml:space="preserve">, sta </w:t>
      </w:r>
      <w:r w:rsidRPr="00F84407">
        <w:rPr>
          <w:rFonts w:cs="Arial"/>
          <w:sz w:val="20"/>
        </w:rPr>
        <w:t>ZK urejen</w:t>
      </w:r>
      <w:r w:rsidR="008C195C" w:rsidRPr="00F84407">
        <w:rPr>
          <w:rFonts w:cs="Arial"/>
          <w:sz w:val="20"/>
        </w:rPr>
        <w:t>a</w:t>
      </w:r>
      <w:r w:rsidR="00F84407" w:rsidRPr="00F84407">
        <w:rPr>
          <w:rFonts w:cs="Arial"/>
          <w:sz w:val="20"/>
        </w:rPr>
        <w:t xml:space="preserve">. Pri obeh je vpisana služnost </w:t>
      </w:r>
      <w:r w:rsidR="00F84407" w:rsidRPr="00F84407">
        <w:rPr>
          <w:rFonts w:cs="Arial"/>
          <w:sz w:val="20"/>
          <w:lang w:eastAsia="sl-SI"/>
        </w:rPr>
        <w:t xml:space="preserve">dostopa, izgradnje in opravljanja vseh del, potrebnih za obratovanje, vzdrževanje in nadzor elektroenergetskega kablovoda v dolžini 40,00 m, ki bo potekal po obstoječi trasi elektroenergetskega kablovoda v korist Elektra Celje, d. d.. </w:t>
      </w:r>
    </w:p>
    <w:p w14:paraId="04813E26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6D39E057" w14:textId="77777777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  <w:u w:val="single"/>
        </w:rPr>
      </w:pPr>
      <w:r w:rsidRPr="001262E2">
        <w:rPr>
          <w:rFonts w:cs="Arial"/>
          <w:b/>
          <w:bCs/>
          <w:sz w:val="20"/>
          <w:u w:val="single"/>
        </w:rPr>
        <w:t>Solastniški delež</w:t>
      </w:r>
      <w:r>
        <w:rPr>
          <w:rFonts w:cs="Arial"/>
          <w:b/>
          <w:bCs/>
          <w:sz w:val="20"/>
          <w:u w:val="single"/>
        </w:rPr>
        <w:t>i</w:t>
      </w:r>
      <w:r w:rsidRPr="001262E2">
        <w:rPr>
          <w:rFonts w:cs="Arial"/>
          <w:b/>
          <w:bCs/>
          <w:sz w:val="20"/>
          <w:u w:val="single"/>
        </w:rPr>
        <w:t xml:space="preserve"> drug</w:t>
      </w:r>
      <w:r>
        <w:rPr>
          <w:rFonts w:cs="Arial"/>
          <w:b/>
          <w:bCs/>
          <w:sz w:val="20"/>
          <w:u w:val="single"/>
        </w:rPr>
        <w:t>ih</w:t>
      </w:r>
      <w:r w:rsidRPr="001262E2">
        <w:rPr>
          <w:rFonts w:cs="Arial"/>
          <w:b/>
          <w:bCs/>
          <w:sz w:val="20"/>
          <w:u w:val="single"/>
        </w:rPr>
        <w:t xml:space="preserve"> solastnik</w:t>
      </w:r>
      <w:r>
        <w:rPr>
          <w:rFonts w:cs="Arial"/>
          <w:b/>
          <w:bCs/>
          <w:sz w:val="20"/>
          <w:u w:val="single"/>
        </w:rPr>
        <w:t>ov</w:t>
      </w:r>
      <w:r w:rsidRPr="001262E2">
        <w:rPr>
          <w:rFonts w:cs="Arial"/>
          <w:b/>
          <w:bCs/>
          <w:sz w:val="20"/>
          <w:u w:val="single"/>
        </w:rPr>
        <w:t xml:space="preserve"> NI</w:t>
      </w:r>
      <w:r>
        <w:rPr>
          <w:rFonts w:cs="Arial"/>
          <w:b/>
          <w:bCs/>
          <w:sz w:val="20"/>
          <w:u w:val="single"/>
        </w:rPr>
        <w:t>SO</w:t>
      </w:r>
      <w:r w:rsidRPr="001262E2">
        <w:rPr>
          <w:rFonts w:cs="Arial"/>
          <w:b/>
          <w:bCs/>
          <w:sz w:val="20"/>
          <w:u w:val="single"/>
        </w:rPr>
        <w:t xml:space="preserve"> predmet prodaje</w:t>
      </w:r>
      <w:r w:rsidRPr="001262E2">
        <w:rPr>
          <w:rFonts w:cs="Arial"/>
          <w:sz w:val="20"/>
          <w:u w:val="single"/>
        </w:rPr>
        <w:t xml:space="preserve">. </w:t>
      </w:r>
    </w:p>
    <w:p w14:paraId="60604DB5" w14:textId="77777777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69920C5E" w14:textId="0A33729D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Drugi s</w:t>
      </w:r>
      <w:r w:rsidRPr="008C1885">
        <w:rPr>
          <w:rFonts w:eastAsia="Arial" w:cs="Arial"/>
          <w:color w:val="000000"/>
          <w:sz w:val="20"/>
        </w:rPr>
        <w:t>olastniki imajo na podlagi tretjega odstavka 66. člena Stvarnopravnega zakonika (Uradni list RS, št. 87/02, 91/13 in 23/20) predkupno pravico.</w:t>
      </w:r>
    </w:p>
    <w:p w14:paraId="72C0A256" w14:textId="6320AB03" w:rsidR="00947610" w:rsidRDefault="00947610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774D6FF9" w14:textId="67CA234D" w:rsidR="00947610" w:rsidRPr="008C1885" w:rsidRDefault="00947610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Nepremičnin</w:t>
      </w:r>
      <w:r w:rsidR="00BB05DC">
        <w:rPr>
          <w:rFonts w:eastAsia="Arial" w:cs="Arial"/>
          <w:color w:val="000000"/>
          <w:sz w:val="20"/>
        </w:rPr>
        <w:t>i</w:t>
      </w:r>
      <w:r>
        <w:rPr>
          <w:rFonts w:eastAsia="Arial" w:cs="Arial"/>
          <w:color w:val="000000"/>
          <w:sz w:val="20"/>
        </w:rPr>
        <w:t xml:space="preserve"> se nahaja</w:t>
      </w:r>
      <w:r w:rsidR="00BB05DC">
        <w:rPr>
          <w:rFonts w:eastAsia="Arial" w:cs="Arial"/>
          <w:color w:val="000000"/>
          <w:sz w:val="20"/>
        </w:rPr>
        <w:t>ta</w:t>
      </w:r>
      <w:r>
        <w:rPr>
          <w:rFonts w:eastAsia="Arial" w:cs="Arial"/>
          <w:color w:val="000000"/>
          <w:sz w:val="20"/>
        </w:rPr>
        <w:t xml:space="preserve"> na območju predkupne pravice Občine </w:t>
      </w:r>
      <w:r w:rsidR="00BB05DC">
        <w:rPr>
          <w:rFonts w:eastAsia="Arial" w:cs="Arial"/>
          <w:color w:val="000000"/>
          <w:sz w:val="20"/>
        </w:rPr>
        <w:t>Črna na Koroškem</w:t>
      </w:r>
      <w:r>
        <w:rPr>
          <w:rFonts w:eastAsia="Arial" w:cs="Arial"/>
          <w:color w:val="000000"/>
          <w:sz w:val="20"/>
        </w:rPr>
        <w:t>.</w:t>
      </w:r>
    </w:p>
    <w:p w14:paraId="75F14630" w14:textId="0DB129A0" w:rsidR="00EF2E65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0969393" w14:textId="77777777" w:rsidR="00C165C5" w:rsidRDefault="00C165C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C5B139E" w14:textId="50B92633" w:rsidR="00F8241F" w:rsidRDefault="00046187" w:rsidP="00F8241F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19953051" w14:textId="0BA84DF0" w:rsidR="00C165C5" w:rsidRDefault="00C165C5" w:rsidP="00F8241F">
      <w:pPr>
        <w:ind w:right="-54"/>
        <w:jc w:val="both"/>
        <w:rPr>
          <w:rFonts w:cs="Arial"/>
          <w:b/>
          <w:sz w:val="20"/>
          <w:u w:val="single"/>
        </w:rPr>
      </w:pPr>
    </w:p>
    <w:p w14:paraId="52C2BA5E" w14:textId="77777777" w:rsidR="00C165C5" w:rsidRDefault="00C165C5" w:rsidP="00F8241F">
      <w:pPr>
        <w:ind w:right="-54"/>
        <w:jc w:val="both"/>
        <w:rPr>
          <w:rFonts w:cs="Arial"/>
          <w:b/>
          <w:sz w:val="20"/>
          <w:u w:val="single"/>
        </w:rPr>
      </w:pPr>
    </w:p>
    <w:p w14:paraId="7CB7C170" w14:textId="6E85AEF0" w:rsidR="00E44C83" w:rsidRPr="00F8241F" w:rsidRDefault="00670515" w:rsidP="00F8241F">
      <w:pPr>
        <w:ind w:right="-54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lastRenderedPageBreak/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603C37DC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BB05DC">
        <w:rPr>
          <w:rFonts w:cs="Arial"/>
          <w:sz w:val="20"/>
        </w:rPr>
        <w:t>i</w:t>
      </w:r>
      <w:r w:rsidR="005B162D">
        <w:rPr>
          <w:rFonts w:cs="Arial"/>
          <w:sz w:val="20"/>
        </w:rPr>
        <w:t xml:space="preserve"> </w:t>
      </w:r>
      <w:r w:rsidR="00C165C5">
        <w:rPr>
          <w:rFonts w:cs="Arial"/>
          <w:sz w:val="20"/>
        </w:rPr>
        <w:t xml:space="preserve">s </w:t>
      </w:r>
      <w:proofErr w:type="spellStart"/>
      <w:r w:rsidR="00C165C5">
        <w:rPr>
          <w:rFonts w:cs="Arial"/>
          <w:sz w:val="20"/>
        </w:rPr>
        <w:t>parc</w:t>
      </w:r>
      <w:proofErr w:type="spellEnd"/>
      <w:r w:rsidR="00C165C5">
        <w:rPr>
          <w:rFonts w:cs="Arial"/>
          <w:sz w:val="20"/>
        </w:rPr>
        <w:t xml:space="preserve">. št. </w:t>
      </w:r>
      <w:r w:rsidR="00BB05DC">
        <w:rPr>
          <w:rFonts w:cs="Arial"/>
          <w:sz w:val="20"/>
        </w:rPr>
        <w:t xml:space="preserve">187/1 in </w:t>
      </w:r>
      <w:proofErr w:type="spellStart"/>
      <w:r w:rsidR="00BB05DC">
        <w:rPr>
          <w:rFonts w:cs="Arial"/>
          <w:sz w:val="20"/>
        </w:rPr>
        <w:t>parc</w:t>
      </w:r>
      <w:proofErr w:type="spellEnd"/>
      <w:r w:rsidR="00BB05DC">
        <w:rPr>
          <w:rFonts w:cs="Arial"/>
          <w:sz w:val="20"/>
        </w:rPr>
        <w:t xml:space="preserve">. št. 187/2, obe k. o. 906-Črna na </w:t>
      </w:r>
      <w:r w:rsidR="00EA1ABA">
        <w:rPr>
          <w:rFonts w:cs="Arial"/>
          <w:sz w:val="20"/>
        </w:rPr>
        <w:t>K</w:t>
      </w:r>
      <w:r w:rsidR="00BB05DC">
        <w:rPr>
          <w:rFonts w:cs="Arial"/>
          <w:sz w:val="20"/>
        </w:rPr>
        <w:t xml:space="preserve">oroškem ter pri obeh v deležu 1/3, ki se prodajata skupaj, v paketu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C165C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</w:t>
      </w:r>
      <w:r w:rsidR="00BB05D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400,00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51AF6F3F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</w:t>
      </w:r>
      <w:r w:rsidR="00C165C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% davek na </w:t>
      </w:r>
      <w:r w:rsidR="00BB05DC">
        <w:rPr>
          <w:rFonts w:cs="Arial"/>
          <w:sz w:val="20"/>
        </w:rPr>
        <w:t>promet nepremičnin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B49EE01" w14:textId="3F4A9AF1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2C26D503" w14:textId="77777777" w:rsidR="00FE40F2" w:rsidRDefault="00FE40F2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76A8E438" w14:textId="77777777" w:rsidR="00C165C5" w:rsidRDefault="00C165C5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13747B3F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68C6962D" w:rsidR="002D031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F8241F">
        <w:rPr>
          <w:rFonts w:cs="Arial"/>
          <w:sz w:val="20"/>
        </w:rPr>
        <w:t xml:space="preserve"> </w:t>
      </w:r>
      <w:r w:rsidR="00F8241F" w:rsidRPr="007161B0">
        <w:rPr>
          <w:rFonts w:cs="Arial"/>
          <w:sz w:val="20"/>
          <w:u w:val="single"/>
        </w:rPr>
        <w:t xml:space="preserve">pod pogojem, da </w:t>
      </w:r>
      <w:r w:rsidR="00F8241F" w:rsidRPr="00D7319A">
        <w:rPr>
          <w:rFonts w:cs="Arial"/>
          <w:sz w:val="20"/>
          <w:u w:val="single"/>
        </w:rPr>
        <w:t>drugi solastnik</w:t>
      </w:r>
      <w:r w:rsidR="00C165C5">
        <w:rPr>
          <w:rFonts w:cs="Arial"/>
          <w:sz w:val="20"/>
          <w:u w:val="single"/>
        </w:rPr>
        <w:t xml:space="preserve"> oziroma občina </w:t>
      </w:r>
      <w:r w:rsidR="00F8241F" w:rsidRPr="00D7319A">
        <w:rPr>
          <w:rFonts w:cs="Arial"/>
          <w:sz w:val="20"/>
          <w:u w:val="single"/>
        </w:rPr>
        <w:t>ne bo</w:t>
      </w:r>
      <w:r w:rsidR="00C165C5">
        <w:rPr>
          <w:rFonts w:cs="Arial"/>
          <w:sz w:val="20"/>
          <w:u w:val="single"/>
        </w:rPr>
        <w:t>do</w:t>
      </w:r>
      <w:r w:rsidR="00F8241F" w:rsidRPr="00D7319A">
        <w:rPr>
          <w:rFonts w:cs="Arial"/>
          <w:sz w:val="20"/>
          <w:u w:val="single"/>
        </w:rPr>
        <w:t xml:space="preserve"> uveljavljal</w:t>
      </w:r>
      <w:r w:rsidR="00FE40F2">
        <w:rPr>
          <w:rFonts w:cs="Arial"/>
          <w:sz w:val="20"/>
          <w:u w:val="single"/>
        </w:rPr>
        <w:t>i</w:t>
      </w:r>
      <w:r w:rsidR="00F8241F" w:rsidRPr="00D7319A">
        <w:rPr>
          <w:rFonts w:cs="Arial"/>
          <w:sz w:val="20"/>
          <w:u w:val="single"/>
        </w:rPr>
        <w:t xml:space="preserve"> zakonite predkupne pravice.</w:t>
      </w:r>
      <w:r w:rsidR="00F8241F" w:rsidRPr="00922FB2">
        <w:rPr>
          <w:rFonts w:cs="Arial"/>
          <w:sz w:val="20"/>
        </w:rPr>
        <w:t xml:space="preserve"> </w:t>
      </w:r>
      <w:r w:rsidR="00F8241F" w:rsidRPr="00922FB2">
        <w:rPr>
          <w:rFonts w:cs="Arial"/>
          <w:color w:val="000000"/>
          <w:sz w:val="20"/>
          <w:shd w:val="clear" w:color="auto" w:fill="FFFFFF"/>
        </w:rPr>
        <w:t>Če predkupno pravico uveljavlja hkrati več solastnikov, lahko vsak od njih uveljavlja predkupno pravico v sorazmerju s svojim idealnim deležem.</w:t>
      </w:r>
    </w:p>
    <w:p w14:paraId="07CA1CB3" w14:textId="4B404F99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7D3A82A9" w14:textId="3A92BE63" w:rsidR="00BB05DC" w:rsidRDefault="00BB05DC" w:rsidP="00074954">
      <w:pPr>
        <w:spacing w:line="260" w:lineRule="exact"/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V kolikor si konkurirata predkupna pravica občine in solastnika, ima prednost solastnik.  </w:t>
      </w:r>
    </w:p>
    <w:p w14:paraId="26E223CD" w14:textId="77777777" w:rsidR="00BB05DC" w:rsidRDefault="00BB05DC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5AB82297" w14:textId="2A9EBDBF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7BA0C6D2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</w:t>
      </w:r>
      <w:r w:rsidR="00BB05DC">
        <w:rPr>
          <w:rFonts w:cs="Arial"/>
          <w:sz w:val="20"/>
        </w:rPr>
        <w:t xml:space="preserve">o premoženje </w:t>
      </w:r>
      <w:r w:rsidR="004F5EA4" w:rsidRPr="004F5EA4">
        <w:rPr>
          <w:rFonts w:cs="Arial"/>
          <w:sz w:val="20"/>
        </w:rPr>
        <w:t>bo prodan</w:t>
      </w:r>
      <w:r w:rsidR="00BB05DC">
        <w:rPr>
          <w:rFonts w:cs="Arial"/>
          <w:sz w:val="20"/>
        </w:rPr>
        <w:t>o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13B43B5F" w14:textId="77777777" w:rsidR="00C165C5" w:rsidRDefault="00C165C5" w:rsidP="00E44C83">
      <w:pPr>
        <w:jc w:val="both"/>
        <w:rPr>
          <w:rFonts w:cs="Arial"/>
          <w:b/>
          <w:sz w:val="20"/>
          <w:u w:val="single"/>
        </w:rPr>
      </w:pPr>
    </w:p>
    <w:p w14:paraId="6DF98885" w14:textId="48482B5C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Default="00BC2118" w:rsidP="00BC211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603AA1A6" w14:textId="77777777" w:rsidR="00BC2118" w:rsidRPr="004F5EA4" w:rsidRDefault="00BC2118" w:rsidP="00BC2118">
      <w:pPr>
        <w:jc w:val="both"/>
        <w:rPr>
          <w:rFonts w:cs="Arial"/>
          <w:sz w:val="20"/>
        </w:rPr>
      </w:pPr>
    </w:p>
    <w:p w14:paraId="5010EE2E" w14:textId="0C61DF9E" w:rsidR="00484A8A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</w:t>
      </w:r>
      <w:r w:rsidR="00484A8A">
        <w:rPr>
          <w:rFonts w:cs="Arial"/>
          <w:sz w:val="20"/>
        </w:rPr>
        <w:t xml:space="preserve"> </w:t>
      </w:r>
      <w:r w:rsidRPr="00BC2118">
        <w:rPr>
          <w:rFonts w:cs="Arial"/>
          <w:sz w:val="20"/>
        </w:rPr>
        <w:t>477</w:t>
      </w:r>
      <w:r w:rsidR="00F8241F">
        <w:rPr>
          <w:rFonts w:cs="Arial"/>
          <w:sz w:val="20"/>
        </w:rPr>
        <w:t>-</w:t>
      </w:r>
      <w:r w:rsidR="00BB05DC">
        <w:rPr>
          <w:rFonts w:cs="Arial"/>
          <w:sz w:val="20"/>
        </w:rPr>
        <w:t>430/2012-MPJU</w:t>
      </w:r>
      <w:r w:rsidRPr="00BC2118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Default="00484A8A" w:rsidP="00BC2118">
      <w:pPr>
        <w:jc w:val="both"/>
        <w:rPr>
          <w:rFonts w:cs="Arial"/>
          <w:sz w:val="20"/>
        </w:rPr>
      </w:pPr>
    </w:p>
    <w:p w14:paraId="38A425F1" w14:textId="348E2EB5" w:rsidR="00BC2118" w:rsidRPr="00BC2118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izpolnjen, lastnoročno podpisan obrazec, ki je priloga 1 te objave </w:t>
      </w:r>
    </w:p>
    <w:p w14:paraId="392CCE29" w14:textId="4C86CFEC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kopijo osebnega dokumenta (osebne izkaznice</w:t>
      </w:r>
      <w:r w:rsidR="008518F8">
        <w:rPr>
          <w:rFonts w:cs="Arial"/>
          <w:sz w:val="20"/>
        </w:rPr>
        <w:t xml:space="preserve"> ali </w:t>
      </w:r>
      <w:r w:rsidRPr="00BC2118">
        <w:rPr>
          <w:rFonts w:cs="Arial"/>
          <w:sz w:val="20"/>
        </w:rPr>
        <w:t>potnega lista) – velja za fizične osebe in s.p.-je.</w:t>
      </w:r>
    </w:p>
    <w:p w14:paraId="06EDC514" w14:textId="77777777" w:rsidR="00BC2118" w:rsidRPr="00BC2118" w:rsidRDefault="00BC2118" w:rsidP="00BC2118">
      <w:pPr>
        <w:outlineLvl w:val="1"/>
        <w:rPr>
          <w:rFonts w:cs="Arial"/>
          <w:b/>
          <w:bCs/>
          <w:sz w:val="20"/>
          <w:lang w:eastAsia="sl-SI"/>
        </w:rPr>
      </w:pPr>
    </w:p>
    <w:p w14:paraId="6AAE4B62" w14:textId="5BEB93D6" w:rsidR="00BC2118" w:rsidRPr="00BC2118" w:rsidRDefault="00BC2118" w:rsidP="00BC2118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lastRenderedPageBreak/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BB05D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22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BB05DC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2022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BC2118" w:rsidRDefault="00BC2118" w:rsidP="00BC2118">
      <w:pPr>
        <w:outlineLvl w:val="1"/>
        <w:rPr>
          <w:rFonts w:cs="Arial"/>
          <w:sz w:val="20"/>
        </w:rPr>
      </w:pPr>
    </w:p>
    <w:p w14:paraId="717B33E6" w14:textId="10064ECC" w:rsidR="00BC2118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62B60FEE" w14:textId="77777777" w:rsidR="00367FAC" w:rsidRDefault="00367FAC" w:rsidP="00367FAC">
      <w:pPr>
        <w:rPr>
          <w:rFonts w:cs="Arial"/>
          <w:sz w:val="20"/>
          <w:lang w:eastAsia="sl-SI"/>
        </w:rPr>
      </w:pPr>
    </w:p>
    <w:p w14:paraId="4D999103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037F23F7" w14:textId="779358DF" w:rsidR="00A93A86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165C5">
        <w:rPr>
          <w:rStyle w:val="Hiperpovezava"/>
          <w:rFonts w:cs="Arial"/>
          <w:color w:val="auto"/>
          <w:sz w:val="20"/>
          <w:u w:val="none"/>
        </w:rPr>
        <w:t>Marijo Petek,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>telefon 01 478</w:t>
      </w:r>
      <w:r w:rsidR="00C165C5">
        <w:rPr>
          <w:rStyle w:val="Hiperpovezava"/>
          <w:rFonts w:cs="Arial"/>
          <w:color w:val="auto"/>
          <w:sz w:val="20"/>
          <w:u w:val="none"/>
        </w:rPr>
        <w:t xml:space="preserve"> 83 34</w:t>
      </w:r>
      <w:r w:rsidRPr="00A93A86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A93A86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C165C5" w:rsidRPr="00A569BD">
          <w:rPr>
            <w:rStyle w:val="Hiperpovezava"/>
            <w:rFonts w:cs="Arial"/>
            <w:sz w:val="20"/>
          </w:rPr>
          <w:t>marija.petek@gov.si</w:t>
        </w:r>
      </w:hyperlink>
      <w:r w:rsidR="00542CD4" w:rsidRPr="00A93A86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7EF669D3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77777777" w:rsidR="00266117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BA3977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417EB9D9" w14:textId="591D6979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</w:t>
      </w:r>
      <w:r w:rsidR="00E81BE8">
        <w:rPr>
          <w:rFonts w:cs="Arial"/>
          <w:b/>
          <w:bCs/>
          <w:sz w:val="20"/>
        </w:rPr>
        <w:t>64</w:t>
      </w:r>
      <w:r w:rsidRPr="00125630">
        <w:rPr>
          <w:rFonts w:cs="Arial"/>
          <w:b/>
          <w:bCs/>
          <w:sz w:val="20"/>
        </w:rPr>
        <w:t xml:space="preserve"> z dne </w:t>
      </w:r>
      <w:r w:rsidR="00E81BE8">
        <w:rPr>
          <w:rFonts w:cs="Arial"/>
          <w:b/>
          <w:bCs/>
          <w:sz w:val="20"/>
        </w:rPr>
        <w:t>15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4.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 w:rsidR="00E81BE8">
        <w:rPr>
          <w:rFonts w:cs="Arial"/>
          <w:b/>
          <w:bCs/>
          <w:sz w:val="20"/>
        </w:rPr>
        <w:t>1</w:t>
      </w:r>
    </w:p>
    <w:p w14:paraId="35AC9BEA" w14:textId="77777777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14:paraId="39E630EE" w14:textId="58643EEB" w:rsidR="00593A34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 w:rsidR="00960C9C"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 w:rsidR="00960C9C">
        <w:rPr>
          <w:rFonts w:cs="Arial"/>
          <w:b/>
          <w:bCs/>
          <w:sz w:val="20"/>
        </w:rPr>
        <w:t>a</w:t>
      </w:r>
    </w:p>
    <w:p w14:paraId="18CE8FCC" w14:textId="0EBCCFA1" w:rsidR="00E81BE8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2CA9BF62" w:rsidR="00AD5F71" w:rsidRDefault="00AD5F71" w:rsidP="002D0311">
      <w:pPr>
        <w:jc w:val="center"/>
        <w:rPr>
          <w:rFonts w:cs="Arial"/>
          <w:sz w:val="20"/>
        </w:rPr>
      </w:pPr>
    </w:p>
    <w:p w14:paraId="4055F415" w14:textId="316E1197" w:rsidR="007377DA" w:rsidRDefault="007377DA" w:rsidP="002D0311">
      <w:pPr>
        <w:jc w:val="center"/>
        <w:rPr>
          <w:rFonts w:cs="Arial"/>
          <w:sz w:val="20"/>
        </w:rPr>
      </w:pPr>
    </w:p>
    <w:p w14:paraId="51C86287" w14:textId="77777777" w:rsidR="007377DA" w:rsidRDefault="007377DA" w:rsidP="002D0311">
      <w:pPr>
        <w:jc w:val="center"/>
        <w:rPr>
          <w:rFonts w:cs="Arial"/>
          <w:sz w:val="20"/>
        </w:rPr>
      </w:pPr>
    </w:p>
    <w:p w14:paraId="241C5CE5" w14:textId="00AF62F1" w:rsidR="002D0311" w:rsidRDefault="00BB05DC" w:rsidP="002D0311">
      <w:pPr>
        <w:jc w:val="center"/>
        <w:rPr>
          <w:rFonts w:cs="Arial"/>
          <w:sz w:val="20"/>
        </w:rPr>
      </w:pPr>
      <w:r w:rsidRPr="00BB05DC">
        <w:rPr>
          <w:rFonts w:cs="Arial"/>
          <w:noProof/>
          <w:sz w:val="20"/>
        </w:rPr>
        <w:drawing>
          <wp:inline distT="0" distB="0" distL="0" distR="0" wp14:anchorId="6E17D361" wp14:editId="11165DC1">
            <wp:extent cx="3006000" cy="2239200"/>
            <wp:effectExtent l="0" t="0" r="4445" b="8890"/>
            <wp:docPr id="2" name="Slika 2" descr="Na sliki je razvidna lokacija solastniških deležev Republike Slovenije, ki sta predmet prodaj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Na sliki je razvidna lokacija solastniških deležev Republike Slovenije, ki sta predmet prodaje.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00" cy="22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F165B" w14:textId="20A8A0C9" w:rsidR="002D0311" w:rsidRDefault="002D0311" w:rsidP="002D0311">
      <w:pPr>
        <w:jc w:val="center"/>
        <w:rPr>
          <w:rFonts w:cs="Arial"/>
          <w:sz w:val="20"/>
        </w:rPr>
      </w:pPr>
    </w:p>
    <w:p w14:paraId="002D0FCC" w14:textId="6EFDB9E0" w:rsidR="002D0311" w:rsidRDefault="002D0311" w:rsidP="002D0311">
      <w:pPr>
        <w:jc w:val="center"/>
        <w:rPr>
          <w:rFonts w:cs="Arial"/>
          <w:sz w:val="20"/>
        </w:rPr>
      </w:pPr>
    </w:p>
    <w:sectPr w:rsidR="002D0311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82C0" w14:textId="77777777" w:rsidR="00BA3977" w:rsidRDefault="00BA3977">
      <w:r>
        <w:separator/>
      </w:r>
    </w:p>
  </w:endnote>
  <w:endnote w:type="continuationSeparator" w:id="0">
    <w:p w14:paraId="0F210737" w14:textId="77777777" w:rsidR="00BA3977" w:rsidRDefault="00BA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8F17" w14:textId="77777777" w:rsidR="00BA3977" w:rsidRDefault="00BA3977">
      <w:r>
        <w:separator/>
      </w:r>
    </w:p>
  </w:footnote>
  <w:footnote w:type="continuationSeparator" w:id="0">
    <w:p w14:paraId="789D0A5F" w14:textId="77777777" w:rsidR="00BA3977" w:rsidRDefault="00BA3977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BA3977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6BE7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1D5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33B3"/>
    <w:rsid w:val="000B4884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1610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C95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04AB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394B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6EF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C51FC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0C69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6D37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1AD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195C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47610"/>
    <w:rsid w:val="0095240C"/>
    <w:rsid w:val="009577D7"/>
    <w:rsid w:val="00957E05"/>
    <w:rsid w:val="00960C9C"/>
    <w:rsid w:val="009612BB"/>
    <w:rsid w:val="00964F9D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22F6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263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3977"/>
    <w:rsid w:val="00BA4208"/>
    <w:rsid w:val="00BA5694"/>
    <w:rsid w:val="00BB05DC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5C5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CF4F53"/>
    <w:rsid w:val="00D016DE"/>
    <w:rsid w:val="00D0297B"/>
    <w:rsid w:val="00D06C6D"/>
    <w:rsid w:val="00D100F1"/>
    <w:rsid w:val="00D12084"/>
    <w:rsid w:val="00D12B46"/>
    <w:rsid w:val="00D1348D"/>
    <w:rsid w:val="00D173AD"/>
    <w:rsid w:val="00D202E0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1ABA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4407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E40F2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84407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pete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3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np-k.o.Jesenice126.1.22</vt:lpstr>
    </vt:vector>
  </TitlesOfParts>
  <Company>Indea d.o.o.</Company>
  <LinksUpToDate>false</LinksUpToDate>
  <CharactersWithSpaces>6187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np-k.o.Crna1.3.2022</dc:title>
  <dc:subject/>
  <dc:creator>Marija Petek</dc:creator>
  <cp:keywords/>
  <dc:description/>
  <cp:lastModifiedBy>Marija Petek</cp:lastModifiedBy>
  <cp:revision>4</cp:revision>
  <cp:lastPrinted>2019-07-25T11:29:00Z</cp:lastPrinted>
  <dcterms:created xsi:type="dcterms:W3CDTF">2022-03-01T07:18:00Z</dcterms:created>
  <dcterms:modified xsi:type="dcterms:W3CDTF">2022-03-01T07:31:00Z</dcterms:modified>
</cp:coreProperties>
</file>