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BAF8" w14:textId="36AC801C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70572">
        <w:rPr>
          <w:rFonts w:cs="Arial"/>
          <w:sz w:val="20"/>
        </w:rPr>
        <w:t>47</w:t>
      </w:r>
      <w:r w:rsidR="002A5D3E">
        <w:rPr>
          <w:rFonts w:cs="Arial"/>
          <w:sz w:val="20"/>
        </w:rPr>
        <w:t>81-141/2021/</w:t>
      </w:r>
      <w:r w:rsidR="00F50DE4">
        <w:rPr>
          <w:rFonts w:cs="Arial"/>
          <w:sz w:val="20"/>
        </w:rPr>
        <w:t>27</w:t>
      </w:r>
    </w:p>
    <w:p w14:paraId="016981EE" w14:textId="764B277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483011">
        <w:rPr>
          <w:rFonts w:cs="Arial"/>
          <w:sz w:val="20"/>
        </w:rPr>
        <w:t>30</w:t>
      </w:r>
      <w:r w:rsidR="002A5D3E">
        <w:rPr>
          <w:rFonts w:cs="Arial"/>
          <w:sz w:val="20"/>
        </w:rPr>
        <w:t>. 8. 2022</w:t>
      </w:r>
    </w:p>
    <w:p w14:paraId="47AA460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6A4D47B8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C54698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5BAA0772" w14:textId="77777777" w:rsidR="0025355C" w:rsidRPr="004F5EA4" w:rsidRDefault="0025355C" w:rsidP="0025355C">
      <w:pPr>
        <w:jc w:val="center"/>
        <w:rPr>
          <w:rFonts w:cs="Arial"/>
          <w:b/>
          <w:sz w:val="20"/>
        </w:rPr>
      </w:pPr>
    </w:p>
    <w:p w14:paraId="24EC8006" w14:textId="058F1BAC" w:rsidR="0025355C" w:rsidRDefault="0025355C" w:rsidP="0025355C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NEPREMIČNIN</w:t>
      </w:r>
      <w:r>
        <w:rPr>
          <w:rFonts w:cs="Arial"/>
          <w:b/>
          <w:sz w:val="20"/>
        </w:rPr>
        <w:t xml:space="preserve">, PARC. ŠT. </w:t>
      </w:r>
      <w:r w:rsidR="002A5D3E">
        <w:rPr>
          <w:rFonts w:cs="Arial"/>
          <w:b/>
          <w:sz w:val="20"/>
        </w:rPr>
        <w:t>*1</w:t>
      </w:r>
      <w:r>
        <w:rPr>
          <w:rFonts w:cs="Arial"/>
          <w:b/>
          <w:sz w:val="20"/>
        </w:rPr>
        <w:t xml:space="preserve"> IN 1</w:t>
      </w:r>
      <w:r w:rsidR="002A5D3E">
        <w:rPr>
          <w:rFonts w:cs="Arial"/>
          <w:b/>
          <w:sz w:val="20"/>
        </w:rPr>
        <w:t>33</w:t>
      </w:r>
      <w:r>
        <w:rPr>
          <w:rFonts w:cs="Arial"/>
          <w:b/>
          <w:sz w:val="20"/>
        </w:rPr>
        <w:t xml:space="preserve">, OBE K.O. </w:t>
      </w:r>
      <w:r w:rsidR="002A5D3E">
        <w:rPr>
          <w:rFonts w:cs="Arial"/>
          <w:b/>
          <w:sz w:val="20"/>
        </w:rPr>
        <w:t>1122-DRAMLJE IN OBE</w:t>
      </w:r>
      <w:r>
        <w:rPr>
          <w:rFonts w:cs="Arial"/>
          <w:b/>
          <w:sz w:val="20"/>
        </w:rPr>
        <w:t xml:space="preserve"> V DELEŽU DO 1/</w:t>
      </w:r>
      <w:r w:rsidR="002A5D3E">
        <w:rPr>
          <w:rFonts w:cs="Arial"/>
          <w:b/>
          <w:sz w:val="20"/>
        </w:rPr>
        <w:t>3</w:t>
      </w:r>
    </w:p>
    <w:p w14:paraId="75EE42FF" w14:textId="77777777" w:rsidR="00415CC8" w:rsidRPr="004F5EA4" w:rsidRDefault="00415CC8" w:rsidP="006F471E">
      <w:pPr>
        <w:jc w:val="center"/>
        <w:rPr>
          <w:rFonts w:cs="Arial"/>
          <w:b/>
          <w:sz w:val="20"/>
        </w:rPr>
      </w:pPr>
    </w:p>
    <w:p w14:paraId="0C17625F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782597F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54508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54600725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2FF0B55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D627D25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667AFF1" w14:textId="3FFAFD01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02893">
        <w:rPr>
          <w:rFonts w:cs="Arial"/>
          <w:sz w:val="20"/>
        </w:rPr>
        <w:t>sta</w:t>
      </w:r>
      <w:r w:rsidR="00AA6CA5" w:rsidRPr="00CB4E53">
        <w:rPr>
          <w:rFonts w:cs="Arial"/>
          <w:sz w:val="20"/>
        </w:rPr>
        <w:t xml:space="preserve"> </w:t>
      </w:r>
      <w:r w:rsidR="002518B5">
        <w:rPr>
          <w:rFonts w:cs="Arial"/>
          <w:sz w:val="20"/>
        </w:rPr>
        <w:t>nepremičnin</w:t>
      </w:r>
      <w:r w:rsidR="00902893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14:paraId="22D55D3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1706"/>
        <w:gridCol w:w="1728"/>
        <w:gridCol w:w="2005"/>
        <w:gridCol w:w="1405"/>
      </w:tblGrid>
      <w:tr w:rsidR="006B7E06" w:rsidRPr="00C03EF1" w14:paraId="45CACF47" w14:textId="153C2A25" w:rsidTr="002A2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6E659DFB" w14:textId="77777777" w:rsidR="006B7E06" w:rsidRPr="00C03EF1" w:rsidRDefault="006B7E06" w:rsidP="00415CC8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vAlign w:val="center"/>
            <w:hideMark/>
          </w:tcPr>
          <w:p w14:paraId="4B6A9D52" w14:textId="77777777" w:rsidR="006B7E06" w:rsidRPr="00C03EF1" w:rsidRDefault="006B7E06" w:rsidP="00415CC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C03EF1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728" w:type="dxa"/>
            <w:vAlign w:val="center"/>
          </w:tcPr>
          <w:p w14:paraId="5422256F" w14:textId="77777777" w:rsidR="006B7E06" w:rsidRPr="00C03EF1" w:rsidRDefault="006B7E06" w:rsidP="00415CC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5" w:type="dxa"/>
            <w:vAlign w:val="center"/>
            <w:hideMark/>
          </w:tcPr>
          <w:p w14:paraId="3D02FA93" w14:textId="77777777" w:rsidR="006B7E06" w:rsidRPr="00C03EF1" w:rsidRDefault="006B7E06" w:rsidP="00415CC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1405" w:type="dxa"/>
          </w:tcPr>
          <w:p w14:paraId="40298257" w14:textId="323F2531" w:rsidR="006B7E06" w:rsidRPr="00C03EF1" w:rsidRDefault="006B7E06" w:rsidP="00415CC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solastniški delež</w:t>
            </w:r>
          </w:p>
        </w:tc>
      </w:tr>
      <w:tr w:rsidR="006B7E06" w:rsidRPr="00C03EF1" w14:paraId="578C09A6" w14:textId="137A2697" w:rsidTr="002A2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07EC1B8" w14:textId="1BB0DAD2" w:rsidR="006B7E06" w:rsidRPr="00C03EF1" w:rsidRDefault="002A5D3E" w:rsidP="00A61EC4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*1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vAlign w:val="center"/>
          </w:tcPr>
          <w:p w14:paraId="69DA6B09" w14:textId="3FEFF9E4" w:rsidR="006B7E06" w:rsidRPr="00C03EF1" w:rsidRDefault="002A5D3E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1122 – Dramlje </w:t>
            </w:r>
          </w:p>
        </w:tc>
        <w:tc>
          <w:tcPr>
            <w:tcW w:w="1728" w:type="dxa"/>
            <w:vAlign w:val="center"/>
          </w:tcPr>
          <w:p w14:paraId="7B492523" w14:textId="588CC757" w:rsidR="006B7E06" w:rsidRPr="00C03EF1" w:rsidRDefault="002A5D3E" w:rsidP="00A61EC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486</w:t>
            </w:r>
            <w:r w:rsidR="00DF077F">
              <w:rPr>
                <w:rFonts w:cs="Arial"/>
                <w:sz w:val="20"/>
              </w:rPr>
              <w:t xml:space="preserve">,00 </w:t>
            </w:r>
            <w:r w:rsidR="006B7E06" w:rsidRPr="00C03EF1">
              <w:rPr>
                <w:rFonts w:cs="Arial"/>
                <w:sz w:val="20"/>
              </w:rPr>
              <w:t>m</w:t>
            </w:r>
            <w:r w:rsidR="006B7E06" w:rsidRPr="00C03EF1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5" w:type="dxa"/>
            <w:vAlign w:val="center"/>
          </w:tcPr>
          <w:p w14:paraId="4022ACFF" w14:textId="4F8F7686" w:rsidR="006B7E06" w:rsidRPr="00C03EF1" w:rsidRDefault="006B7E06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C03EF1">
              <w:rPr>
                <w:rFonts w:cs="Arial"/>
                <w:sz w:val="20"/>
              </w:rPr>
              <w:t xml:space="preserve">ozidano </w:t>
            </w:r>
            <w:r w:rsidR="002A201D">
              <w:rPr>
                <w:rFonts w:cs="Arial"/>
                <w:sz w:val="20"/>
              </w:rPr>
              <w:t xml:space="preserve">stavbno </w:t>
            </w:r>
            <w:r w:rsidRPr="00C03EF1">
              <w:rPr>
                <w:rFonts w:cs="Arial"/>
                <w:sz w:val="20"/>
              </w:rPr>
              <w:t>zemljišče</w:t>
            </w:r>
          </w:p>
        </w:tc>
        <w:tc>
          <w:tcPr>
            <w:tcW w:w="1405" w:type="dxa"/>
            <w:vAlign w:val="center"/>
          </w:tcPr>
          <w:p w14:paraId="5027204F" w14:textId="1451D6B3" w:rsidR="006B7E06" w:rsidRDefault="0025355C" w:rsidP="006B7E0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</w:t>
            </w:r>
            <w:r w:rsidR="002A5D3E">
              <w:rPr>
                <w:rFonts w:cs="Arial"/>
                <w:sz w:val="20"/>
              </w:rPr>
              <w:t>3</w:t>
            </w:r>
          </w:p>
        </w:tc>
      </w:tr>
      <w:tr w:rsidR="006B7E06" w:rsidRPr="00C03EF1" w14:paraId="40F87BDD" w14:textId="080F4C0C" w:rsidTr="002A20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D9E2F3"/>
            <w:vAlign w:val="center"/>
          </w:tcPr>
          <w:p w14:paraId="161FA962" w14:textId="4E899393" w:rsidR="006B7E06" w:rsidRDefault="0025355C" w:rsidP="00A61EC4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1</w:t>
            </w:r>
            <w:r w:rsidR="002A5D3E">
              <w:rPr>
                <w:rFonts w:cs="Arial"/>
                <w:b w:val="0"/>
                <w:bCs w:val="0"/>
                <w:sz w:val="20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shd w:val="clear" w:color="auto" w:fill="D9E2F3"/>
            <w:vAlign w:val="center"/>
          </w:tcPr>
          <w:p w14:paraId="57B1BF29" w14:textId="664E9666" w:rsidR="006B7E06" w:rsidRDefault="002A5D3E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1122 – Dramlje </w:t>
            </w:r>
            <w:r w:rsidR="0025355C">
              <w:rPr>
                <w:rFonts w:cs="Arial"/>
                <w:sz w:val="20"/>
              </w:rPr>
              <w:t xml:space="preserve"> </w:t>
            </w:r>
            <w:r w:rsidR="002A201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728" w:type="dxa"/>
            <w:shd w:val="clear" w:color="auto" w:fill="D9E2F3"/>
            <w:vAlign w:val="center"/>
          </w:tcPr>
          <w:p w14:paraId="58FF6853" w14:textId="49C6B4DC" w:rsidR="006B7E06" w:rsidRDefault="002A5D3E" w:rsidP="00A61EC4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482,00</w:t>
            </w:r>
            <w:r w:rsidR="00DF077F">
              <w:rPr>
                <w:rFonts w:cs="Arial"/>
                <w:sz w:val="20"/>
              </w:rPr>
              <w:t xml:space="preserve"> </w:t>
            </w:r>
            <w:r w:rsidR="006B7E06">
              <w:rPr>
                <w:rFonts w:cs="Arial"/>
                <w:sz w:val="20"/>
              </w:rPr>
              <w:t>m</w:t>
            </w:r>
            <w:r w:rsidR="006B7E06" w:rsidRPr="00902893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5" w:type="dxa"/>
            <w:vAlign w:val="center"/>
          </w:tcPr>
          <w:p w14:paraId="59522F96" w14:textId="285F5A4B" w:rsidR="006B7E06" w:rsidRDefault="006B7E06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pozidano </w:t>
            </w:r>
            <w:r w:rsidR="00210287">
              <w:rPr>
                <w:rFonts w:cs="Arial"/>
                <w:sz w:val="20"/>
              </w:rPr>
              <w:t xml:space="preserve">stavbno </w:t>
            </w:r>
            <w:r>
              <w:rPr>
                <w:rFonts w:cs="Arial"/>
                <w:sz w:val="20"/>
              </w:rPr>
              <w:t>zemljišče</w:t>
            </w:r>
          </w:p>
        </w:tc>
        <w:tc>
          <w:tcPr>
            <w:tcW w:w="1405" w:type="dxa"/>
            <w:shd w:val="clear" w:color="auto" w:fill="D9E2F3"/>
            <w:vAlign w:val="center"/>
          </w:tcPr>
          <w:p w14:paraId="4DE51790" w14:textId="40C67F5D" w:rsidR="006B7E06" w:rsidRDefault="0025355C" w:rsidP="006B7E06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</w:t>
            </w:r>
            <w:r w:rsidR="002A5D3E">
              <w:rPr>
                <w:rFonts w:cs="Arial"/>
                <w:sz w:val="20"/>
              </w:rPr>
              <w:t>3</w:t>
            </w:r>
          </w:p>
        </w:tc>
      </w:tr>
      <w:bookmarkEnd w:id="0"/>
    </w:tbl>
    <w:p w14:paraId="325B0B49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CF3436" w14:textId="68C231D9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603BD78" w14:textId="11491603" w:rsidR="004952C4" w:rsidRDefault="00884BA4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</w:t>
      </w:r>
      <w:r w:rsidR="00CB6402">
        <w:rPr>
          <w:rFonts w:cs="Arial"/>
          <w:sz w:val="20"/>
        </w:rPr>
        <w:t>nepremičnini</w:t>
      </w:r>
      <w:r>
        <w:rPr>
          <w:rFonts w:cs="Arial"/>
          <w:sz w:val="20"/>
        </w:rPr>
        <w:t xml:space="preserve"> s p</w:t>
      </w:r>
      <w:r w:rsidR="006B7E06">
        <w:rPr>
          <w:rFonts w:cs="Arial"/>
          <w:sz w:val="20"/>
        </w:rPr>
        <w:t xml:space="preserve">arc. št. </w:t>
      </w:r>
      <w:r w:rsidR="00882BD2">
        <w:rPr>
          <w:rFonts w:cs="Arial"/>
          <w:sz w:val="20"/>
        </w:rPr>
        <w:t>*1</w:t>
      </w:r>
      <w:r w:rsidR="006B7E06">
        <w:rPr>
          <w:rFonts w:cs="Arial"/>
          <w:sz w:val="20"/>
        </w:rPr>
        <w:t xml:space="preserve"> k.o. </w:t>
      </w:r>
      <w:r w:rsidR="00882BD2">
        <w:rPr>
          <w:rFonts w:cs="Arial"/>
          <w:sz w:val="20"/>
        </w:rPr>
        <w:t>1122 - Dramlje</w:t>
      </w:r>
      <w:r w:rsidR="000036ED">
        <w:rPr>
          <w:rFonts w:cs="Arial"/>
          <w:sz w:val="20"/>
        </w:rPr>
        <w:t xml:space="preserve"> v naravi </w:t>
      </w:r>
      <w:r>
        <w:rPr>
          <w:rFonts w:cs="Arial"/>
          <w:sz w:val="20"/>
        </w:rPr>
        <w:t>stoji stanovanjska stavba</w:t>
      </w:r>
      <w:r w:rsidR="006B75A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(ID stavbe: stavba </w:t>
      </w:r>
      <w:r w:rsidR="00882BD2">
        <w:rPr>
          <w:rFonts w:cs="Arial"/>
          <w:sz w:val="20"/>
        </w:rPr>
        <w:t>1122 555</w:t>
      </w:r>
      <w:r w:rsidR="000E60E5">
        <w:rPr>
          <w:rFonts w:cs="Arial"/>
          <w:sz w:val="20"/>
        </w:rPr>
        <w:t>, del 1</w:t>
      </w:r>
      <w:r>
        <w:rPr>
          <w:rFonts w:cs="Arial"/>
          <w:sz w:val="20"/>
        </w:rPr>
        <w:t xml:space="preserve">) z naslovom </w:t>
      </w:r>
      <w:r w:rsidR="00882BD2">
        <w:rPr>
          <w:rFonts w:cs="Arial"/>
          <w:sz w:val="20"/>
        </w:rPr>
        <w:t>Svetelka 26, Dramlje</w:t>
      </w:r>
      <w:r w:rsidR="002A55FE">
        <w:rPr>
          <w:rFonts w:cs="Arial"/>
          <w:sz w:val="20"/>
        </w:rPr>
        <w:t xml:space="preserve"> </w:t>
      </w:r>
      <w:r w:rsidR="00975408">
        <w:rPr>
          <w:rFonts w:cs="Arial"/>
          <w:sz w:val="20"/>
        </w:rPr>
        <w:t xml:space="preserve">ter </w:t>
      </w:r>
      <w:r w:rsidR="00882BD2">
        <w:rPr>
          <w:rFonts w:cs="Arial"/>
          <w:sz w:val="20"/>
        </w:rPr>
        <w:t>hlev</w:t>
      </w:r>
      <w:r w:rsidR="00975408">
        <w:rPr>
          <w:rFonts w:cs="Arial"/>
          <w:sz w:val="20"/>
        </w:rPr>
        <w:t xml:space="preserve"> (ID stavbe: stavba </w:t>
      </w:r>
      <w:r w:rsidR="00882BD2">
        <w:rPr>
          <w:rFonts w:cs="Arial"/>
          <w:sz w:val="20"/>
        </w:rPr>
        <w:t>1122 552</w:t>
      </w:r>
      <w:r w:rsidR="00210287">
        <w:rPr>
          <w:rFonts w:cs="Arial"/>
          <w:sz w:val="20"/>
        </w:rPr>
        <w:t>, del 1</w:t>
      </w:r>
      <w:r w:rsidR="00975408">
        <w:rPr>
          <w:rFonts w:cs="Arial"/>
          <w:sz w:val="20"/>
        </w:rPr>
        <w:t xml:space="preserve">), ki </w:t>
      </w:r>
      <w:r w:rsidR="002A55FE">
        <w:rPr>
          <w:rFonts w:cs="Arial"/>
          <w:sz w:val="20"/>
        </w:rPr>
        <w:t xml:space="preserve">sta bila </w:t>
      </w:r>
      <w:r w:rsidR="00975408">
        <w:rPr>
          <w:rFonts w:cs="Arial"/>
          <w:sz w:val="20"/>
        </w:rPr>
        <w:t>po podatkih GURS zgrajen</w:t>
      </w:r>
      <w:r w:rsidR="002A55FE">
        <w:rPr>
          <w:rFonts w:cs="Arial"/>
          <w:sz w:val="20"/>
        </w:rPr>
        <w:t>a</w:t>
      </w:r>
      <w:r w:rsidR="00975408">
        <w:rPr>
          <w:rFonts w:cs="Arial"/>
          <w:sz w:val="20"/>
        </w:rPr>
        <w:t xml:space="preserve"> leta 1</w:t>
      </w:r>
      <w:r w:rsidR="002A55FE">
        <w:rPr>
          <w:rFonts w:cs="Arial"/>
          <w:sz w:val="20"/>
        </w:rPr>
        <w:t>850</w:t>
      </w:r>
      <w:r w:rsidR="00DF077F">
        <w:rPr>
          <w:rFonts w:cs="Arial"/>
          <w:sz w:val="20"/>
        </w:rPr>
        <w:t>.</w:t>
      </w:r>
      <w:r w:rsidR="00975408">
        <w:rPr>
          <w:rFonts w:cs="Arial"/>
          <w:sz w:val="20"/>
        </w:rPr>
        <w:t xml:space="preserve"> Stanovanjska stavba je </w:t>
      </w:r>
      <w:r w:rsidR="009000E4">
        <w:rPr>
          <w:rFonts w:cs="Arial"/>
          <w:sz w:val="20"/>
        </w:rPr>
        <w:t>nevzdrževana</w:t>
      </w:r>
      <w:r w:rsidR="0047732A">
        <w:rPr>
          <w:rFonts w:cs="Arial"/>
          <w:sz w:val="20"/>
        </w:rPr>
        <w:t xml:space="preserve"> in zapuščena. Pred 4 leti je hiša iz notranje strani pogorela. Ogled notranjosti ni bil mogoč, saj je objekt zaklenjen. Skozi okno so vidne poškodbe zaradi požara</w:t>
      </w:r>
      <w:r w:rsidR="009000E4">
        <w:rPr>
          <w:rFonts w:cs="Arial"/>
          <w:sz w:val="20"/>
        </w:rPr>
        <w:t>.</w:t>
      </w:r>
      <w:r w:rsidR="00C76D2E">
        <w:rPr>
          <w:rFonts w:cs="Arial"/>
          <w:sz w:val="20"/>
        </w:rPr>
        <w:t xml:space="preserve"> Hlev</w:t>
      </w:r>
      <w:r w:rsidR="000D6106">
        <w:rPr>
          <w:rFonts w:cs="Arial"/>
          <w:sz w:val="20"/>
        </w:rPr>
        <w:t>, ki stoji ob stanovanjski stavbi,</w:t>
      </w:r>
      <w:r w:rsidR="002A55FE">
        <w:rPr>
          <w:rFonts w:cs="Arial"/>
          <w:sz w:val="20"/>
        </w:rPr>
        <w:t xml:space="preserve"> je dotrajan, zapuščen in brez gradbene vrednosti. </w:t>
      </w:r>
    </w:p>
    <w:p w14:paraId="1A815F64" w14:textId="77777777" w:rsidR="008F66DB" w:rsidRDefault="008F66DB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3D71197" w14:textId="395F01FD" w:rsidR="006B75A0" w:rsidRDefault="00F97F25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Na n</w:t>
      </w:r>
      <w:r w:rsidR="006B75A0">
        <w:rPr>
          <w:rFonts w:cs="Arial"/>
          <w:sz w:val="20"/>
        </w:rPr>
        <w:t>epremičnin</w:t>
      </w:r>
      <w:r>
        <w:rPr>
          <w:rFonts w:cs="Arial"/>
          <w:sz w:val="20"/>
        </w:rPr>
        <w:t>i</w:t>
      </w:r>
      <w:r w:rsidR="006B75A0">
        <w:rPr>
          <w:rFonts w:cs="Arial"/>
          <w:sz w:val="20"/>
        </w:rPr>
        <w:t xml:space="preserve"> s parc. št. 1</w:t>
      </w:r>
      <w:r>
        <w:rPr>
          <w:rFonts w:cs="Arial"/>
          <w:sz w:val="20"/>
        </w:rPr>
        <w:t>33</w:t>
      </w:r>
      <w:r w:rsidR="006B75A0">
        <w:rPr>
          <w:rFonts w:cs="Arial"/>
          <w:sz w:val="20"/>
        </w:rPr>
        <w:t xml:space="preserve">, k.o. </w:t>
      </w:r>
      <w:r>
        <w:rPr>
          <w:rFonts w:cs="Arial"/>
          <w:sz w:val="20"/>
        </w:rPr>
        <w:t>1122</w:t>
      </w:r>
      <w:r w:rsidR="006B75A0">
        <w:rPr>
          <w:rFonts w:cs="Arial"/>
          <w:sz w:val="20"/>
        </w:rPr>
        <w:t xml:space="preserve"> – </w:t>
      </w:r>
      <w:r>
        <w:rPr>
          <w:rFonts w:cs="Arial"/>
          <w:sz w:val="20"/>
        </w:rPr>
        <w:t>Dramlje</w:t>
      </w:r>
      <w:r w:rsidR="006B75A0">
        <w:rPr>
          <w:rFonts w:cs="Arial"/>
          <w:sz w:val="20"/>
        </w:rPr>
        <w:t xml:space="preserve"> v naravi </w:t>
      </w:r>
      <w:r>
        <w:rPr>
          <w:rFonts w:cs="Arial"/>
          <w:sz w:val="20"/>
        </w:rPr>
        <w:t>stoji hlev/ruševina (ID stavbe: 1122 556, del 1), ki je bil po podatkih GURS zgrajen leta 1930. Objekt je brez gradbene vrednosti.</w:t>
      </w:r>
    </w:p>
    <w:p w14:paraId="62D5A8C3" w14:textId="77777777" w:rsidR="006B75A0" w:rsidRDefault="006B75A0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4AC46ED" w14:textId="7959F4BD" w:rsidR="004952C4" w:rsidRDefault="004952C4" w:rsidP="006B7E06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 stavbo z ID št. </w:t>
      </w:r>
      <w:r w:rsidR="003F1997">
        <w:rPr>
          <w:rFonts w:cs="Arial"/>
          <w:sz w:val="20"/>
        </w:rPr>
        <w:t>555</w:t>
      </w:r>
      <w:r>
        <w:rPr>
          <w:rFonts w:cs="Arial"/>
          <w:sz w:val="20"/>
        </w:rPr>
        <w:t xml:space="preserve">, k.o. </w:t>
      </w:r>
      <w:r w:rsidR="003F1997">
        <w:rPr>
          <w:rFonts w:cs="Arial"/>
          <w:sz w:val="20"/>
        </w:rPr>
        <w:t>1122</w:t>
      </w:r>
      <w:r>
        <w:rPr>
          <w:rFonts w:cs="Arial"/>
          <w:sz w:val="20"/>
        </w:rPr>
        <w:t xml:space="preserve"> – </w:t>
      </w:r>
      <w:r w:rsidR="003F1997">
        <w:rPr>
          <w:rFonts w:cs="Arial"/>
          <w:sz w:val="20"/>
        </w:rPr>
        <w:t>Dramlje</w:t>
      </w:r>
      <w:r>
        <w:rPr>
          <w:rFonts w:cs="Arial"/>
          <w:sz w:val="20"/>
        </w:rPr>
        <w:t xml:space="preserve">, ki se nahaja na naslovu </w:t>
      </w:r>
      <w:r w:rsidR="003F1997">
        <w:rPr>
          <w:rFonts w:cs="Arial"/>
          <w:sz w:val="20"/>
        </w:rPr>
        <w:t>Svetelka 26, Dramlje</w:t>
      </w:r>
      <w:r>
        <w:rPr>
          <w:rFonts w:cs="Arial"/>
          <w:sz w:val="20"/>
        </w:rPr>
        <w:t xml:space="preserve"> je bila pridobljena energetska izkaznica št. </w:t>
      </w:r>
      <w:r w:rsidR="003F1997">
        <w:rPr>
          <w:rFonts w:cs="Arial"/>
          <w:sz w:val="20"/>
        </w:rPr>
        <w:t>2022-709-208-99228</w:t>
      </w:r>
      <w:r w:rsidR="00124BA6">
        <w:rPr>
          <w:rFonts w:cs="Arial"/>
          <w:sz w:val="20"/>
        </w:rPr>
        <w:t xml:space="preserve">, ki velja do </w:t>
      </w:r>
      <w:r w:rsidR="003F1997">
        <w:rPr>
          <w:rFonts w:cs="Arial"/>
          <w:sz w:val="20"/>
        </w:rPr>
        <w:t>26. 8. 2032</w:t>
      </w:r>
      <w:r w:rsidR="00124BA6">
        <w:rPr>
          <w:rFonts w:cs="Arial"/>
          <w:sz w:val="20"/>
        </w:rPr>
        <w:t xml:space="preserve">, pri čemer je bilo ugotovljeno, da </w:t>
      </w:r>
      <w:r>
        <w:rPr>
          <w:rFonts w:cs="Arial"/>
          <w:sz w:val="20"/>
        </w:rPr>
        <w:t xml:space="preserve">spada predmetna stavba v energetski razred </w:t>
      </w:r>
      <w:r w:rsidR="003F1997">
        <w:rPr>
          <w:rFonts w:cs="Arial"/>
          <w:sz w:val="20"/>
        </w:rPr>
        <w:t>G</w:t>
      </w:r>
      <w:r>
        <w:rPr>
          <w:rFonts w:cs="Arial"/>
          <w:sz w:val="20"/>
        </w:rPr>
        <w:t xml:space="preserve">. </w:t>
      </w:r>
    </w:p>
    <w:p w14:paraId="3AD87205" w14:textId="77777777" w:rsidR="004952C4" w:rsidRDefault="004952C4" w:rsidP="006B7E06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C28FD0A" w14:textId="769D3479" w:rsidR="006B7E06" w:rsidRDefault="004952C4" w:rsidP="006B7E06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 </w:t>
      </w:r>
      <w:r w:rsidR="003F1997">
        <w:rPr>
          <w:rFonts w:cs="Arial"/>
          <w:sz w:val="20"/>
        </w:rPr>
        <w:t>kmetijski</w:t>
      </w:r>
      <w:r>
        <w:rPr>
          <w:rFonts w:cs="Arial"/>
          <w:sz w:val="20"/>
        </w:rPr>
        <w:t xml:space="preserve"> objekt, stavba z ID št. </w:t>
      </w:r>
      <w:r w:rsidR="003F1997">
        <w:rPr>
          <w:rFonts w:cs="Arial"/>
          <w:sz w:val="20"/>
        </w:rPr>
        <w:t>556</w:t>
      </w:r>
      <w:r>
        <w:rPr>
          <w:rFonts w:cs="Arial"/>
          <w:sz w:val="20"/>
        </w:rPr>
        <w:t xml:space="preserve">, k.o. </w:t>
      </w:r>
      <w:r w:rsidR="003F1997">
        <w:rPr>
          <w:rFonts w:cs="Arial"/>
          <w:sz w:val="20"/>
        </w:rPr>
        <w:t xml:space="preserve">1122 – Dramlje </w:t>
      </w:r>
      <w:r>
        <w:rPr>
          <w:rFonts w:cs="Arial"/>
          <w:sz w:val="20"/>
        </w:rPr>
        <w:t xml:space="preserve">zaradi slabega stanja in ker je kot ruševina brez gradbene vrednosti </w:t>
      </w:r>
      <w:r w:rsidR="006B7E06">
        <w:rPr>
          <w:rFonts w:cs="Arial"/>
          <w:sz w:val="20"/>
        </w:rPr>
        <w:t>energetska izkaznica na podlagi 31. člena Zakona o učinkoviti rabi energije (Uradni list RS, št. 158/2020), ni bila pridobljena.</w:t>
      </w:r>
      <w:r w:rsidR="003F1997">
        <w:rPr>
          <w:rFonts w:cs="Arial"/>
          <w:sz w:val="20"/>
        </w:rPr>
        <w:t xml:space="preserve"> Prav tako ni bil pridobljena energetska izkaznica za stavbo z ID št. 552, k.o. 1122 – Dramlje, saj skladno z desetim odstavkom 31. člena Zakona</w:t>
      </w:r>
      <w:r w:rsidR="009000E4">
        <w:rPr>
          <w:rFonts w:cs="Arial"/>
          <w:sz w:val="20"/>
        </w:rPr>
        <w:t xml:space="preserve"> o učinkoviti rabi energija</w:t>
      </w:r>
      <w:r w:rsidR="003F1997">
        <w:rPr>
          <w:rFonts w:cs="Arial"/>
          <w:sz w:val="20"/>
        </w:rPr>
        <w:t xml:space="preserve">, zahteva glede pridobitve energetske izkaznice ne velja za </w:t>
      </w:r>
      <w:r w:rsidR="003F1997" w:rsidRPr="003F1997">
        <w:rPr>
          <w:rFonts w:cs="Arial"/>
          <w:sz w:val="20"/>
        </w:rPr>
        <w:t>nestanovanjske kmetijske stavbe, če se v njih ne uporablja energija za zagotavljanje notranjih klimatskih pogojev</w:t>
      </w:r>
      <w:r w:rsidR="003F1997">
        <w:rPr>
          <w:rFonts w:cs="Arial"/>
          <w:sz w:val="20"/>
        </w:rPr>
        <w:t>.</w:t>
      </w:r>
    </w:p>
    <w:p w14:paraId="6B242369" w14:textId="77777777" w:rsidR="00C776CC" w:rsidRDefault="00C776CC" w:rsidP="006B7E06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9436D4E" w14:textId="2CEC5F93" w:rsidR="006A4014" w:rsidRDefault="006A4014" w:rsidP="006A401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</w:t>
      </w:r>
      <w:r w:rsidR="00124BA6">
        <w:rPr>
          <w:rFonts w:cs="Arial"/>
          <w:sz w:val="20"/>
        </w:rPr>
        <w:t>a</w:t>
      </w:r>
      <w:r>
        <w:rPr>
          <w:rFonts w:cs="Arial"/>
          <w:sz w:val="20"/>
        </w:rPr>
        <w:t xml:space="preserve"> delež</w:t>
      </w:r>
      <w:r w:rsidR="00124BA6">
        <w:rPr>
          <w:rFonts w:cs="Arial"/>
          <w:sz w:val="20"/>
        </w:rPr>
        <w:t>a</w:t>
      </w:r>
      <w:r>
        <w:rPr>
          <w:rFonts w:cs="Arial"/>
          <w:sz w:val="20"/>
        </w:rPr>
        <w:t xml:space="preserve"> Republike Slovenije, ki </w:t>
      </w:r>
      <w:r w:rsidR="00124BA6">
        <w:rPr>
          <w:rFonts w:cs="Arial"/>
          <w:sz w:val="20"/>
        </w:rPr>
        <w:t xml:space="preserve">sta </w:t>
      </w:r>
      <w:r>
        <w:rPr>
          <w:rFonts w:cs="Arial"/>
          <w:sz w:val="20"/>
        </w:rPr>
        <w:t xml:space="preserve">predmet prodaje </w:t>
      </w:r>
      <w:r w:rsidR="00124BA6">
        <w:rPr>
          <w:rFonts w:cs="Arial"/>
          <w:sz w:val="20"/>
        </w:rPr>
        <w:t xml:space="preserve">sta </w:t>
      </w:r>
      <w:r>
        <w:rPr>
          <w:rFonts w:cs="Arial"/>
          <w:sz w:val="20"/>
        </w:rPr>
        <w:t>ZK urejen</w:t>
      </w:r>
      <w:r w:rsidR="00124BA6">
        <w:rPr>
          <w:rFonts w:cs="Arial"/>
          <w:sz w:val="20"/>
        </w:rPr>
        <w:t>a</w:t>
      </w:r>
      <w:r>
        <w:rPr>
          <w:rFonts w:cs="Arial"/>
          <w:sz w:val="20"/>
        </w:rPr>
        <w:t xml:space="preserve"> in bremen prost</w:t>
      </w:r>
      <w:r w:rsidR="00124BA6">
        <w:rPr>
          <w:rFonts w:cs="Arial"/>
          <w:sz w:val="20"/>
        </w:rPr>
        <w:t>a</w:t>
      </w:r>
      <w:r>
        <w:rPr>
          <w:rFonts w:cs="Arial"/>
          <w:sz w:val="20"/>
        </w:rPr>
        <w:t>.</w:t>
      </w:r>
    </w:p>
    <w:p w14:paraId="1AC505A8" w14:textId="77777777" w:rsidR="006A4014" w:rsidRDefault="006A4014" w:rsidP="006A4014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6B16BFF" w14:textId="791D1A2F" w:rsidR="009000E4" w:rsidRDefault="006A4014" w:rsidP="006A40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</w:t>
      </w:r>
      <w:r w:rsidR="0004603B"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delež</w:t>
      </w:r>
      <w:r w:rsidR="0004603B">
        <w:rPr>
          <w:rFonts w:cs="Arial"/>
          <w:b/>
          <w:bCs/>
          <w:sz w:val="20"/>
          <w:u w:val="single"/>
        </w:rPr>
        <w:t>i</w:t>
      </w:r>
      <w:r w:rsidR="00124BA6">
        <w:rPr>
          <w:rFonts w:cs="Arial"/>
          <w:b/>
          <w:bCs/>
          <w:sz w:val="20"/>
          <w:u w:val="single"/>
        </w:rPr>
        <w:t xml:space="preserve"> </w:t>
      </w:r>
      <w:r w:rsidRPr="001262E2">
        <w:rPr>
          <w:rFonts w:cs="Arial"/>
          <w:b/>
          <w:bCs/>
          <w:sz w:val="20"/>
          <w:u w:val="single"/>
        </w:rPr>
        <w:t>drug</w:t>
      </w:r>
      <w:r w:rsidR="0004603B"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 w:rsidR="0004603B"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</w:t>
      </w:r>
      <w:r w:rsidR="0004603B">
        <w:rPr>
          <w:rFonts w:cs="Arial"/>
          <w:b/>
          <w:bCs/>
          <w:sz w:val="20"/>
          <w:u w:val="single"/>
        </w:rPr>
        <w:t>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625A396" w14:textId="2640D780" w:rsidR="006A4014" w:rsidRPr="009000E4" w:rsidRDefault="006A4014" w:rsidP="006A40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>
        <w:rPr>
          <w:rFonts w:eastAsia="Arial" w:cs="Arial"/>
          <w:color w:val="000000"/>
          <w:sz w:val="20"/>
        </w:rPr>
        <w:lastRenderedPageBreak/>
        <w:t>Drugi s</w:t>
      </w:r>
      <w:r w:rsidRPr="008C1885">
        <w:rPr>
          <w:rFonts w:eastAsia="Arial" w:cs="Arial"/>
          <w:color w:val="000000"/>
          <w:sz w:val="20"/>
        </w:rPr>
        <w:t>olastnik</w:t>
      </w:r>
      <w:r w:rsidR="0004603B">
        <w:rPr>
          <w:rFonts w:eastAsia="Arial" w:cs="Arial"/>
          <w:color w:val="000000"/>
          <w:sz w:val="20"/>
        </w:rPr>
        <w:t>i</w:t>
      </w:r>
      <w:r w:rsidRPr="008C1885">
        <w:rPr>
          <w:rFonts w:eastAsia="Arial" w:cs="Arial"/>
          <w:color w:val="000000"/>
          <w:sz w:val="20"/>
        </w:rPr>
        <w:t xml:space="preserve"> ima</w:t>
      </w:r>
      <w:r w:rsidR="0004603B">
        <w:rPr>
          <w:rFonts w:eastAsia="Arial" w:cs="Arial"/>
          <w:color w:val="000000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</w:p>
    <w:p w14:paraId="4486D2A5" w14:textId="77777777" w:rsidR="000036ED" w:rsidRDefault="000036E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129986F" w14:textId="19A2C498" w:rsidR="002A6BC9" w:rsidRDefault="002A6BC9" w:rsidP="002864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Ponudba se lahko odda le za oba solastniška deleža skupaj.</w:t>
      </w:r>
    </w:p>
    <w:p w14:paraId="145CC002" w14:textId="453EB676" w:rsidR="002A6BC9" w:rsidRDefault="002A6BC9" w:rsidP="002864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1EAAD61" w14:textId="730A13EA" w:rsidR="002A6BC9" w:rsidRDefault="002A6BC9" w:rsidP="002864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4044055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1224D6DF" w14:textId="402EE057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2AFF8F51" w14:textId="77777777" w:rsidR="00415CC8" w:rsidRDefault="00415CC8" w:rsidP="00542CD4">
      <w:pPr>
        <w:ind w:right="-54"/>
        <w:jc w:val="both"/>
        <w:rPr>
          <w:rFonts w:cs="Arial"/>
          <w:sz w:val="20"/>
        </w:rPr>
      </w:pPr>
    </w:p>
    <w:p w14:paraId="50CC7999" w14:textId="77777777" w:rsidR="008F66DB" w:rsidRDefault="008F66DB" w:rsidP="00542CD4">
      <w:pPr>
        <w:ind w:right="-54"/>
        <w:jc w:val="both"/>
        <w:rPr>
          <w:rFonts w:cs="Arial"/>
          <w:sz w:val="20"/>
        </w:rPr>
      </w:pPr>
    </w:p>
    <w:p w14:paraId="18E5CD9A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430D51CE" w14:textId="7779508B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677FD9">
        <w:rPr>
          <w:rFonts w:cs="Arial"/>
          <w:sz w:val="20"/>
        </w:rPr>
        <w:t>nepremičnin</w:t>
      </w:r>
      <w:r w:rsidR="002A6BC9">
        <w:rPr>
          <w:rFonts w:cs="Arial"/>
          <w:sz w:val="20"/>
        </w:rPr>
        <w:t>i</w:t>
      </w:r>
      <w:r w:rsidR="00677FD9">
        <w:rPr>
          <w:rFonts w:cs="Arial"/>
          <w:sz w:val="20"/>
        </w:rPr>
        <w:t xml:space="preserve">, parc. št. </w:t>
      </w:r>
      <w:r w:rsidR="00A6188B">
        <w:rPr>
          <w:rFonts w:cs="Arial"/>
          <w:sz w:val="20"/>
        </w:rPr>
        <w:t>*1</w:t>
      </w:r>
      <w:r w:rsidR="00DF077F">
        <w:rPr>
          <w:rFonts w:cs="Arial"/>
          <w:sz w:val="20"/>
        </w:rPr>
        <w:t xml:space="preserve"> </w:t>
      </w:r>
      <w:r w:rsidR="001502AD">
        <w:rPr>
          <w:rFonts w:cs="Arial"/>
          <w:sz w:val="20"/>
        </w:rPr>
        <w:t xml:space="preserve">in </w:t>
      </w:r>
      <w:r w:rsidR="00DF077F">
        <w:rPr>
          <w:rFonts w:cs="Arial"/>
          <w:sz w:val="20"/>
        </w:rPr>
        <w:t>1</w:t>
      </w:r>
      <w:r w:rsidR="00A6188B">
        <w:rPr>
          <w:rFonts w:cs="Arial"/>
          <w:sz w:val="20"/>
        </w:rPr>
        <w:t>33</w:t>
      </w:r>
      <w:r w:rsidR="001502AD">
        <w:rPr>
          <w:rFonts w:cs="Arial"/>
          <w:sz w:val="20"/>
        </w:rPr>
        <w:t>, obe</w:t>
      </w:r>
      <w:r w:rsidR="00677FD9">
        <w:rPr>
          <w:rFonts w:cs="Arial"/>
          <w:sz w:val="20"/>
        </w:rPr>
        <w:t xml:space="preserve"> k.o. </w:t>
      </w:r>
      <w:r w:rsidR="00A6188B">
        <w:rPr>
          <w:rFonts w:cs="Arial"/>
          <w:sz w:val="20"/>
        </w:rPr>
        <w:t>1122</w:t>
      </w:r>
      <w:r w:rsidR="00DF077F">
        <w:rPr>
          <w:rFonts w:cs="Arial"/>
          <w:sz w:val="20"/>
        </w:rPr>
        <w:t xml:space="preserve"> </w:t>
      </w:r>
      <w:r w:rsidR="00A6188B">
        <w:rPr>
          <w:rFonts w:cs="Arial"/>
          <w:sz w:val="20"/>
        </w:rPr>
        <w:t>–</w:t>
      </w:r>
      <w:r w:rsidR="00DF077F">
        <w:rPr>
          <w:rFonts w:cs="Arial"/>
          <w:sz w:val="20"/>
        </w:rPr>
        <w:t xml:space="preserve"> </w:t>
      </w:r>
      <w:r w:rsidR="00A6188B">
        <w:rPr>
          <w:rFonts w:cs="Arial"/>
          <w:sz w:val="20"/>
        </w:rPr>
        <w:t xml:space="preserve">Dramlje </w:t>
      </w:r>
      <w:r w:rsidR="001502AD">
        <w:rPr>
          <w:rFonts w:cs="Arial"/>
          <w:sz w:val="20"/>
        </w:rPr>
        <w:t>v deležu do</w:t>
      </w:r>
      <w:r w:rsidR="00DF077F">
        <w:rPr>
          <w:rFonts w:cs="Arial"/>
          <w:sz w:val="20"/>
        </w:rPr>
        <w:t xml:space="preserve"> 1/</w:t>
      </w:r>
      <w:r w:rsidR="00A6188B">
        <w:rPr>
          <w:rFonts w:cs="Arial"/>
          <w:sz w:val="20"/>
        </w:rPr>
        <w:t>3</w:t>
      </w:r>
      <w:r w:rsidR="001502AD">
        <w:rPr>
          <w:rFonts w:cs="Arial"/>
          <w:sz w:val="20"/>
        </w:rPr>
        <w:t>:</w:t>
      </w:r>
    </w:p>
    <w:p w14:paraId="710822E6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1"/>
        <w:tblW w:w="6291" w:type="dxa"/>
        <w:jc w:val="center"/>
        <w:tblLook w:val="00A0" w:firstRow="1" w:lastRow="0" w:firstColumn="1" w:lastColumn="0" w:noHBand="0" w:noVBand="0"/>
      </w:tblPr>
      <w:tblGrid>
        <w:gridCol w:w="1555"/>
        <w:gridCol w:w="1730"/>
        <w:gridCol w:w="3006"/>
      </w:tblGrid>
      <w:tr w:rsidR="001502AD" w:rsidRPr="00AF2A07" w14:paraId="27B630C0" w14:textId="77777777" w:rsidTr="00791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4" w:space="0" w:color="auto"/>
            </w:tcBorders>
            <w:hideMark/>
          </w:tcPr>
          <w:p w14:paraId="4EFF28CE" w14:textId="452AFCD9" w:rsidR="001502AD" w:rsidRPr="00AF2A07" w:rsidRDefault="001502AD" w:rsidP="00994951">
            <w:pPr>
              <w:spacing w:line="260" w:lineRule="exact"/>
              <w:jc w:val="center"/>
              <w:rPr>
                <w:rFonts w:eastAsia="Times New Roman" w:cs="Arial"/>
                <w:b w:val="0"/>
                <w:bCs w:val="0"/>
                <w:iCs/>
                <w:sz w:val="20"/>
              </w:rPr>
            </w:pPr>
            <w:r>
              <w:rPr>
                <w:rFonts w:eastAsia="Times New Roman" w:cs="Arial"/>
                <w:b w:val="0"/>
                <w:bCs w:val="0"/>
                <w:iCs/>
                <w:sz w:val="20"/>
              </w:rPr>
              <w:t>p</w:t>
            </w:r>
            <w:r w:rsidRPr="00AF2A07">
              <w:rPr>
                <w:rFonts w:eastAsia="Times New Roman" w:cs="Arial"/>
                <w:b w:val="0"/>
                <w:bCs w:val="0"/>
                <w:iCs/>
                <w:sz w:val="20"/>
              </w:rPr>
              <w:t>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  <w:tcBorders>
              <w:bottom w:val="single" w:sz="4" w:space="0" w:color="auto"/>
            </w:tcBorders>
            <w:hideMark/>
          </w:tcPr>
          <w:p w14:paraId="388723E1" w14:textId="43B26D8E" w:rsidR="001502AD" w:rsidRPr="00AF2A07" w:rsidRDefault="001502AD" w:rsidP="00994951">
            <w:pPr>
              <w:spacing w:line="260" w:lineRule="exact"/>
              <w:jc w:val="center"/>
              <w:rPr>
                <w:rFonts w:eastAsia="Times New Roman" w:cs="Arial"/>
                <w:b w:val="0"/>
                <w:bCs w:val="0"/>
                <w:iCs/>
                <w:sz w:val="20"/>
              </w:rPr>
            </w:pPr>
            <w:r>
              <w:rPr>
                <w:rFonts w:eastAsia="Times New Roman" w:cs="Arial"/>
                <w:b w:val="0"/>
                <w:bCs w:val="0"/>
                <w:iCs/>
                <w:sz w:val="20"/>
              </w:rPr>
              <w:t>k</w:t>
            </w:r>
            <w:r w:rsidRPr="00AF2A07">
              <w:rPr>
                <w:rFonts w:eastAsia="Times New Roman" w:cs="Arial"/>
                <w:b w:val="0"/>
                <w:bCs w:val="0"/>
                <w:iCs/>
                <w:sz w:val="20"/>
              </w:rPr>
              <w:t>atastrska občina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3378432F" w14:textId="3C8F328C" w:rsidR="001502AD" w:rsidRPr="00AF2A07" w:rsidRDefault="001502AD" w:rsidP="0099495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iCs/>
                <w:sz w:val="20"/>
              </w:rPr>
            </w:pPr>
            <w:r>
              <w:rPr>
                <w:rFonts w:eastAsia="Times New Roman" w:cs="Arial"/>
                <w:b w:val="0"/>
                <w:bCs w:val="0"/>
                <w:iCs/>
                <w:sz w:val="20"/>
              </w:rPr>
              <w:t>najnižja ponudbena cena</w:t>
            </w:r>
          </w:p>
        </w:tc>
      </w:tr>
      <w:tr w:rsidR="001502AD" w:rsidRPr="00AF2A07" w14:paraId="74985393" w14:textId="77777777" w:rsidTr="00791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7904F4" w14:textId="41782ADF" w:rsidR="001502AD" w:rsidRPr="00FA1415" w:rsidRDefault="00A6188B" w:rsidP="00994951">
            <w:pPr>
              <w:spacing w:line="260" w:lineRule="exact"/>
              <w:jc w:val="center"/>
              <w:rPr>
                <w:rFonts w:eastAsia="Times New Roman" w:cs="Arial"/>
                <w:b w:val="0"/>
                <w:bCs w:val="0"/>
                <w:sz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</w:rPr>
              <w:t>*1 in 133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8F5" w14:textId="1F32A503" w:rsidR="00DF077F" w:rsidRPr="00AF2A07" w:rsidRDefault="00A6188B" w:rsidP="00DF077F">
            <w:pPr>
              <w:spacing w:line="260" w:lineRule="exact"/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 xml:space="preserve">1122 – Dramlje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04C1" w14:textId="1EC7BD86" w:rsidR="001502AD" w:rsidRPr="00AF2A07" w:rsidRDefault="00A6188B" w:rsidP="001502A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11</w:t>
            </w:r>
            <w:r w:rsidR="00DF077F">
              <w:rPr>
                <w:rFonts w:eastAsia="Times New Roman" w:cs="Arial"/>
                <w:sz w:val="20"/>
              </w:rPr>
              <w:t>.</w:t>
            </w:r>
            <w:r>
              <w:rPr>
                <w:rFonts w:eastAsia="Times New Roman" w:cs="Arial"/>
                <w:sz w:val="20"/>
              </w:rPr>
              <w:t>600</w:t>
            </w:r>
            <w:r w:rsidR="00DF077F">
              <w:rPr>
                <w:rFonts w:eastAsia="Times New Roman" w:cs="Arial"/>
                <w:sz w:val="20"/>
              </w:rPr>
              <w:t>,</w:t>
            </w:r>
            <w:r>
              <w:rPr>
                <w:rFonts w:eastAsia="Times New Roman" w:cs="Arial"/>
                <w:sz w:val="20"/>
              </w:rPr>
              <w:t>00</w:t>
            </w:r>
            <w:r w:rsidR="001502AD">
              <w:rPr>
                <w:rFonts w:eastAsia="Times New Roman" w:cs="Arial"/>
                <w:sz w:val="20"/>
              </w:rPr>
              <w:t xml:space="preserve"> EUR</w:t>
            </w:r>
          </w:p>
        </w:tc>
      </w:tr>
    </w:tbl>
    <w:p w14:paraId="424DCBCB" w14:textId="34C0E48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670BCDD5" w14:textId="5F7D7D81" w:rsidR="001502AD" w:rsidRDefault="001502AD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Ponudba se lahko odda le za</w:t>
      </w:r>
      <w:r w:rsidR="000326D6">
        <w:rPr>
          <w:rFonts w:cs="Arial"/>
          <w:b/>
          <w:sz w:val="20"/>
        </w:rPr>
        <w:t xml:space="preserve"> solastniška deleža na</w:t>
      </w:r>
      <w:r>
        <w:rPr>
          <w:rFonts w:cs="Arial"/>
          <w:b/>
          <w:sz w:val="20"/>
        </w:rPr>
        <w:t xml:space="preserve"> obe</w:t>
      </w:r>
      <w:r w:rsidR="000326D6">
        <w:rPr>
          <w:rFonts w:cs="Arial"/>
          <w:b/>
          <w:sz w:val="20"/>
        </w:rPr>
        <w:t>h</w:t>
      </w:r>
      <w:r>
        <w:rPr>
          <w:rFonts w:cs="Arial"/>
          <w:b/>
          <w:sz w:val="20"/>
        </w:rPr>
        <w:t xml:space="preserve"> nepre</w:t>
      </w:r>
      <w:r w:rsidR="000326D6">
        <w:rPr>
          <w:rFonts w:cs="Arial"/>
          <w:b/>
          <w:sz w:val="20"/>
        </w:rPr>
        <w:t>mičninah skupaj.</w:t>
      </w:r>
    </w:p>
    <w:p w14:paraId="1E8E4027" w14:textId="77777777" w:rsidR="000326D6" w:rsidRDefault="000326D6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3D8FF1A1" w14:textId="7E849CBE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475C37">
        <w:rPr>
          <w:rFonts w:cs="Arial"/>
          <w:sz w:val="20"/>
        </w:rPr>
        <w:t xml:space="preserve">2 </w:t>
      </w:r>
      <w:r>
        <w:rPr>
          <w:rFonts w:cs="Arial"/>
          <w:sz w:val="20"/>
        </w:rPr>
        <w:t xml:space="preserve">% davek na </w:t>
      </w:r>
      <w:r w:rsidR="008B22BD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14:paraId="563580E2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D9E3E4F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1AC93F3C" w14:textId="77777777" w:rsidR="00475C37" w:rsidRPr="004F5EA4" w:rsidRDefault="00475C37" w:rsidP="00B84BCF">
      <w:pPr>
        <w:jc w:val="both"/>
        <w:rPr>
          <w:rFonts w:cs="Arial"/>
          <w:sz w:val="20"/>
          <w:lang w:eastAsia="sl-SI"/>
        </w:rPr>
      </w:pPr>
    </w:p>
    <w:p w14:paraId="358B8ECE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5F23C8B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790973D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7AACF22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57D31BFC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58E56D95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74A9E191" w14:textId="77777777" w:rsidR="00475C37" w:rsidRDefault="00475C37" w:rsidP="00E44C83">
      <w:pPr>
        <w:jc w:val="both"/>
        <w:rPr>
          <w:rFonts w:cs="Arial"/>
          <w:sz w:val="20"/>
          <w:u w:val="single"/>
        </w:rPr>
      </w:pPr>
    </w:p>
    <w:p w14:paraId="343F5BDB" w14:textId="77777777" w:rsidR="004F5EA4" w:rsidRPr="00475C37" w:rsidRDefault="00670515" w:rsidP="00475C3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DB3B4D9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22DF64B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3AA0335" w14:textId="77777777" w:rsidR="0004603B" w:rsidRDefault="0004603B" w:rsidP="0004603B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 xml:space="preserve"> </w:t>
      </w:r>
      <w:r w:rsidRPr="007161B0">
        <w:rPr>
          <w:rFonts w:cs="Arial"/>
          <w:sz w:val="20"/>
          <w:u w:val="single"/>
        </w:rPr>
        <w:t xml:space="preserve">pod pogojem, da </w:t>
      </w:r>
      <w:r w:rsidRPr="00D7319A">
        <w:rPr>
          <w:rFonts w:cs="Arial"/>
          <w:sz w:val="20"/>
          <w:u w:val="single"/>
        </w:rPr>
        <w:t>drugi solastnik ne bo uveljavljal zakonite predkupne pravice.</w:t>
      </w:r>
      <w:r w:rsidRPr="00922FB2">
        <w:rPr>
          <w:rFonts w:cs="Arial"/>
          <w:sz w:val="20"/>
        </w:rPr>
        <w:t xml:space="preserve"> </w:t>
      </w:r>
      <w:r w:rsidRPr="00922FB2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2A5260AA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3553248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51AD803F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81DE0FC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7D4CCCD4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65AE472" w14:textId="0F9E644E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0326D6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0326D6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0326D6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 w:rsidR="000326D6">
        <w:rPr>
          <w:rFonts w:cs="Arial"/>
          <w:sz w:val="20"/>
          <w:lang w:eastAsia="sl-SI"/>
        </w:rPr>
        <w:t>i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0326D6">
        <w:rPr>
          <w:rFonts w:cs="Arial"/>
          <w:sz w:val="20"/>
          <w:lang w:eastAsia="sl-SI"/>
        </w:rPr>
        <w:t>njun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7FA8D9A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21742E3" w14:textId="77777777"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216DAE32" w14:textId="77777777" w:rsidR="00F106E1" w:rsidRPr="00B84BCF" w:rsidRDefault="00F106E1" w:rsidP="00B84BCF">
      <w:pPr>
        <w:spacing w:line="260" w:lineRule="exact"/>
        <w:jc w:val="both"/>
        <w:rPr>
          <w:rFonts w:cs="Arial"/>
          <w:sz w:val="20"/>
        </w:rPr>
      </w:pPr>
    </w:p>
    <w:p w14:paraId="07C082B1" w14:textId="77777777"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70C17124" w14:textId="77777777" w:rsidR="00F05FDA" w:rsidRPr="00BB1DC3" w:rsidRDefault="00F05FDA" w:rsidP="00F05FD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481E5A4E" w14:textId="77777777" w:rsidR="00F05FDA" w:rsidRDefault="00F05FDA" w:rsidP="00F05FD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4F7B2F49" w14:textId="77777777" w:rsidR="00F05FDA" w:rsidRPr="004F5EA4" w:rsidRDefault="00F05FDA" w:rsidP="00F05FDA">
      <w:pPr>
        <w:jc w:val="both"/>
        <w:rPr>
          <w:rFonts w:cs="Arial"/>
          <w:sz w:val="20"/>
        </w:rPr>
      </w:pPr>
    </w:p>
    <w:p w14:paraId="43D1F243" w14:textId="47AD9166" w:rsidR="00F05FDA" w:rsidRDefault="00F05FDA" w:rsidP="00F05FDA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 </w:t>
      </w:r>
      <w:r w:rsidR="004624DF">
        <w:rPr>
          <w:rFonts w:cs="Arial"/>
          <w:sz w:val="20"/>
        </w:rPr>
        <w:t>4781-141/2021</w:t>
      </w:r>
      <w:r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6847E002" w14:textId="77777777" w:rsidR="00F05FDA" w:rsidRDefault="00F05FDA" w:rsidP="00F05FDA">
      <w:pPr>
        <w:jc w:val="both"/>
        <w:rPr>
          <w:rFonts w:cs="Arial"/>
          <w:sz w:val="20"/>
        </w:rPr>
      </w:pPr>
    </w:p>
    <w:p w14:paraId="2869AD9B" w14:textId="77777777" w:rsidR="00F05FDA" w:rsidRPr="00BC2118" w:rsidRDefault="00F05FDA" w:rsidP="00F05FDA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7935D6F7" w14:textId="77777777" w:rsidR="00F05FDA" w:rsidRPr="00BC2118" w:rsidRDefault="00F05FDA" w:rsidP="00F05FD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2184C2C2" w14:textId="77777777" w:rsidR="00F05FDA" w:rsidRPr="009D5B47" w:rsidRDefault="00F05FDA" w:rsidP="00F05FD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7D305E38" w14:textId="77777777" w:rsidR="00F05FDA" w:rsidRPr="00BC2118" w:rsidRDefault="00F05FDA" w:rsidP="00F05FDA">
      <w:pPr>
        <w:outlineLvl w:val="1"/>
        <w:rPr>
          <w:rFonts w:cs="Arial"/>
          <w:b/>
          <w:bCs/>
          <w:sz w:val="20"/>
          <w:lang w:eastAsia="sl-SI"/>
        </w:rPr>
      </w:pPr>
    </w:p>
    <w:p w14:paraId="439B9111" w14:textId="08A618B4" w:rsidR="00F05FDA" w:rsidRPr="00EB22A3" w:rsidRDefault="00F05FDA" w:rsidP="00F05FDA">
      <w:pPr>
        <w:jc w:val="both"/>
        <w:outlineLvl w:val="1"/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EB22A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22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EB22A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4219036E" w14:textId="77777777" w:rsidR="00F05FDA" w:rsidRPr="00BC2118" w:rsidRDefault="00F05FDA" w:rsidP="00F05FDA">
      <w:pPr>
        <w:outlineLvl w:val="1"/>
        <w:rPr>
          <w:rFonts w:cs="Arial"/>
          <w:sz w:val="20"/>
        </w:rPr>
      </w:pPr>
    </w:p>
    <w:p w14:paraId="54A56D06" w14:textId="77777777" w:rsidR="00F05FDA" w:rsidRDefault="00F05FDA" w:rsidP="00F05FDA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oziroma ponudbe, ki ne bodo izpolnjevale drugih 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695465C1" w14:textId="77777777" w:rsidR="00F05FDA" w:rsidRDefault="00F05FDA" w:rsidP="00F05FDA">
      <w:pPr>
        <w:outlineLvl w:val="1"/>
        <w:rPr>
          <w:rFonts w:cs="Arial"/>
          <w:bCs/>
          <w:sz w:val="20"/>
          <w:lang w:eastAsia="sl-SI"/>
        </w:rPr>
      </w:pPr>
    </w:p>
    <w:p w14:paraId="65D09080" w14:textId="77777777" w:rsidR="00F05FDA" w:rsidRDefault="00F05FDA" w:rsidP="00F05FDA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0D447437" w14:textId="77777777" w:rsidR="00F05FDA" w:rsidRPr="007E14BC" w:rsidRDefault="00F05FDA" w:rsidP="00F05FDA">
      <w:pPr>
        <w:jc w:val="center"/>
        <w:rPr>
          <w:rFonts w:cs="Arial"/>
          <w:b/>
          <w:sz w:val="20"/>
          <w:u w:val="single"/>
        </w:rPr>
      </w:pPr>
    </w:p>
    <w:p w14:paraId="162B232C" w14:textId="77777777" w:rsidR="00F05FDA" w:rsidRDefault="00F05FDA" w:rsidP="00F05FDA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0FF10383" w14:textId="77777777" w:rsidR="00F05FDA" w:rsidRPr="00367FAC" w:rsidRDefault="00F05FDA" w:rsidP="00F05FDA">
      <w:pPr>
        <w:outlineLvl w:val="1"/>
        <w:rPr>
          <w:rFonts w:cs="Arial"/>
          <w:bCs/>
          <w:sz w:val="20"/>
          <w:lang w:eastAsia="sl-SI"/>
        </w:rPr>
      </w:pPr>
    </w:p>
    <w:p w14:paraId="2C2078BB" w14:textId="77777777" w:rsidR="00F05FDA" w:rsidRDefault="00F05FDA" w:rsidP="00F05FDA">
      <w:pPr>
        <w:rPr>
          <w:rFonts w:cs="Arial"/>
          <w:sz w:val="20"/>
          <w:lang w:eastAsia="sl-SI"/>
        </w:rPr>
      </w:pPr>
    </w:p>
    <w:p w14:paraId="74C463FD" w14:textId="77777777" w:rsidR="00F05FDA" w:rsidRPr="004F5EA4" w:rsidRDefault="00F05FDA" w:rsidP="00F05FD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2D3CDABF" w14:textId="77777777" w:rsidR="00F05FDA" w:rsidRPr="004F5EA4" w:rsidRDefault="00F05FDA" w:rsidP="00F05FDA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</w:t>
      </w:r>
      <w:r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>
        <w:rPr>
          <w:rStyle w:val="Hiperpovezava"/>
          <w:rFonts w:cs="Arial"/>
          <w:color w:val="auto"/>
          <w:sz w:val="20"/>
          <w:u w:val="none"/>
        </w:rPr>
        <w:t xml:space="preserve"> Eriko Kranjc,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telefon 01 478 </w:t>
      </w:r>
      <w:r>
        <w:rPr>
          <w:rStyle w:val="Hiperpovezava"/>
          <w:rFonts w:cs="Arial"/>
          <w:color w:val="auto"/>
          <w:sz w:val="20"/>
          <w:u w:val="none"/>
        </w:rPr>
        <w:t>87 87</w:t>
      </w:r>
      <w:r w:rsidRPr="00A93A86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hyperlink r:id="rId8" w:history="1">
        <w:r w:rsidRPr="00821CDD">
          <w:rPr>
            <w:rStyle w:val="Hiperpovezava"/>
            <w:rFonts w:cs="Arial"/>
            <w:sz w:val="20"/>
          </w:rPr>
          <w:t>erika.kranjc@gov.si</w:t>
        </w:r>
      </w:hyperlink>
      <w:r w:rsidRPr="00A93A86"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14:paraId="12A0925A" w14:textId="77777777" w:rsidR="00F05FDA" w:rsidRDefault="00F05FDA" w:rsidP="00F05FDA">
      <w:pPr>
        <w:jc w:val="both"/>
        <w:rPr>
          <w:rFonts w:cs="Arial"/>
          <w:b/>
          <w:sz w:val="20"/>
          <w:u w:val="single"/>
        </w:rPr>
      </w:pPr>
    </w:p>
    <w:p w14:paraId="351B4CAE" w14:textId="77777777" w:rsidR="00F05FDA" w:rsidRDefault="00F05FDA" w:rsidP="00F05FDA">
      <w:pPr>
        <w:jc w:val="both"/>
        <w:rPr>
          <w:rFonts w:cs="Arial"/>
          <w:b/>
          <w:sz w:val="20"/>
          <w:u w:val="single"/>
        </w:rPr>
      </w:pPr>
    </w:p>
    <w:p w14:paraId="73597BB6" w14:textId="77777777" w:rsidR="00F05FDA" w:rsidRPr="004F5EA4" w:rsidRDefault="00F05FDA" w:rsidP="00F05FD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4AEBE06A" w14:textId="77777777" w:rsidR="00F05FDA" w:rsidRDefault="00F05FDA" w:rsidP="00F05FD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Organizator lahko do sklenitve pravnega posla, postopek zbiranja ponudb ustavi oziroma ne sklene pogodbe z uspelim ponudnikom, brez odškodninske odgovornosti</w:t>
      </w:r>
      <w:r>
        <w:rPr>
          <w:rFonts w:cs="Arial"/>
          <w:sz w:val="20"/>
        </w:rPr>
        <w:t>.</w:t>
      </w:r>
    </w:p>
    <w:p w14:paraId="560D208B" w14:textId="77777777" w:rsidR="00F05FDA" w:rsidRDefault="00F05FDA" w:rsidP="00F05FDA">
      <w:pPr>
        <w:jc w:val="both"/>
        <w:rPr>
          <w:rFonts w:cs="Arial"/>
          <w:sz w:val="20"/>
        </w:rPr>
      </w:pPr>
    </w:p>
    <w:p w14:paraId="50A64CC3" w14:textId="77777777" w:rsidR="00F05FDA" w:rsidRDefault="00F05FDA" w:rsidP="00F05FDA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16DBADA2" w14:textId="77777777" w:rsidR="00F05FDA" w:rsidRPr="008B7D32" w:rsidRDefault="00F05FDA" w:rsidP="00F05FDA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4A0DCB3" w14:textId="77777777" w:rsidR="00F05FDA" w:rsidRDefault="00F05FDA" w:rsidP="00F05FDA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A3F5F06" w14:textId="77777777" w:rsidR="00F05FDA" w:rsidRDefault="00F50DE4" w:rsidP="00F05FDA">
      <w:pPr>
        <w:jc w:val="both"/>
        <w:rPr>
          <w:rFonts w:cs="Arial"/>
          <w:bCs/>
          <w:sz w:val="20"/>
        </w:rPr>
      </w:pPr>
      <w:hyperlink r:id="rId9" w:history="1">
        <w:r w:rsidR="00F05FDA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F05FDA">
        <w:rPr>
          <w:rFonts w:cs="Arial"/>
          <w:bCs/>
          <w:sz w:val="20"/>
        </w:rPr>
        <w:t xml:space="preserve">. </w:t>
      </w:r>
    </w:p>
    <w:p w14:paraId="5C2D3229" w14:textId="77777777" w:rsidR="00F05FDA" w:rsidRPr="008B7D32" w:rsidRDefault="00F05FDA" w:rsidP="00F05FDA">
      <w:pPr>
        <w:jc w:val="both"/>
        <w:rPr>
          <w:rFonts w:cs="Arial"/>
          <w:bCs/>
          <w:sz w:val="20"/>
        </w:rPr>
      </w:pPr>
    </w:p>
    <w:p w14:paraId="12BDFFCF" w14:textId="77777777" w:rsidR="00983BBC" w:rsidRDefault="00983BBC" w:rsidP="007434F9">
      <w:pPr>
        <w:jc w:val="both"/>
        <w:rPr>
          <w:rFonts w:cs="Arial"/>
          <w:sz w:val="20"/>
        </w:rPr>
      </w:pPr>
    </w:p>
    <w:p w14:paraId="1E0B748E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2405"/>
        <w:gridCol w:w="6083"/>
      </w:tblGrid>
      <w:tr w:rsidR="00AF58EE" w:rsidRPr="00CC619F" w14:paraId="1C2D05AA" w14:textId="77777777" w:rsidTr="00F05FDA">
        <w:tc>
          <w:tcPr>
            <w:tcW w:w="2405" w:type="dxa"/>
          </w:tcPr>
          <w:p w14:paraId="38832E16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6083" w:type="dxa"/>
          </w:tcPr>
          <w:p w14:paraId="1B8BD08F" w14:textId="4E4D9006" w:rsidR="00AF58EE" w:rsidRPr="00F05FDA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05FDA">
              <w:rPr>
                <w:rFonts w:cs="Arial"/>
                <w:b/>
                <w:bCs/>
                <w:sz w:val="20"/>
              </w:rPr>
              <w:t>na podlagi pooblastila št. 1004-113/2015/</w:t>
            </w:r>
            <w:r w:rsidR="00F05FDA" w:rsidRPr="00F05FDA">
              <w:rPr>
                <w:rFonts w:cs="Arial"/>
                <w:b/>
                <w:bCs/>
                <w:sz w:val="20"/>
              </w:rPr>
              <w:t>89</w:t>
            </w:r>
            <w:r w:rsidRPr="00F05FDA">
              <w:rPr>
                <w:rFonts w:cs="Arial"/>
                <w:b/>
                <w:bCs/>
                <w:sz w:val="20"/>
              </w:rPr>
              <w:t xml:space="preserve"> z dne </w:t>
            </w:r>
            <w:r w:rsidR="00F05FDA" w:rsidRPr="00F05FDA">
              <w:rPr>
                <w:rFonts w:cs="Arial"/>
                <w:b/>
                <w:bCs/>
                <w:sz w:val="20"/>
              </w:rPr>
              <w:t>9. 6. 2022</w:t>
            </w:r>
          </w:p>
          <w:p w14:paraId="5DCCAF8D" w14:textId="77777777" w:rsidR="00AF58EE" w:rsidRPr="00F05FDA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05FDA">
              <w:rPr>
                <w:rFonts w:cs="Arial"/>
                <w:b/>
                <w:bCs/>
                <w:sz w:val="20"/>
              </w:rPr>
              <w:t>Maja Pogačar</w:t>
            </w:r>
          </w:p>
          <w:p w14:paraId="10779782" w14:textId="77777777" w:rsidR="00AF58EE" w:rsidRPr="00F05FDA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05FDA">
              <w:rPr>
                <w:rFonts w:cs="Arial"/>
                <w:b/>
                <w:bCs/>
                <w:sz w:val="20"/>
              </w:rPr>
              <w:t>generalna direktor</w:t>
            </w:r>
            <w:r w:rsidR="000C16A4" w:rsidRPr="00F05FDA">
              <w:rPr>
                <w:rFonts w:cs="Arial"/>
                <w:b/>
                <w:bCs/>
                <w:sz w:val="20"/>
              </w:rPr>
              <w:t>ic</w:t>
            </w:r>
            <w:r w:rsidRPr="00F05FDA">
              <w:rPr>
                <w:rFonts w:cs="Arial"/>
                <w:b/>
                <w:bCs/>
                <w:sz w:val="20"/>
              </w:rPr>
              <w:t>a</w:t>
            </w:r>
          </w:p>
          <w:p w14:paraId="56FBFD30" w14:textId="77777777" w:rsidR="00AF58EE" w:rsidRPr="00F05FDA" w:rsidRDefault="00AF58EE" w:rsidP="00CC619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05FDA">
              <w:rPr>
                <w:rFonts w:cs="Arial"/>
                <w:b/>
                <w:bCs/>
                <w:sz w:val="20"/>
              </w:rPr>
              <w:t>Direktorata za stvarno premoženje</w:t>
            </w:r>
          </w:p>
        </w:tc>
      </w:tr>
    </w:tbl>
    <w:p w14:paraId="063EFB77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3941BA41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29932808" w14:textId="77777777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224CE108" w14:textId="1DD5018D"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A61B703" w14:textId="0662A277" w:rsidR="00727859" w:rsidRDefault="007E2C21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10FF760A" wp14:editId="47FAF6A4">
            <wp:extent cx="5396230" cy="3985260"/>
            <wp:effectExtent l="0" t="0" r="0" b="0"/>
            <wp:docPr id="7" name="Slika 7" descr="ORTOFOTO posn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ORTOFOTO posnetek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84F1A" w14:textId="2FAFA73F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50D6748" w14:textId="3E3FE509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44266BB" w14:textId="726BF351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8F6A157" w14:textId="0FA9306E" w:rsidR="000326D6" w:rsidRDefault="000326D6" w:rsidP="009A54C5">
      <w:pPr>
        <w:tabs>
          <w:tab w:val="center" w:pos="5670"/>
        </w:tabs>
        <w:jc w:val="both"/>
        <w:rPr>
          <w:noProof/>
        </w:rPr>
      </w:pPr>
    </w:p>
    <w:p w14:paraId="452AD7E4" w14:textId="77777777" w:rsidR="000326D6" w:rsidRDefault="000326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500A837" w14:textId="15BD9D3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CF95AAC" w14:textId="25182E5C" w:rsidR="000326D6" w:rsidRDefault="000326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4333DF4" w14:textId="1517681E" w:rsidR="005A38D6" w:rsidRDefault="007E2C21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461557BC" wp14:editId="76B084F7">
            <wp:extent cx="5396230" cy="3832860"/>
            <wp:effectExtent l="0" t="0" r="0" b="0"/>
            <wp:docPr id="14" name="Slika 14" descr="STANOVANJSKA H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TANOVANJSKA HIŠ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793B3" w14:textId="4D45B178" w:rsidR="005A38D6" w:rsidRDefault="00C600C3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lastRenderedPageBreak/>
        <w:drawing>
          <wp:inline distT="0" distB="0" distL="0" distR="0" wp14:anchorId="05B62D73" wp14:editId="6C986CD7">
            <wp:extent cx="5396230" cy="4049395"/>
            <wp:effectExtent l="0" t="0" r="0" b="8255"/>
            <wp:docPr id="21" name="Slika 21" descr="HLEV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lika 21" descr="HLEV 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07A9F" w14:textId="752D10D5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23C983F" w14:textId="4C3DB146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0A23A36" w14:textId="1C077CDD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64DDFA2" w14:textId="54893047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4EB7FB2" w14:textId="3E01F7E7" w:rsidR="005A38D6" w:rsidRDefault="00C600C3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5F7FA36B" wp14:editId="270F2690">
            <wp:extent cx="5396230" cy="4049395"/>
            <wp:effectExtent l="0" t="0" r="0" b="8255"/>
            <wp:docPr id="22" name="Slika 22" descr="HLEV/RUŠE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22" descr="HLEV/RUŠEVIN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02AD0" w14:textId="71C75BDB" w:rsidR="00C600C3" w:rsidRDefault="00C600C3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C600C3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9F52" w14:textId="77777777" w:rsidR="00C26D38" w:rsidRDefault="00C26D38">
      <w:r>
        <w:separator/>
      </w:r>
    </w:p>
  </w:endnote>
  <w:endnote w:type="continuationSeparator" w:id="0">
    <w:p w14:paraId="355CCFD3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18DF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F7046B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CD1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4F570035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F0EE" w14:textId="77777777" w:rsidR="00C26D38" w:rsidRDefault="00C26D38">
      <w:r>
        <w:separator/>
      </w:r>
    </w:p>
  </w:footnote>
  <w:footnote w:type="continuationSeparator" w:id="0">
    <w:p w14:paraId="6C7F8480" w14:textId="77777777" w:rsidR="00C26D38" w:rsidRDefault="00C26D38">
      <w:r>
        <w:continuationSeparator/>
      </w:r>
    </w:p>
  </w:footnote>
  <w:footnote w:id="1">
    <w:p w14:paraId="4CEA2596" w14:textId="77777777" w:rsidR="00F05FDA" w:rsidRPr="00053FBA" w:rsidRDefault="00F05FDA" w:rsidP="00F05FDA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4DB0CB66" w14:textId="77777777" w:rsidR="00F05FDA" w:rsidRDefault="00F50DE4" w:rsidP="00F05FDA">
      <w:pPr>
        <w:pStyle w:val="Sprotnaopomba-besedilo"/>
      </w:pPr>
      <w:hyperlink r:id="rId1" w:history="1">
        <w:r w:rsidR="00F05FDA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B5C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77"/>
    </w:tblGrid>
    <w:tr w:rsidR="00793489" w:rsidRPr="008F3500" w14:paraId="76758080" w14:textId="77777777" w:rsidTr="00CE60A9">
      <w:trPr>
        <w:trHeight w:hRule="exact" w:val="847"/>
      </w:trPr>
      <w:tc>
        <w:tcPr>
          <w:tcW w:w="567" w:type="dxa"/>
        </w:tcPr>
        <w:p w14:paraId="0F84D895" w14:textId="77777777" w:rsidR="00793489" w:rsidRPr="006D42D9" w:rsidRDefault="00EE3953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noProof/>
            </w:rPr>
            <w:drawing>
              <wp:inline distT="0" distB="0" distL="0" distR="0" wp14:anchorId="52924EB4" wp14:editId="51E241CE">
                <wp:extent cx="292735" cy="372110"/>
                <wp:effectExtent l="0" t="0" r="0" b="8890"/>
                <wp:docPr id="2" name="Slika 2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4CFAD6E" w14:textId="77777777" w:rsidR="00793489" w:rsidRPr="00D5488D" w:rsidRDefault="00793489" w:rsidP="00D5488D">
    <w:pPr>
      <w:tabs>
        <w:tab w:val="left" w:pos="6432"/>
      </w:tabs>
      <w:autoSpaceDE w:val="0"/>
      <w:autoSpaceDN w:val="0"/>
      <w:adjustRightInd w:val="0"/>
      <w:rPr>
        <w:rFonts w:ascii="Republika" w:hAnsi="Republika"/>
        <w:sz w:val="20"/>
      </w:rPr>
    </w:pPr>
    <w:r w:rsidRPr="00D5488D">
      <w:rPr>
        <w:rFonts w:ascii="Republika" w:hAnsi="Republika"/>
        <w:sz w:val="20"/>
      </w:rPr>
      <w:t>REPUBLIKA SLOVENIJA</w:t>
    </w:r>
  </w:p>
  <w:p w14:paraId="7E3D2368" w14:textId="77777777" w:rsidR="00793489" w:rsidRPr="00D5488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" w:hAnsi="Republika"/>
        <w:b/>
        <w:caps/>
        <w:sz w:val="20"/>
      </w:rPr>
    </w:pPr>
    <w:r w:rsidRPr="00D5488D">
      <w:rPr>
        <w:rFonts w:ascii="Republika" w:hAnsi="Republika"/>
        <w:b/>
        <w:caps/>
        <w:sz w:val="20"/>
      </w:rPr>
      <w:t xml:space="preserve">Ministrstvo za </w:t>
    </w:r>
    <w:r>
      <w:rPr>
        <w:rFonts w:ascii="Republika" w:hAnsi="Republika"/>
        <w:b/>
        <w:caps/>
        <w:sz w:val="20"/>
      </w:rPr>
      <w:t>JAVNO UPRAVO</w:t>
    </w:r>
  </w:p>
  <w:p w14:paraId="0A8453CE" w14:textId="77777777" w:rsidR="00793489" w:rsidRPr="00AB2CB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ind w:left="540" w:hanging="540"/>
      <w:rPr>
        <w:rFonts w:ascii="Republika Bold" w:hAnsi="Republika Bold"/>
        <w:b/>
        <w:caps/>
        <w:sz w:val="18"/>
        <w:szCs w:val="18"/>
      </w:rPr>
    </w:pPr>
  </w:p>
  <w:p w14:paraId="118FC59A" w14:textId="435F4BFF" w:rsidR="00793489" w:rsidRPr="008F3500" w:rsidRDefault="00793489" w:rsidP="00F361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2A201D">
      <w:rPr>
        <w:rFonts w:cs="Arial"/>
        <w:sz w:val="16"/>
      </w:rPr>
      <w:t>8</w:t>
    </w:r>
    <w:r w:rsidR="0025355C">
      <w:rPr>
        <w:rFonts w:cs="Arial"/>
        <w:sz w:val="16"/>
      </w:rPr>
      <w:t>3</w:t>
    </w:r>
    <w:r w:rsidR="00C83B94">
      <w:rPr>
        <w:rFonts w:cs="Arial"/>
        <w:sz w:val="16"/>
      </w:rPr>
      <w:t xml:space="preserve"> </w:t>
    </w:r>
    <w:r w:rsidR="0025355C">
      <w:rPr>
        <w:rFonts w:cs="Arial"/>
        <w:sz w:val="16"/>
      </w:rPr>
      <w:t>30</w:t>
    </w:r>
    <w:r w:rsidRPr="008F3500">
      <w:rPr>
        <w:rFonts w:cs="Arial"/>
        <w:sz w:val="16"/>
      </w:rPr>
      <w:t xml:space="preserve"> </w:t>
    </w:r>
  </w:p>
  <w:p w14:paraId="539C6E86" w14:textId="77777777" w:rsidR="00793489" w:rsidRDefault="00793489" w:rsidP="00D5488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14:paraId="3348F2C2" w14:textId="77777777" w:rsidR="00793489" w:rsidRDefault="00793489" w:rsidP="00547AA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2" w:history="1">
      <w:r w:rsidRPr="00F94A7C">
        <w:rPr>
          <w:rStyle w:val="Hiperpovezava"/>
          <w:rFonts w:cs="Arial"/>
          <w:sz w:val="16"/>
        </w:rPr>
        <w:t>www.mju.gov.si</w:t>
      </w:r>
    </w:hyperlink>
  </w:p>
  <w:p w14:paraId="1095BB6B" w14:textId="77777777" w:rsidR="00793489" w:rsidRDefault="002D61AC" w:rsidP="00547AA3">
    <w:pPr>
      <w:pStyle w:val="datumtevilka"/>
      <w:rPr>
        <w:rFonts w:cs="Arial"/>
      </w:rPr>
    </w:pPr>
    <w:r w:rsidRPr="00A46CCE">
      <w:rPr>
        <w:rFonts w:cs="Arial"/>
        <w:noProof/>
      </w:rPr>
      <mc:AlternateContent>
        <mc:Choice Requires="wps">
          <w:drawing>
            <wp:inline distT="0" distB="0" distL="0" distR="0" wp14:anchorId="700363AF" wp14:editId="4D142756">
              <wp:extent cx="1444625" cy="179705"/>
              <wp:effectExtent l="0" t="0" r="3175" b="10795"/>
              <wp:docPr id="1" name="Text Box 6" descr="Prostor za vnos naslovnika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5E456" w14:textId="77777777"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0363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Prostor za vnos naslovnika&#10;" style="width:113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" filled="f" stroked="f">
              <v:textbox inset="0,0,0,0">
                <w:txbxContent>
                  <w:p w14:paraId="1935E456" w14:textId="77777777"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93489" w:rsidRPr="00A46CCE">
      <w:rPr>
        <w:rFonts w:cs="Arial"/>
      </w:rPr>
      <w:tab/>
    </w:r>
  </w:p>
  <w:p w14:paraId="5B43C186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6ED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26D6"/>
    <w:rsid w:val="000354DC"/>
    <w:rsid w:val="00036181"/>
    <w:rsid w:val="00037768"/>
    <w:rsid w:val="00042A86"/>
    <w:rsid w:val="00044649"/>
    <w:rsid w:val="0004603B"/>
    <w:rsid w:val="00046187"/>
    <w:rsid w:val="00062541"/>
    <w:rsid w:val="000628CA"/>
    <w:rsid w:val="00062B89"/>
    <w:rsid w:val="00066DCE"/>
    <w:rsid w:val="00070572"/>
    <w:rsid w:val="000746B7"/>
    <w:rsid w:val="00074954"/>
    <w:rsid w:val="000769BF"/>
    <w:rsid w:val="00083F83"/>
    <w:rsid w:val="00087ED3"/>
    <w:rsid w:val="000920C5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16A4"/>
    <w:rsid w:val="000C4445"/>
    <w:rsid w:val="000D2307"/>
    <w:rsid w:val="000D6106"/>
    <w:rsid w:val="000D6EBE"/>
    <w:rsid w:val="000E27C2"/>
    <w:rsid w:val="000E56AC"/>
    <w:rsid w:val="000E60E5"/>
    <w:rsid w:val="000F083F"/>
    <w:rsid w:val="0012192D"/>
    <w:rsid w:val="00122202"/>
    <w:rsid w:val="00124BA6"/>
    <w:rsid w:val="00132AC3"/>
    <w:rsid w:val="001357B2"/>
    <w:rsid w:val="001364B1"/>
    <w:rsid w:val="001403B2"/>
    <w:rsid w:val="0014272F"/>
    <w:rsid w:val="001502AD"/>
    <w:rsid w:val="00151D8D"/>
    <w:rsid w:val="00152339"/>
    <w:rsid w:val="00152C83"/>
    <w:rsid w:val="001567F1"/>
    <w:rsid w:val="00156D45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4FB7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4DC"/>
    <w:rsid w:val="00201517"/>
    <w:rsid w:val="00202A77"/>
    <w:rsid w:val="00210287"/>
    <w:rsid w:val="002106A0"/>
    <w:rsid w:val="002115A9"/>
    <w:rsid w:val="0021357A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18B5"/>
    <w:rsid w:val="00252456"/>
    <w:rsid w:val="0025355C"/>
    <w:rsid w:val="0025463A"/>
    <w:rsid w:val="00262FA5"/>
    <w:rsid w:val="00263203"/>
    <w:rsid w:val="00266117"/>
    <w:rsid w:val="00271CE5"/>
    <w:rsid w:val="00282020"/>
    <w:rsid w:val="002835BA"/>
    <w:rsid w:val="00286027"/>
    <w:rsid w:val="00286444"/>
    <w:rsid w:val="00294ECF"/>
    <w:rsid w:val="0029627C"/>
    <w:rsid w:val="002A0B09"/>
    <w:rsid w:val="002A201D"/>
    <w:rsid w:val="002A26AB"/>
    <w:rsid w:val="002A55FE"/>
    <w:rsid w:val="002A5D3E"/>
    <w:rsid w:val="002A6BC9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0D44"/>
    <w:rsid w:val="002E1ECC"/>
    <w:rsid w:val="002E4C59"/>
    <w:rsid w:val="002E5123"/>
    <w:rsid w:val="002F09A6"/>
    <w:rsid w:val="002F19B9"/>
    <w:rsid w:val="002F29D2"/>
    <w:rsid w:val="002F3CDC"/>
    <w:rsid w:val="002F43C6"/>
    <w:rsid w:val="002F4C7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24A6"/>
    <w:rsid w:val="003533C6"/>
    <w:rsid w:val="00355259"/>
    <w:rsid w:val="00360775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2042"/>
    <w:rsid w:val="003E4854"/>
    <w:rsid w:val="003E69B7"/>
    <w:rsid w:val="003E7DCE"/>
    <w:rsid w:val="003F1997"/>
    <w:rsid w:val="003F5EC6"/>
    <w:rsid w:val="003F75D0"/>
    <w:rsid w:val="004012F9"/>
    <w:rsid w:val="00402ABC"/>
    <w:rsid w:val="0040383E"/>
    <w:rsid w:val="0040755E"/>
    <w:rsid w:val="00413F33"/>
    <w:rsid w:val="00415CC8"/>
    <w:rsid w:val="00420CDF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24DF"/>
    <w:rsid w:val="00464756"/>
    <w:rsid w:val="00464DAC"/>
    <w:rsid w:val="00475C37"/>
    <w:rsid w:val="0047732A"/>
    <w:rsid w:val="00480477"/>
    <w:rsid w:val="00481860"/>
    <w:rsid w:val="00483011"/>
    <w:rsid w:val="00485520"/>
    <w:rsid w:val="00485762"/>
    <w:rsid w:val="00486021"/>
    <w:rsid w:val="00487560"/>
    <w:rsid w:val="00491834"/>
    <w:rsid w:val="00494C40"/>
    <w:rsid w:val="004952C4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C5675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6F41"/>
    <w:rsid w:val="004F7343"/>
    <w:rsid w:val="00500014"/>
    <w:rsid w:val="0050071E"/>
    <w:rsid w:val="00503BCF"/>
    <w:rsid w:val="005041D1"/>
    <w:rsid w:val="00504B7B"/>
    <w:rsid w:val="00514C43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36C9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56FC"/>
    <w:rsid w:val="005869E9"/>
    <w:rsid w:val="005A280A"/>
    <w:rsid w:val="005A38D6"/>
    <w:rsid w:val="005B1231"/>
    <w:rsid w:val="005B45B7"/>
    <w:rsid w:val="005B4EA7"/>
    <w:rsid w:val="005B745C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0FD9"/>
    <w:rsid w:val="006013D4"/>
    <w:rsid w:val="00601FD1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7FD9"/>
    <w:rsid w:val="00681366"/>
    <w:rsid w:val="006856C6"/>
    <w:rsid w:val="00686578"/>
    <w:rsid w:val="00692DF2"/>
    <w:rsid w:val="0069597E"/>
    <w:rsid w:val="006A4014"/>
    <w:rsid w:val="006A7F71"/>
    <w:rsid w:val="006B1B87"/>
    <w:rsid w:val="006B75A0"/>
    <w:rsid w:val="006B7E06"/>
    <w:rsid w:val="006C4A64"/>
    <w:rsid w:val="006D42D9"/>
    <w:rsid w:val="006D42EC"/>
    <w:rsid w:val="006D76B0"/>
    <w:rsid w:val="006E212A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61B0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1706"/>
    <w:rsid w:val="0079283D"/>
    <w:rsid w:val="00793489"/>
    <w:rsid w:val="007968A0"/>
    <w:rsid w:val="007A4A6D"/>
    <w:rsid w:val="007A5A4F"/>
    <w:rsid w:val="007B0F27"/>
    <w:rsid w:val="007B1270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1DB7"/>
    <w:rsid w:val="007D6B11"/>
    <w:rsid w:val="007D75CF"/>
    <w:rsid w:val="007E14BC"/>
    <w:rsid w:val="007E2C21"/>
    <w:rsid w:val="007E31EC"/>
    <w:rsid w:val="007E6DC5"/>
    <w:rsid w:val="007F0551"/>
    <w:rsid w:val="007F78C0"/>
    <w:rsid w:val="008020E2"/>
    <w:rsid w:val="00804E3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0AA3"/>
    <w:rsid w:val="008561B9"/>
    <w:rsid w:val="00871E0C"/>
    <w:rsid w:val="00874478"/>
    <w:rsid w:val="0088043C"/>
    <w:rsid w:val="00882BD2"/>
    <w:rsid w:val="00884BA4"/>
    <w:rsid w:val="008852E0"/>
    <w:rsid w:val="008906C9"/>
    <w:rsid w:val="00890713"/>
    <w:rsid w:val="00891BE1"/>
    <w:rsid w:val="00894E2C"/>
    <w:rsid w:val="008A3040"/>
    <w:rsid w:val="008A389A"/>
    <w:rsid w:val="008A617C"/>
    <w:rsid w:val="008B22BD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087"/>
    <w:rsid w:val="008F3500"/>
    <w:rsid w:val="008F3D5C"/>
    <w:rsid w:val="008F3D83"/>
    <w:rsid w:val="008F4EC5"/>
    <w:rsid w:val="008F66DB"/>
    <w:rsid w:val="008F69FB"/>
    <w:rsid w:val="009000E4"/>
    <w:rsid w:val="00900F01"/>
    <w:rsid w:val="009027C4"/>
    <w:rsid w:val="00902893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5408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053"/>
    <w:rsid w:val="009C550F"/>
    <w:rsid w:val="009C7C1C"/>
    <w:rsid w:val="009D0DED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4C98"/>
    <w:rsid w:val="00A45C0D"/>
    <w:rsid w:val="00A473FB"/>
    <w:rsid w:val="00A5039D"/>
    <w:rsid w:val="00A6188B"/>
    <w:rsid w:val="00A61918"/>
    <w:rsid w:val="00A61EC4"/>
    <w:rsid w:val="00A64D32"/>
    <w:rsid w:val="00A65CF5"/>
    <w:rsid w:val="00A65EE7"/>
    <w:rsid w:val="00A65FAE"/>
    <w:rsid w:val="00A6660F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FA4"/>
    <w:rsid w:val="00A876CC"/>
    <w:rsid w:val="00A93D92"/>
    <w:rsid w:val="00AA2C31"/>
    <w:rsid w:val="00AA6CA5"/>
    <w:rsid w:val="00AA744E"/>
    <w:rsid w:val="00AA77E7"/>
    <w:rsid w:val="00AA7912"/>
    <w:rsid w:val="00AB38CE"/>
    <w:rsid w:val="00AC5212"/>
    <w:rsid w:val="00AD2025"/>
    <w:rsid w:val="00AE1429"/>
    <w:rsid w:val="00AE2166"/>
    <w:rsid w:val="00AE22DF"/>
    <w:rsid w:val="00AE316A"/>
    <w:rsid w:val="00AE4B30"/>
    <w:rsid w:val="00AE5398"/>
    <w:rsid w:val="00AF10F9"/>
    <w:rsid w:val="00AF35DD"/>
    <w:rsid w:val="00AF57D7"/>
    <w:rsid w:val="00AF58EE"/>
    <w:rsid w:val="00AF5D18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5E79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B3B"/>
    <w:rsid w:val="00B97E08"/>
    <w:rsid w:val="00BA0EE9"/>
    <w:rsid w:val="00BA2EF1"/>
    <w:rsid w:val="00BA4208"/>
    <w:rsid w:val="00BA5694"/>
    <w:rsid w:val="00BB0A64"/>
    <w:rsid w:val="00BB1F36"/>
    <w:rsid w:val="00BB38EB"/>
    <w:rsid w:val="00BB67AE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3EF1"/>
    <w:rsid w:val="00C04BAA"/>
    <w:rsid w:val="00C066EE"/>
    <w:rsid w:val="00C07F64"/>
    <w:rsid w:val="00C103E7"/>
    <w:rsid w:val="00C1159D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4DA4"/>
    <w:rsid w:val="00C36C44"/>
    <w:rsid w:val="00C37645"/>
    <w:rsid w:val="00C50208"/>
    <w:rsid w:val="00C569F5"/>
    <w:rsid w:val="00C600C3"/>
    <w:rsid w:val="00C61358"/>
    <w:rsid w:val="00C7157D"/>
    <w:rsid w:val="00C72E19"/>
    <w:rsid w:val="00C76D2E"/>
    <w:rsid w:val="00C776CC"/>
    <w:rsid w:val="00C77797"/>
    <w:rsid w:val="00C83B94"/>
    <w:rsid w:val="00C9191F"/>
    <w:rsid w:val="00C9261E"/>
    <w:rsid w:val="00C92898"/>
    <w:rsid w:val="00CA19F3"/>
    <w:rsid w:val="00CA4FF9"/>
    <w:rsid w:val="00CB0324"/>
    <w:rsid w:val="00CB4AEF"/>
    <w:rsid w:val="00CB4E53"/>
    <w:rsid w:val="00CB6402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307D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396A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1C5B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077F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115B"/>
    <w:rsid w:val="00E628E9"/>
    <w:rsid w:val="00E657A7"/>
    <w:rsid w:val="00E65F70"/>
    <w:rsid w:val="00E707A6"/>
    <w:rsid w:val="00E7158D"/>
    <w:rsid w:val="00E83306"/>
    <w:rsid w:val="00E83A59"/>
    <w:rsid w:val="00E9107B"/>
    <w:rsid w:val="00E95CA4"/>
    <w:rsid w:val="00E969F9"/>
    <w:rsid w:val="00E97071"/>
    <w:rsid w:val="00EA0F8C"/>
    <w:rsid w:val="00EA17E3"/>
    <w:rsid w:val="00EA4D82"/>
    <w:rsid w:val="00EA5D0F"/>
    <w:rsid w:val="00EB0262"/>
    <w:rsid w:val="00EB195E"/>
    <w:rsid w:val="00EB22A3"/>
    <w:rsid w:val="00EB793D"/>
    <w:rsid w:val="00EC46DE"/>
    <w:rsid w:val="00EC6EF3"/>
    <w:rsid w:val="00EC7D53"/>
    <w:rsid w:val="00ED05C8"/>
    <w:rsid w:val="00ED3B97"/>
    <w:rsid w:val="00ED7BA7"/>
    <w:rsid w:val="00EE26C1"/>
    <w:rsid w:val="00EE3953"/>
    <w:rsid w:val="00EE46F2"/>
    <w:rsid w:val="00EE4853"/>
    <w:rsid w:val="00EF413C"/>
    <w:rsid w:val="00F05E5B"/>
    <w:rsid w:val="00F05FDA"/>
    <w:rsid w:val="00F106E1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0DE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1EBA"/>
    <w:rsid w:val="00F855E5"/>
    <w:rsid w:val="00F90A3A"/>
    <w:rsid w:val="00F96526"/>
    <w:rsid w:val="00F97F25"/>
    <w:rsid w:val="00FA1E76"/>
    <w:rsid w:val="00FB5633"/>
    <w:rsid w:val="00FB5852"/>
    <w:rsid w:val="00FB5862"/>
    <w:rsid w:val="00FC0BF4"/>
    <w:rsid w:val="00FC399C"/>
    <w:rsid w:val="00FD25A2"/>
    <w:rsid w:val="00FE08C5"/>
    <w:rsid w:val="00FE13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F6D2A8B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1502A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unhideWhenUsed/>
    <w:rsid w:val="00F05FDA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05FDA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F05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kranjc@gov.si" TargetMode="Externa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" TargetMode="External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FDEF-9B0E-4F3C-9FF0-646ED5E7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192</TotalTime>
  <Pages>5</Pages>
  <Words>1020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NP_K.O._DRAMLJE</vt:lpstr>
    </vt:vector>
  </TitlesOfParts>
  <Company>Indea d.o.o.</Company>
  <LinksUpToDate>false</LinksUpToDate>
  <CharactersWithSpaces>7050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NP_K.O._DRAMLJE</dc:title>
  <dc:subject/>
  <dc:creator>Erika.Kranjc@gov.si</dc:creator>
  <cp:keywords/>
  <dc:description/>
  <cp:lastModifiedBy>Erika Kranjc</cp:lastModifiedBy>
  <cp:revision>19</cp:revision>
  <cp:lastPrinted>2019-07-25T11:29:00Z</cp:lastPrinted>
  <dcterms:created xsi:type="dcterms:W3CDTF">2022-08-29T10:37:00Z</dcterms:created>
  <dcterms:modified xsi:type="dcterms:W3CDTF">2022-08-30T12:00:00Z</dcterms:modified>
</cp:coreProperties>
</file>