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3DAB2507"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2C5A0D">
        <w:rPr>
          <w:rFonts w:cs="Arial"/>
        </w:rPr>
        <w:t>-3130</w:t>
      </w:r>
      <w:r w:rsidR="00ED7D2E" w:rsidRPr="002A1E68">
        <w:rPr>
          <w:rFonts w:cs="Arial"/>
        </w:rPr>
        <w:t>/</w:t>
      </w:r>
      <w:r w:rsidR="00B22B1F">
        <w:rPr>
          <w:rFonts w:cs="Arial"/>
        </w:rPr>
        <w:t>7</w:t>
      </w:r>
    </w:p>
    <w:p w14:paraId="7D78E61E" w14:textId="28D12852" w:rsidR="00E86AE5" w:rsidRDefault="00E86AE5" w:rsidP="008727A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455021">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2C5A0D">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05F0FD1E"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-1</w:t>
      </w:r>
      <w:r>
        <w:rPr>
          <w:rFonts w:cs="Arial"/>
          <w:b/>
          <w:szCs w:val="20"/>
          <w:lang w:val="sl-SI"/>
        </w:rPr>
        <w:t>500</w:t>
      </w:r>
      <w:r w:rsidRPr="008C709A">
        <w:rPr>
          <w:rFonts w:cs="Arial"/>
          <w:b/>
          <w:szCs w:val="20"/>
          <w:lang w:val="sl-SI"/>
        </w:rPr>
        <w:t>-1,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7A98ED04" w14:textId="2E0DE1AD" w:rsidR="00C47911"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55824" w:history="1">
            <w:r w:rsidR="00C47911" w:rsidRPr="00BD3D7B">
              <w:rPr>
                <w:rStyle w:val="Hiperpovezava"/>
                <w:rFonts w:cs="Arial"/>
                <w:b/>
                <w:noProof/>
                <w:lang w:val="sl-SI"/>
              </w:rPr>
              <w:t>1. Naziv in sedež organizatorja javne dražbe</w:t>
            </w:r>
            <w:r w:rsidR="00C47911">
              <w:rPr>
                <w:noProof/>
                <w:webHidden/>
              </w:rPr>
              <w:tab/>
            </w:r>
            <w:r w:rsidR="00C47911">
              <w:rPr>
                <w:noProof/>
                <w:webHidden/>
              </w:rPr>
              <w:fldChar w:fldCharType="begin"/>
            </w:r>
            <w:r w:rsidR="00C47911">
              <w:rPr>
                <w:noProof/>
                <w:webHidden/>
              </w:rPr>
              <w:instrText xml:space="preserve"> PAGEREF _Toc150755824 \h </w:instrText>
            </w:r>
            <w:r w:rsidR="00C47911">
              <w:rPr>
                <w:noProof/>
                <w:webHidden/>
              </w:rPr>
            </w:r>
            <w:r w:rsidR="00C47911">
              <w:rPr>
                <w:noProof/>
                <w:webHidden/>
              </w:rPr>
              <w:fldChar w:fldCharType="separate"/>
            </w:r>
            <w:r w:rsidR="00C47911">
              <w:rPr>
                <w:noProof/>
                <w:webHidden/>
              </w:rPr>
              <w:t>2</w:t>
            </w:r>
            <w:r w:rsidR="00C47911">
              <w:rPr>
                <w:noProof/>
                <w:webHidden/>
              </w:rPr>
              <w:fldChar w:fldCharType="end"/>
            </w:r>
          </w:hyperlink>
        </w:p>
        <w:p w14:paraId="57C9B0B5" w14:textId="28F574C5" w:rsidR="00C47911" w:rsidRDefault="004F6E74">
          <w:pPr>
            <w:pStyle w:val="Kazalovsebine1"/>
            <w:rPr>
              <w:rFonts w:asciiTheme="minorHAnsi" w:eastAsiaTheme="minorEastAsia" w:hAnsiTheme="minorHAnsi" w:cstheme="minorBidi"/>
              <w:noProof/>
              <w:sz w:val="22"/>
              <w:szCs w:val="22"/>
              <w:lang w:val="sl-SI" w:eastAsia="sl-SI"/>
            </w:rPr>
          </w:pPr>
          <w:hyperlink w:anchor="_Toc150755825" w:history="1">
            <w:r w:rsidR="00C47911" w:rsidRPr="00BD3D7B">
              <w:rPr>
                <w:rStyle w:val="Hiperpovezava"/>
                <w:rFonts w:cs="Arial"/>
                <w:b/>
                <w:noProof/>
                <w:lang w:val="sl-SI"/>
              </w:rPr>
              <w:t>2. Način in čas izvedbe javne dražbe</w:t>
            </w:r>
            <w:r w:rsidR="00C47911">
              <w:rPr>
                <w:noProof/>
                <w:webHidden/>
              </w:rPr>
              <w:tab/>
            </w:r>
            <w:r w:rsidR="00C47911">
              <w:rPr>
                <w:noProof/>
                <w:webHidden/>
              </w:rPr>
              <w:fldChar w:fldCharType="begin"/>
            </w:r>
            <w:r w:rsidR="00C47911">
              <w:rPr>
                <w:noProof/>
                <w:webHidden/>
              </w:rPr>
              <w:instrText xml:space="preserve"> PAGEREF _Toc150755825 \h </w:instrText>
            </w:r>
            <w:r w:rsidR="00C47911">
              <w:rPr>
                <w:noProof/>
                <w:webHidden/>
              </w:rPr>
            </w:r>
            <w:r w:rsidR="00C47911">
              <w:rPr>
                <w:noProof/>
                <w:webHidden/>
              </w:rPr>
              <w:fldChar w:fldCharType="separate"/>
            </w:r>
            <w:r w:rsidR="00C47911">
              <w:rPr>
                <w:noProof/>
                <w:webHidden/>
              </w:rPr>
              <w:t>2</w:t>
            </w:r>
            <w:r w:rsidR="00C47911">
              <w:rPr>
                <w:noProof/>
                <w:webHidden/>
              </w:rPr>
              <w:fldChar w:fldCharType="end"/>
            </w:r>
          </w:hyperlink>
        </w:p>
        <w:p w14:paraId="6F8CEC23" w14:textId="31D4041B" w:rsidR="00C47911" w:rsidRDefault="004F6E74">
          <w:pPr>
            <w:pStyle w:val="Kazalovsebine1"/>
            <w:rPr>
              <w:rFonts w:asciiTheme="minorHAnsi" w:eastAsiaTheme="minorEastAsia" w:hAnsiTheme="minorHAnsi" w:cstheme="minorBidi"/>
              <w:noProof/>
              <w:sz w:val="22"/>
              <w:szCs w:val="22"/>
              <w:lang w:val="sl-SI" w:eastAsia="sl-SI"/>
            </w:rPr>
          </w:pPr>
          <w:hyperlink w:anchor="_Toc150755826" w:history="1">
            <w:r w:rsidR="00C47911" w:rsidRPr="00BD3D7B">
              <w:rPr>
                <w:rStyle w:val="Hiperpovezava"/>
                <w:rFonts w:cs="Arial"/>
                <w:b/>
                <w:noProof/>
                <w:lang w:val="sl-SI"/>
              </w:rPr>
              <w:t>3. Predmet javne dražbe</w:t>
            </w:r>
            <w:r w:rsidR="00C47911">
              <w:rPr>
                <w:noProof/>
                <w:webHidden/>
              </w:rPr>
              <w:tab/>
            </w:r>
            <w:r w:rsidR="00C47911">
              <w:rPr>
                <w:noProof/>
                <w:webHidden/>
              </w:rPr>
              <w:fldChar w:fldCharType="begin"/>
            </w:r>
            <w:r w:rsidR="00C47911">
              <w:rPr>
                <w:noProof/>
                <w:webHidden/>
              </w:rPr>
              <w:instrText xml:space="preserve"> PAGEREF _Toc150755826 \h </w:instrText>
            </w:r>
            <w:r w:rsidR="00C47911">
              <w:rPr>
                <w:noProof/>
                <w:webHidden/>
              </w:rPr>
            </w:r>
            <w:r w:rsidR="00C47911">
              <w:rPr>
                <w:noProof/>
                <w:webHidden/>
              </w:rPr>
              <w:fldChar w:fldCharType="separate"/>
            </w:r>
            <w:r w:rsidR="00C47911">
              <w:rPr>
                <w:noProof/>
                <w:webHidden/>
              </w:rPr>
              <w:t>2</w:t>
            </w:r>
            <w:r w:rsidR="00C47911">
              <w:rPr>
                <w:noProof/>
                <w:webHidden/>
              </w:rPr>
              <w:fldChar w:fldCharType="end"/>
            </w:r>
          </w:hyperlink>
        </w:p>
        <w:p w14:paraId="0C4BF97F" w14:textId="602A34FE" w:rsidR="00C47911" w:rsidRDefault="004F6E74">
          <w:pPr>
            <w:pStyle w:val="Kazalovsebine1"/>
            <w:rPr>
              <w:rFonts w:asciiTheme="minorHAnsi" w:eastAsiaTheme="minorEastAsia" w:hAnsiTheme="minorHAnsi" w:cstheme="minorBidi"/>
              <w:noProof/>
              <w:sz w:val="22"/>
              <w:szCs w:val="22"/>
              <w:lang w:val="sl-SI" w:eastAsia="sl-SI"/>
            </w:rPr>
          </w:pPr>
          <w:hyperlink w:anchor="_Toc150755827" w:history="1">
            <w:r w:rsidR="00C47911" w:rsidRPr="00BD3D7B">
              <w:rPr>
                <w:rStyle w:val="Hiperpovezava"/>
                <w:rFonts w:cs="Arial"/>
                <w:b/>
                <w:noProof/>
                <w:lang w:val="sl-SI"/>
              </w:rPr>
              <w:t>4. Izklicna vrednost javne dražbe in najnižji znesek višanja na javni dražbi</w:t>
            </w:r>
            <w:r w:rsidR="00C47911">
              <w:rPr>
                <w:noProof/>
                <w:webHidden/>
              </w:rPr>
              <w:tab/>
            </w:r>
            <w:r w:rsidR="00C47911">
              <w:rPr>
                <w:noProof/>
                <w:webHidden/>
              </w:rPr>
              <w:fldChar w:fldCharType="begin"/>
            </w:r>
            <w:r w:rsidR="00C47911">
              <w:rPr>
                <w:noProof/>
                <w:webHidden/>
              </w:rPr>
              <w:instrText xml:space="preserve"> PAGEREF _Toc150755827 \h </w:instrText>
            </w:r>
            <w:r w:rsidR="00C47911">
              <w:rPr>
                <w:noProof/>
                <w:webHidden/>
              </w:rPr>
            </w:r>
            <w:r w:rsidR="00C47911">
              <w:rPr>
                <w:noProof/>
                <w:webHidden/>
              </w:rPr>
              <w:fldChar w:fldCharType="separate"/>
            </w:r>
            <w:r w:rsidR="00C47911">
              <w:rPr>
                <w:noProof/>
                <w:webHidden/>
              </w:rPr>
              <w:t>3</w:t>
            </w:r>
            <w:r w:rsidR="00C47911">
              <w:rPr>
                <w:noProof/>
                <w:webHidden/>
              </w:rPr>
              <w:fldChar w:fldCharType="end"/>
            </w:r>
          </w:hyperlink>
        </w:p>
        <w:p w14:paraId="59AF3D80" w14:textId="496F5F95" w:rsidR="00C47911" w:rsidRDefault="004F6E74">
          <w:pPr>
            <w:pStyle w:val="Kazalovsebine1"/>
            <w:rPr>
              <w:rFonts w:asciiTheme="minorHAnsi" w:eastAsiaTheme="minorEastAsia" w:hAnsiTheme="minorHAnsi" w:cstheme="minorBidi"/>
              <w:noProof/>
              <w:sz w:val="22"/>
              <w:szCs w:val="22"/>
              <w:lang w:val="sl-SI" w:eastAsia="sl-SI"/>
            </w:rPr>
          </w:pPr>
          <w:hyperlink w:anchor="_Toc150755828" w:history="1">
            <w:r w:rsidR="00C47911" w:rsidRPr="00BD3D7B">
              <w:rPr>
                <w:rStyle w:val="Hiperpovezava"/>
                <w:rFonts w:cs="Arial"/>
                <w:b/>
                <w:noProof/>
                <w:lang w:val="sl-SI"/>
              </w:rPr>
              <w:t>5. Varščina</w:t>
            </w:r>
            <w:r w:rsidR="00C47911">
              <w:rPr>
                <w:noProof/>
                <w:webHidden/>
              </w:rPr>
              <w:tab/>
            </w:r>
            <w:r w:rsidR="00C47911">
              <w:rPr>
                <w:noProof/>
                <w:webHidden/>
              </w:rPr>
              <w:fldChar w:fldCharType="begin"/>
            </w:r>
            <w:r w:rsidR="00C47911">
              <w:rPr>
                <w:noProof/>
                <w:webHidden/>
              </w:rPr>
              <w:instrText xml:space="preserve"> PAGEREF _Toc150755828 \h </w:instrText>
            </w:r>
            <w:r w:rsidR="00C47911">
              <w:rPr>
                <w:noProof/>
                <w:webHidden/>
              </w:rPr>
            </w:r>
            <w:r w:rsidR="00C47911">
              <w:rPr>
                <w:noProof/>
                <w:webHidden/>
              </w:rPr>
              <w:fldChar w:fldCharType="separate"/>
            </w:r>
            <w:r w:rsidR="00C47911">
              <w:rPr>
                <w:noProof/>
                <w:webHidden/>
              </w:rPr>
              <w:t>3</w:t>
            </w:r>
            <w:r w:rsidR="00C47911">
              <w:rPr>
                <w:noProof/>
                <w:webHidden/>
              </w:rPr>
              <w:fldChar w:fldCharType="end"/>
            </w:r>
          </w:hyperlink>
        </w:p>
        <w:p w14:paraId="32D73277" w14:textId="0B682F73" w:rsidR="00C47911" w:rsidRDefault="004F6E74">
          <w:pPr>
            <w:pStyle w:val="Kazalovsebine1"/>
            <w:rPr>
              <w:rFonts w:asciiTheme="minorHAnsi" w:eastAsiaTheme="minorEastAsia" w:hAnsiTheme="minorHAnsi" w:cstheme="minorBidi"/>
              <w:noProof/>
              <w:sz w:val="22"/>
              <w:szCs w:val="22"/>
              <w:lang w:val="sl-SI" w:eastAsia="sl-SI"/>
            </w:rPr>
          </w:pPr>
          <w:hyperlink w:anchor="_Toc150755829" w:history="1">
            <w:r w:rsidR="00C47911" w:rsidRPr="00BD3D7B">
              <w:rPr>
                <w:rStyle w:val="Hiperpovezava"/>
                <w:rFonts w:cs="Arial"/>
                <w:b/>
                <w:noProof/>
                <w:lang w:val="sl-SI"/>
              </w:rPr>
              <w:t>6. Pogoji pravnega posla</w:t>
            </w:r>
            <w:r w:rsidR="00C47911">
              <w:rPr>
                <w:noProof/>
                <w:webHidden/>
              </w:rPr>
              <w:tab/>
            </w:r>
            <w:r w:rsidR="00C47911">
              <w:rPr>
                <w:noProof/>
                <w:webHidden/>
              </w:rPr>
              <w:fldChar w:fldCharType="begin"/>
            </w:r>
            <w:r w:rsidR="00C47911">
              <w:rPr>
                <w:noProof/>
                <w:webHidden/>
              </w:rPr>
              <w:instrText xml:space="preserve"> PAGEREF _Toc150755829 \h </w:instrText>
            </w:r>
            <w:r w:rsidR="00C47911">
              <w:rPr>
                <w:noProof/>
                <w:webHidden/>
              </w:rPr>
            </w:r>
            <w:r w:rsidR="00C47911">
              <w:rPr>
                <w:noProof/>
                <w:webHidden/>
              </w:rPr>
              <w:fldChar w:fldCharType="separate"/>
            </w:r>
            <w:r w:rsidR="00C47911">
              <w:rPr>
                <w:noProof/>
                <w:webHidden/>
              </w:rPr>
              <w:t>3</w:t>
            </w:r>
            <w:r w:rsidR="00C47911">
              <w:rPr>
                <w:noProof/>
                <w:webHidden/>
              </w:rPr>
              <w:fldChar w:fldCharType="end"/>
            </w:r>
          </w:hyperlink>
        </w:p>
        <w:p w14:paraId="04B7C657" w14:textId="33B9205A" w:rsidR="00C47911" w:rsidRDefault="004F6E74">
          <w:pPr>
            <w:pStyle w:val="Kazalovsebine1"/>
            <w:rPr>
              <w:rFonts w:asciiTheme="minorHAnsi" w:eastAsiaTheme="minorEastAsia" w:hAnsiTheme="minorHAnsi" w:cstheme="minorBidi"/>
              <w:noProof/>
              <w:sz w:val="22"/>
              <w:szCs w:val="22"/>
              <w:lang w:val="sl-SI" w:eastAsia="sl-SI"/>
            </w:rPr>
          </w:pPr>
          <w:hyperlink w:anchor="_Toc150755830" w:history="1">
            <w:r w:rsidR="00C47911" w:rsidRPr="00BD3D7B">
              <w:rPr>
                <w:rStyle w:val="Hiperpovezava"/>
                <w:rFonts w:cs="Arial"/>
                <w:b/>
                <w:noProof/>
                <w:lang w:val="sl-SI"/>
              </w:rPr>
              <w:t>7. Sestava komisije javne dražbe in cenilec</w:t>
            </w:r>
            <w:r w:rsidR="00C47911">
              <w:rPr>
                <w:noProof/>
                <w:webHidden/>
              </w:rPr>
              <w:tab/>
            </w:r>
            <w:r w:rsidR="00C47911">
              <w:rPr>
                <w:noProof/>
                <w:webHidden/>
              </w:rPr>
              <w:fldChar w:fldCharType="begin"/>
            </w:r>
            <w:r w:rsidR="00C47911">
              <w:rPr>
                <w:noProof/>
                <w:webHidden/>
              </w:rPr>
              <w:instrText xml:space="preserve"> PAGEREF _Toc150755830 \h </w:instrText>
            </w:r>
            <w:r w:rsidR="00C47911">
              <w:rPr>
                <w:noProof/>
                <w:webHidden/>
              </w:rPr>
            </w:r>
            <w:r w:rsidR="00C47911">
              <w:rPr>
                <w:noProof/>
                <w:webHidden/>
              </w:rPr>
              <w:fldChar w:fldCharType="separate"/>
            </w:r>
            <w:r w:rsidR="00C47911">
              <w:rPr>
                <w:noProof/>
                <w:webHidden/>
              </w:rPr>
              <w:t>3</w:t>
            </w:r>
            <w:r w:rsidR="00C47911">
              <w:rPr>
                <w:noProof/>
                <w:webHidden/>
              </w:rPr>
              <w:fldChar w:fldCharType="end"/>
            </w:r>
          </w:hyperlink>
        </w:p>
        <w:p w14:paraId="1940B98C" w14:textId="39487591" w:rsidR="00C47911" w:rsidRDefault="004F6E74">
          <w:pPr>
            <w:pStyle w:val="Kazalovsebine1"/>
            <w:rPr>
              <w:rFonts w:asciiTheme="minorHAnsi" w:eastAsiaTheme="minorEastAsia" w:hAnsiTheme="minorHAnsi" w:cstheme="minorBidi"/>
              <w:noProof/>
              <w:sz w:val="22"/>
              <w:szCs w:val="22"/>
              <w:lang w:val="sl-SI" w:eastAsia="sl-SI"/>
            </w:rPr>
          </w:pPr>
          <w:hyperlink w:anchor="_Toc150755831" w:history="1">
            <w:r w:rsidR="00C47911" w:rsidRPr="00BD3D7B">
              <w:rPr>
                <w:rStyle w:val="Hiperpovezava"/>
                <w:rFonts w:cs="Arial"/>
                <w:b/>
                <w:noProof/>
                <w:lang w:val="sl-SI"/>
              </w:rPr>
              <w:t>8. Pogoji za prijavo in sodelovanje na javni dražbi</w:t>
            </w:r>
            <w:r w:rsidR="00C47911">
              <w:rPr>
                <w:noProof/>
                <w:webHidden/>
              </w:rPr>
              <w:tab/>
            </w:r>
            <w:r w:rsidR="00C47911">
              <w:rPr>
                <w:noProof/>
                <w:webHidden/>
              </w:rPr>
              <w:fldChar w:fldCharType="begin"/>
            </w:r>
            <w:r w:rsidR="00C47911">
              <w:rPr>
                <w:noProof/>
                <w:webHidden/>
              </w:rPr>
              <w:instrText xml:space="preserve"> PAGEREF _Toc150755831 \h </w:instrText>
            </w:r>
            <w:r w:rsidR="00C47911">
              <w:rPr>
                <w:noProof/>
                <w:webHidden/>
              </w:rPr>
            </w:r>
            <w:r w:rsidR="00C47911">
              <w:rPr>
                <w:noProof/>
                <w:webHidden/>
              </w:rPr>
              <w:fldChar w:fldCharType="separate"/>
            </w:r>
            <w:r w:rsidR="00C47911">
              <w:rPr>
                <w:noProof/>
                <w:webHidden/>
              </w:rPr>
              <w:t>3</w:t>
            </w:r>
            <w:r w:rsidR="00C47911">
              <w:rPr>
                <w:noProof/>
                <w:webHidden/>
              </w:rPr>
              <w:fldChar w:fldCharType="end"/>
            </w:r>
          </w:hyperlink>
        </w:p>
        <w:p w14:paraId="631ADD57" w14:textId="349AAF63" w:rsidR="00C47911" w:rsidRDefault="004F6E74">
          <w:pPr>
            <w:pStyle w:val="Kazalovsebine1"/>
            <w:rPr>
              <w:rFonts w:asciiTheme="minorHAnsi" w:eastAsiaTheme="minorEastAsia" w:hAnsiTheme="minorHAnsi" w:cstheme="minorBidi"/>
              <w:noProof/>
              <w:sz w:val="22"/>
              <w:szCs w:val="22"/>
              <w:lang w:val="sl-SI" w:eastAsia="sl-SI"/>
            </w:rPr>
          </w:pPr>
          <w:hyperlink w:anchor="_Toc150755832" w:history="1">
            <w:r w:rsidR="00C47911" w:rsidRPr="00BD3D7B">
              <w:rPr>
                <w:rStyle w:val="Hiperpovezava"/>
                <w:rFonts w:cs="Arial"/>
                <w:b/>
                <w:noProof/>
                <w:lang w:val="sl-SI"/>
              </w:rPr>
              <w:t>9. Način in rok prijave na javno dražbo</w:t>
            </w:r>
            <w:r w:rsidR="00C47911">
              <w:rPr>
                <w:noProof/>
                <w:webHidden/>
              </w:rPr>
              <w:tab/>
            </w:r>
            <w:r w:rsidR="00C47911">
              <w:rPr>
                <w:noProof/>
                <w:webHidden/>
              </w:rPr>
              <w:fldChar w:fldCharType="begin"/>
            </w:r>
            <w:r w:rsidR="00C47911">
              <w:rPr>
                <w:noProof/>
                <w:webHidden/>
              </w:rPr>
              <w:instrText xml:space="preserve"> PAGEREF _Toc150755832 \h </w:instrText>
            </w:r>
            <w:r w:rsidR="00C47911">
              <w:rPr>
                <w:noProof/>
                <w:webHidden/>
              </w:rPr>
            </w:r>
            <w:r w:rsidR="00C47911">
              <w:rPr>
                <w:noProof/>
                <w:webHidden/>
              </w:rPr>
              <w:fldChar w:fldCharType="separate"/>
            </w:r>
            <w:r w:rsidR="00C47911">
              <w:rPr>
                <w:noProof/>
                <w:webHidden/>
              </w:rPr>
              <w:t>4</w:t>
            </w:r>
            <w:r w:rsidR="00C47911">
              <w:rPr>
                <w:noProof/>
                <w:webHidden/>
              </w:rPr>
              <w:fldChar w:fldCharType="end"/>
            </w:r>
          </w:hyperlink>
        </w:p>
        <w:p w14:paraId="18AA3643" w14:textId="7497B03C" w:rsidR="00C47911" w:rsidRDefault="004F6E74">
          <w:pPr>
            <w:pStyle w:val="Kazalovsebine1"/>
            <w:rPr>
              <w:rFonts w:asciiTheme="minorHAnsi" w:eastAsiaTheme="minorEastAsia" w:hAnsiTheme="minorHAnsi" w:cstheme="minorBidi"/>
              <w:noProof/>
              <w:sz w:val="22"/>
              <w:szCs w:val="22"/>
              <w:lang w:val="sl-SI" w:eastAsia="sl-SI"/>
            </w:rPr>
          </w:pPr>
          <w:hyperlink w:anchor="_Toc150755833" w:history="1">
            <w:r w:rsidR="00C47911" w:rsidRPr="00BD3D7B">
              <w:rPr>
                <w:rStyle w:val="Hiperpovezava"/>
                <w:rFonts w:cs="Arial"/>
                <w:b/>
                <w:noProof/>
                <w:lang w:val="sl-SI"/>
              </w:rPr>
              <w:t>10. Potek javne dražbe</w:t>
            </w:r>
            <w:r w:rsidR="00C47911">
              <w:rPr>
                <w:noProof/>
                <w:webHidden/>
              </w:rPr>
              <w:tab/>
            </w:r>
            <w:r w:rsidR="00C47911">
              <w:rPr>
                <w:noProof/>
                <w:webHidden/>
              </w:rPr>
              <w:fldChar w:fldCharType="begin"/>
            </w:r>
            <w:r w:rsidR="00C47911">
              <w:rPr>
                <w:noProof/>
                <w:webHidden/>
              </w:rPr>
              <w:instrText xml:space="preserve"> PAGEREF _Toc150755833 \h </w:instrText>
            </w:r>
            <w:r w:rsidR="00C47911">
              <w:rPr>
                <w:noProof/>
                <w:webHidden/>
              </w:rPr>
            </w:r>
            <w:r w:rsidR="00C47911">
              <w:rPr>
                <w:noProof/>
                <w:webHidden/>
              </w:rPr>
              <w:fldChar w:fldCharType="separate"/>
            </w:r>
            <w:r w:rsidR="00C47911">
              <w:rPr>
                <w:noProof/>
                <w:webHidden/>
              </w:rPr>
              <w:t>5</w:t>
            </w:r>
            <w:r w:rsidR="00C47911">
              <w:rPr>
                <w:noProof/>
                <w:webHidden/>
              </w:rPr>
              <w:fldChar w:fldCharType="end"/>
            </w:r>
          </w:hyperlink>
        </w:p>
        <w:p w14:paraId="54F07225" w14:textId="70411605" w:rsidR="00C47911" w:rsidRDefault="004F6E74">
          <w:pPr>
            <w:pStyle w:val="Kazalovsebine1"/>
            <w:rPr>
              <w:rFonts w:asciiTheme="minorHAnsi" w:eastAsiaTheme="minorEastAsia" w:hAnsiTheme="minorHAnsi" w:cstheme="minorBidi"/>
              <w:noProof/>
              <w:sz w:val="22"/>
              <w:szCs w:val="22"/>
              <w:lang w:val="sl-SI" w:eastAsia="sl-SI"/>
            </w:rPr>
          </w:pPr>
          <w:hyperlink w:anchor="_Toc150755834" w:history="1">
            <w:r w:rsidR="00C47911" w:rsidRPr="00BD3D7B">
              <w:rPr>
                <w:rStyle w:val="Hiperpovezava"/>
                <w:rFonts w:cs="Arial"/>
                <w:b/>
                <w:noProof/>
                <w:lang w:val="sl-SI"/>
              </w:rPr>
              <w:t>11. Sklenitev prodajne pogodbe in plačilo kupnine</w:t>
            </w:r>
            <w:r w:rsidR="00C47911">
              <w:rPr>
                <w:noProof/>
                <w:webHidden/>
              </w:rPr>
              <w:tab/>
            </w:r>
            <w:r w:rsidR="00C47911">
              <w:rPr>
                <w:noProof/>
                <w:webHidden/>
              </w:rPr>
              <w:fldChar w:fldCharType="begin"/>
            </w:r>
            <w:r w:rsidR="00C47911">
              <w:rPr>
                <w:noProof/>
                <w:webHidden/>
              </w:rPr>
              <w:instrText xml:space="preserve"> PAGEREF _Toc150755834 \h </w:instrText>
            </w:r>
            <w:r w:rsidR="00C47911">
              <w:rPr>
                <w:noProof/>
                <w:webHidden/>
              </w:rPr>
            </w:r>
            <w:r w:rsidR="00C47911">
              <w:rPr>
                <w:noProof/>
                <w:webHidden/>
              </w:rPr>
              <w:fldChar w:fldCharType="separate"/>
            </w:r>
            <w:r w:rsidR="00C47911">
              <w:rPr>
                <w:noProof/>
                <w:webHidden/>
              </w:rPr>
              <w:t>5</w:t>
            </w:r>
            <w:r w:rsidR="00C47911">
              <w:rPr>
                <w:noProof/>
                <w:webHidden/>
              </w:rPr>
              <w:fldChar w:fldCharType="end"/>
            </w:r>
          </w:hyperlink>
        </w:p>
        <w:p w14:paraId="2757CC0F" w14:textId="573AA9B7" w:rsidR="00C47911" w:rsidRDefault="004F6E74">
          <w:pPr>
            <w:pStyle w:val="Kazalovsebine1"/>
            <w:rPr>
              <w:rFonts w:asciiTheme="minorHAnsi" w:eastAsiaTheme="minorEastAsia" w:hAnsiTheme="minorHAnsi" w:cstheme="minorBidi"/>
              <w:noProof/>
              <w:sz w:val="22"/>
              <w:szCs w:val="22"/>
              <w:lang w:val="sl-SI" w:eastAsia="sl-SI"/>
            </w:rPr>
          </w:pPr>
          <w:hyperlink w:anchor="_Toc150755835" w:history="1">
            <w:r w:rsidR="00C47911" w:rsidRPr="00BD3D7B">
              <w:rPr>
                <w:rStyle w:val="Hiperpovezava"/>
                <w:rFonts w:cs="Arial"/>
                <w:b/>
                <w:noProof/>
                <w:lang w:val="sl-SI"/>
              </w:rPr>
              <w:t>14. Obvestilo posameznikom po 13. členu Splošne uredbe o varstvu podatkov (GDPR)</w:t>
            </w:r>
            <w:r w:rsidR="00C47911">
              <w:rPr>
                <w:noProof/>
                <w:webHidden/>
              </w:rPr>
              <w:tab/>
            </w:r>
            <w:r w:rsidR="00C47911">
              <w:rPr>
                <w:noProof/>
                <w:webHidden/>
              </w:rPr>
              <w:fldChar w:fldCharType="begin"/>
            </w:r>
            <w:r w:rsidR="00C47911">
              <w:rPr>
                <w:noProof/>
                <w:webHidden/>
              </w:rPr>
              <w:instrText xml:space="preserve"> PAGEREF _Toc150755835 \h </w:instrText>
            </w:r>
            <w:r w:rsidR="00C47911">
              <w:rPr>
                <w:noProof/>
                <w:webHidden/>
              </w:rPr>
            </w:r>
            <w:r w:rsidR="00C47911">
              <w:rPr>
                <w:noProof/>
                <w:webHidden/>
              </w:rPr>
              <w:fldChar w:fldCharType="separate"/>
            </w:r>
            <w:r w:rsidR="00C47911">
              <w:rPr>
                <w:noProof/>
                <w:webHidden/>
              </w:rPr>
              <w:t>6</w:t>
            </w:r>
            <w:r w:rsidR="00C47911">
              <w:rPr>
                <w:noProof/>
                <w:webHidden/>
              </w:rPr>
              <w:fldChar w:fldCharType="end"/>
            </w:r>
          </w:hyperlink>
        </w:p>
        <w:p w14:paraId="53FE087C" w14:textId="6E3C3463"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2C5A0D" w:rsidRDefault="009622EB" w:rsidP="002C5A0D">
      <w:pPr>
        <w:keepNext/>
        <w:keepLines/>
        <w:spacing w:before="200" w:after="120"/>
        <w:jc w:val="both"/>
        <w:outlineLvl w:val="0"/>
        <w:rPr>
          <w:rFonts w:cs="Arial"/>
          <w:b/>
          <w:color w:val="000000"/>
          <w:szCs w:val="20"/>
          <w:u w:val="single"/>
          <w:lang w:val="sl-SI"/>
        </w:rPr>
      </w:pPr>
      <w:r>
        <w:rPr>
          <w:lang w:val="sl-SI" w:eastAsia="sl-SI"/>
        </w:rPr>
        <w:br w:type="page"/>
      </w:r>
      <w:bookmarkStart w:id="0" w:name="_Toc150755824"/>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6A457BCA" w:rsidR="00752BF4" w:rsidRPr="00455021" w:rsidRDefault="00455021" w:rsidP="00455021">
            <w:pPr>
              <w:rPr>
                <w:rFonts w:ascii="Calibri" w:hAnsi="Calibri"/>
                <w:szCs w:val="22"/>
                <w:lang w:val="sl-SI" w:eastAsia="sl-SI"/>
              </w:rPr>
            </w:pPr>
            <w:hyperlink r:id="rId9" w:history="1">
              <w:r>
                <w:rPr>
                  <w:rStyle w:val="Hiperpovezava"/>
                </w:rPr>
                <w:t>https://m</w:t>
              </w:r>
              <w:r>
                <w:rPr>
                  <w:rStyle w:val="Hiperpovezava"/>
                </w:rPr>
                <w:t>j</w:t>
              </w:r>
              <w:r>
                <w:rPr>
                  <w:rStyle w:val="Hiperpovezava"/>
                </w:rPr>
                <w:t>u.mojedrazbe.com/drazba/prodaja-garazaparkirno-mesto--ljubljana-okolica-ljubljana-5045</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29784229" w:rsidR="009622EB" w:rsidRPr="009622EB" w:rsidRDefault="004F6E74" w:rsidP="009622EB">
            <w:pPr>
              <w:spacing w:before="40" w:after="40"/>
              <w:jc w:val="both"/>
              <w:rPr>
                <w:rFonts w:cs="Arial"/>
                <w:szCs w:val="20"/>
                <w:lang w:val="sl-SI"/>
              </w:rPr>
            </w:pPr>
            <w:r>
              <w:rPr>
                <w:rFonts w:cs="Arial"/>
                <w:szCs w:val="20"/>
                <w:lang w:val="sl-SI"/>
              </w:rPr>
              <w:t>11</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50C2850E"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2C5A0D">
              <w:rPr>
                <w:rFonts w:cs="Arial"/>
                <w:szCs w:val="20"/>
                <w:lang w:val="sl-SI"/>
              </w:rPr>
              <w:t>8</w:t>
            </w:r>
            <w:r w:rsidRPr="009622EB">
              <w:rPr>
                <w:rFonts w:cs="Arial"/>
                <w:szCs w:val="20"/>
                <w:lang w:val="sl-SI"/>
              </w:rPr>
              <w:t>:00 uri</w:t>
            </w:r>
          </w:p>
        </w:tc>
      </w:tr>
    </w:tbl>
    <w:p w14:paraId="2F1B7EB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 w:name="_Toc150755825"/>
      <w:r w:rsidRPr="009622EB">
        <w:rPr>
          <w:rFonts w:cs="Arial"/>
          <w:b/>
          <w:color w:val="000000"/>
          <w:szCs w:val="20"/>
          <w:u w:val="single"/>
          <w:lang w:val="sl-SI"/>
        </w:rPr>
        <w:t>2. Način in čas izvedbe javne dražbe</w:t>
      </w:r>
      <w:bookmarkEnd w:id="1"/>
    </w:p>
    <w:p w14:paraId="4CD81DBF" w14:textId="77777777" w:rsidR="009622EB" w:rsidRPr="009622EB" w:rsidRDefault="009622EB" w:rsidP="009622EB">
      <w:pPr>
        <w:keepNext/>
        <w:keepLines/>
        <w:spacing w:before="200" w:after="120"/>
        <w:jc w:val="both"/>
        <w:outlineLvl w:val="0"/>
        <w:rPr>
          <w:rFonts w:cs="Arial"/>
          <w:b/>
          <w:color w:val="000000"/>
          <w:szCs w:val="20"/>
          <w:highlight w:val="yellow"/>
          <w:u w:val="single"/>
          <w:lang w:val="sl-SI"/>
        </w:rPr>
      </w:pPr>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55826"/>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6AA128B5"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1500</w:t>
            </w:r>
            <w:r w:rsidRPr="009622EB">
              <w:rPr>
                <w:rFonts w:cs="Arial"/>
                <w:szCs w:val="20"/>
                <w:lang w:val="sl-SI"/>
              </w:rPr>
              <w:t>-1</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66F73275" w:rsidR="002E6DC6" w:rsidRPr="009622EB" w:rsidRDefault="002C5A0D"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21CBEE4F" w:rsidR="00F14CEA" w:rsidRPr="009622EB" w:rsidRDefault="002C5A0D"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3B46D109" w:rsidR="00F14CEA" w:rsidRPr="009622EB" w:rsidRDefault="002C5A0D" w:rsidP="009622EB">
            <w:pPr>
              <w:spacing w:before="40" w:after="40"/>
              <w:jc w:val="both"/>
              <w:rPr>
                <w:rFonts w:cs="Arial"/>
                <w:szCs w:val="20"/>
              </w:rPr>
            </w:pPr>
            <w:proofErr w:type="spellStart"/>
            <w:r>
              <w:rPr>
                <w:rFonts w:cs="Arial"/>
                <w:szCs w:val="20"/>
              </w:rPr>
              <w:t>prazna</w:t>
            </w:r>
            <w:proofErr w:type="spellEnd"/>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78D22E1B"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2679-1500-1</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sedmih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2679-1500)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599AA8B3"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Stavbišče s sedmimi posamičnimi garažami</w:t>
      </w:r>
      <w:r w:rsidR="004D7E55">
        <w:rPr>
          <w:rFonts w:cs="Arial"/>
          <w:szCs w:val="20"/>
          <w:lang w:val="sl-SI"/>
        </w:rPr>
        <w:t xml:space="preserve"> je bil</w:t>
      </w:r>
      <w:r w:rsidR="00C47911">
        <w:rPr>
          <w:rFonts w:cs="Arial"/>
          <w:szCs w:val="20"/>
          <w:lang w:val="sl-SI"/>
        </w:rPr>
        <w:t>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in 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13B23187" w14:textId="77777777" w:rsidR="00B82328" w:rsidRPr="0014412F" w:rsidRDefault="00B82328" w:rsidP="0014412F">
      <w:pPr>
        <w:autoSpaceDE w:val="0"/>
        <w:autoSpaceDN w:val="0"/>
        <w:adjustRightInd w:val="0"/>
        <w:spacing w:line="240" w:lineRule="auto"/>
        <w:jc w:val="both"/>
        <w:rPr>
          <w:rFonts w:cs="Arial"/>
          <w:szCs w:val="20"/>
          <w:lang w:val="sl-SI"/>
        </w:rPr>
      </w:pPr>
    </w:p>
    <w:p w14:paraId="7002778F" w14:textId="3FE8540A" w:rsidR="0014412F"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V garaž</w:t>
      </w:r>
      <w:r w:rsidR="002C5A0D">
        <w:rPr>
          <w:rFonts w:cs="Arial"/>
          <w:szCs w:val="20"/>
          <w:lang w:val="sl-SI"/>
        </w:rPr>
        <w:t>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Pr="0014412F">
        <w:rPr>
          <w:rFonts w:cs="Arial"/>
          <w:szCs w:val="20"/>
          <w:lang w:val="sl-SI"/>
        </w:rPr>
        <w:t>Garaž</w:t>
      </w:r>
      <w:r w:rsidR="002C5A0D">
        <w:rPr>
          <w:rFonts w:cs="Arial"/>
          <w:szCs w:val="20"/>
          <w:lang w:val="sl-SI"/>
        </w:rPr>
        <w:t>a</w:t>
      </w:r>
      <w:r w:rsidRPr="0014412F">
        <w:rPr>
          <w:rFonts w:cs="Arial"/>
          <w:szCs w:val="20"/>
          <w:lang w:val="sl-SI"/>
        </w:rPr>
        <w:t xml:space="preserve"> </w:t>
      </w:r>
      <w:r w:rsidR="002C5A0D">
        <w:rPr>
          <w:rFonts w:cs="Arial"/>
          <w:szCs w:val="20"/>
          <w:lang w:val="sl-SI"/>
        </w:rPr>
        <w:t>je</w:t>
      </w:r>
      <w:r w:rsidRPr="0014412F">
        <w:rPr>
          <w:rFonts w:cs="Arial"/>
          <w:szCs w:val="20"/>
          <w:lang w:val="sl-SI"/>
        </w:rPr>
        <w:t xml:space="preserve"> zaradi letnika izgradnje primernejš</w:t>
      </w:r>
      <w:r w:rsidR="002C5A0D">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2C5A0D">
        <w:rPr>
          <w:rFonts w:cs="Arial"/>
          <w:szCs w:val="20"/>
          <w:lang w:val="sl-SI"/>
        </w:rPr>
        <w:t>je</w:t>
      </w:r>
      <w:r w:rsidR="00AC1BCF">
        <w:rPr>
          <w:rFonts w:cs="Arial"/>
          <w:szCs w:val="20"/>
          <w:lang w:val="sl-SI"/>
        </w:rPr>
        <w:t xml:space="preserve"> </w:t>
      </w:r>
      <w:r w:rsidR="002C5A0D">
        <w:rPr>
          <w:rFonts w:cs="Arial"/>
          <w:szCs w:val="20"/>
          <w:lang w:val="sl-SI"/>
        </w:rPr>
        <w:t>garaža</w:t>
      </w:r>
      <w:r w:rsidR="00C47911">
        <w:rPr>
          <w:rFonts w:cs="Arial"/>
          <w:szCs w:val="20"/>
          <w:lang w:val="sl-SI"/>
        </w:rPr>
        <w:t>,</w:t>
      </w:r>
      <w:r w:rsidR="00AC1BCF">
        <w:rPr>
          <w:rFonts w:cs="Arial"/>
          <w:szCs w:val="20"/>
          <w:lang w:val="sl-SI"/>
        </w:rPr>
        <w:t xml:space="preserve"> zaradi svoje velikosti</w:t>
      </w:r>
      <w:r w:rsidR="00C47911">
        <w:rPr>
          <w:rFonts w:cs="Arial"/>
          <w:szCs w:val="20"/>
          <w:lang w:val="sl-SI"/>
        </w:rPr>
        <w:t>,</w:t>
      </w:r>
      <w:r w:rsidR="00AC1BCF">
        <w:rPr>
          <w:rFonts w:cs="Arial"/>
          <w:szCs w:val="20"/>
          <w:lang w:val="sl-SI"/>
        </w:rPr>
        <w:t xml:space="preserve"> manj </w:t>
      </w:r>
      <w:r w:rsidR="002C5A0D">
        <w:rPr>
          <w:rFonts w:cs="Arial"/>
          <w:szCs w:val="20"/>
          <w:lang w:val="sl-SI"/>
        </w:rPr>
        <w:t>primerna</w:t>
      </w:r>
      <w:r w:rsidRPr="0014412F">
        <w:rPr>
          <w:rFonts w:cs="Arial"/>
          <w:szCs w:val="20"/>
          <w:lang w:val="sl-SI"/>
        </w:rPr>
        <w:t xml:space="preserve">. </w:t>
      </w:r>
    </w:p>
    <w:p w14:paraId="4C9D7D7C" w14:textId="5D54B762"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lastRenderedPageBreak/>
        <w:t xml:space="preserve">Garaža je </w:t>
      </w:r>
      <w:r w:rsidR="00AC1BCF">
        <w:rPr>
          <w:rFonts w:cs="Arial"/>
          <w:szCs w:val="20"/>
          <w:lang w:val="sl-SI"/>
        </w:rPr>
        <w:t>nezasedena</w:t>
      </w:r>
      <w:r>
        <w:rPr>
          <w:rFonts w:cs="Arial"/>
          <w:szCs w:val="20"/>
          <w:lang w:val="sl-SI"/>
        </w:rPr>
        <w:t xml:space="preserve"> in</w:t>
      </w:r>
      <w:r w:rsidR="00AC1BCF">
        <w:rPr>
          <w:rFonts w:cs="Arial"/>
          <w:szCs w:val="20"/>
          <w:lang w:val="sl-SI"/>
        </w:rPr>
        <w:t xml:space="preserve"> je</w:t>
      </w:r>
      <w:r>
        <w:rPr>
          <w:rFonts w:cs="Arial"/>
          <w:szCs w:val="20"/>
          <w:lang w:val="sl-SI"/>
        </w:rPr>
        <w:t xml:space="preserve"> prosta bremen. Garaža se prodaja v pravnem stanju kot je. </w:t>
      </w:r>
    </w:p>
    <w:p w14:paraId="1ADF6744" w14:textId="6BD429E0" w:rsidR="0052180F" w:rsidRPr="002C5A0D" w:rsidRDefault="009622EB" w:rsidP="002C5A0D">
      <w:pPr>
        <w:keepNext/>
        <w:keepLines/>
        <w:spacing w:before="200" w:after="120"/>
        <w:jc w:val="both"/>
        <w:outlineLvl w:val="0"/>
        <w:rPr>
          <w:rFonts w:cs="Arial"/>
          <w:b/>
          <w:color w:val="000000"/>
          <w:szCs w:val="20"/>
          <w:u w:val="single"/>
          <w:lang w:val="sl-SI"/>
        </w:rPr>
      </w:pPr>
      <w:bookmarkStart w:id="3" w:name="_Toc150755827"/>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55828"/>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7D26330D"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C47911">
              <w:rPr>
                <w:rFonts w:cs="Arial"/>
                <w:szCs w:val="20"/>
                <w:lang w:val="sl-SI"/>
              </w:rPr>
              <w:t>600</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6E85E57F"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B82328">
              <w:rPr>
                <w:rFonts w:cs="Arial"/>
                <w:szCs w:val="20"/>
                <w:lang w:val="sl-SI"/>
              </w:rPr>
              <w:t>4</w:t>
            </w:r>
            <w:r w:rsidRPr="00FC5CAF">
              <w:rPr>
                <w:rFonts w:cs="Arial"/>
                <w:szCs w:val="20"/>
                <w:lang w:val="sl-SI"/>
              </w:rPr>
              <w:t>. 1</w:t>
            </w:r>
            <w:r w:rsidR="00B82328">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55829"/>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55830"/>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55831"/>
      <w:r w:rsidRPr="009622EB">
        <w:rPr>
          <w:rFonts w:cs="Arial"/>
          <w:b/>
          <w:color w:val="000000"/>
          <w:szCs w:val="20"/>
          <w:u w:val="single"/>
          <w:lang w:val="sl-SI"/>
        </w:rPr>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lastRenderedPageBreak/>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55832"/>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B8232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auto"/>
          </w:tcPr>
          <w:p w14:paraId="53E79635" w14:textId="1B6434EB" w:rsidR="009622EB" w:rsidRPr="002C5A0D" w:rsidRDefault="00B82328" w:rsidP="009622EB">
            <w:pPr>
              <w:spacing w:before="40" w:after="40"/>
              <w:jc w:val="both"/>
              <w:rPr>
                <w:rFonts w:cs="Arial"/>
                <w:szCs w:val="20"/>
                <w:lang w:val="sl-SI"/>
              </w:rPr>
            </w:pPr>
            <w:r w:rsidRPr="002C5A0D">
              <w:rPr>
                <w:rFonts w:cs="Arial"/>
                <w:szCs w:val="20"/>
                <w:lang w:val="sl-SI"/>
              </w:rPr>
              <w:t>5</w:t>
            </w:r>
            <w:r w:rsidR="009622EB" w:rsidRPr="002C5A0D">
              <w:rPr>
                <w:rFonts w:cs="Arial"/>
                <w:szCs w:val="20"/>
                <w:lang w:val="sl-SI"/>
              </w:rPr>
              <w:t xml:space="preserve">. </w:t>
            </w:r>
            <w:r w:rsidR="00B06F1C" w:rsidRPr="002C5A0D">
              <w:rPr>
                <w:rFonts w:cs="Arial"/>
                <w:szCs w:val="20"/>
                <w:lang w:val="sl-SI"/>
              </w:rPr>
              <w:t>1</w:t>
            </w:r>
            <w:r w:rsidRPr="002C5A0D">
              <w:rPr>
                <w:rFonts w:cs="Arial"/>
                <w:szCs w:val="20"/>
                <w:lang w:val="sl-SI"/>
              </w:rPr>
              <w:t>2</w:t>
            </w:r>
            <w:r w:rsidR="009622EB" w:rsidRPr="002C5A0D">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0ACB8411" w:rsidR="009622EB" w:rsidRPr="004F6E74" w:rsidRDefault="004F6E74" w:rsidP="004F6E74">
            <w:pPr>
              <w:rPr>
                <w:rFonts w:ascii="Calibri" w:hAnsi="Calibri"/>
                <w:szCs w:val="22"/>
                <w:lang w:val="sl-SI" w:eastAsia="sl-SI"/>
              </w:rPr>
            </w:pPr>
            <w:hyperlink r:id="rId10" w:history="1">
              <w:r>
                <w:rPr>
                  <w:rStyle w:val="Hiperpovezava"/>
                </w:rPr>
                <w:t>https://mju.mojedrazbe.com/drazba/prodaja-garazaparkirno-mesto--ljubljana-okolica-ljubljana-5045</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3A8C0E74" w:rsidR="009622EB" w:rsidRDefault="009622EB" w:rsidP="009622EB">
      <w:pPr>
        <w:spacing w:before="120" w:after="120"/>
        <w:jc w:val="both"/>
        <w:rPr>
          <w:rFonts w:cs="Arial"/>
          <w:szCs w:val="20"/>
          <w:lang w:val="sl-SI"/>
        </w:rPr>
      </w:pPr>
      <w:r w:rsidRPr="009622EB">
        <w:rPr>
          <w:rFonts w:cs="Arial"/>
          <w:szCs w:val="20"/>
          <w:lang w:val="sl-SI"/>
        </w:rPr>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2A13544E" w14:textId="77777777" w:rsidR="004F6E74" w:rsidRPr="009622EB" w:rsidRDefault="004F6E74" w:rsidP="009622EB">
      <w:pPr>
        <w:spacing w:before="120" w:after="120"/>
        <w:jc w:val="both"/>
        <w:rPr>
          <w:rFonts w:cs="Arial"/>
          <w:szCs w:val="20"/>
          <w:lang w:val="sl-SI"/>
        </w:rPr>
      </w:pP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lastRenderedPageBreak/>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55833"/>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5F5CE369" w14:textId="72ADB4FF" w:rsidR="009622EB" w:rsidRPr="009622EB"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98D202B" w14:textId="77777777" w:rsidR="009622EB" w:rsidRPr="009622EB" w:rsidRDefault="009622EB" w:rsidP="009622EB">
      <w:pPr>
        <w:spacing w:line="276" w:lineRule="auto"/>
        <w:jc w:val="both"/>
        <w:rPr>
          <w:rFonts w:cs="Arial"/>
          <w:szCs w:val="20"/>
          <w:lang w:val="sl-SI"/>
        </w:rPr>
      </w:pP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55834"/>
      <w:bookmarkEnd w:id="12"/>
      <w:r w:rsidRPr="009622EB">
        <w:rPr>
          <w:rFonts w:cs="Arial"/>
          <w:b/>
          <w:color w:val="000000"/>
          <w:szCs w:val="20"/>
          <w:u w:val="single"/>
          <w:lang w:val="sl-SI"/>
        </w:rPr>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lastRenderedPageBreak/>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7CE70111"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33B70">
        <w:rPr>
          <w:rFonts w:cs="Arial"/>
          <w:color w:val="000000"/>
          <w:szCs w:val="20"/>
          <w:lang w:val="sl-SI"/>
        </w:rPr>
        <w:t>9</w:t>
      </w:r>
      <w:r w:rsidRPr="009622EB">
        <w:rPr>
          <w:rFonts w:cs="Arial"/>
          <w:color w:val="000000"/>
          <w:szCs w:val="20"/>
          <w:lang w:val="sl-SI"/>
        </w:rPr>
        <w:t xml:space="preserve">.00 in </w:t>
      </w:r>
      <w:r w:rsidR="00133B70">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B82328">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1D6B300A" w14:textId="77777777" w:rsidR="002C5A0D" w:rsidRDefault="009622EB" w:rsidP="009622EB">
      <w:pPr>
        <w:spacing w:before="120" w:after="120"/>
        <w:jc w:val="both"/>
        <w:rPr>
          <w:rFonts w:cs="Arial"/>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r w:rsidR="002C5A0D" w:rsidRPr="002C5A0D">
        <w:rPr>
          <w:rFonts w:cs="Arial"/>
          <w:szCs w:val="20"/>
          <w:lang w:val="sl-SI"/>
        </w:rPr>
        <w:t xml:space="preserve">Informacije v zvezi z ogledom garaže je mogoče dobiti pri kontaktni osebi: </w:t>
      </w:r>
      <w:r w:rsidR="002C5A0D" w:rsidRPr="002C5A0D">
        <w:rPr>
          <w:rFonts w:cs="Arial"/>
          <w:b/>
          <w:bCs/>
          <w:szCs w:val="20"/>
          <w:lang w:val="sl-SI"/>
        </w:rPr>
        <w:t>Nina Markovič, telefonska številka 01 478 78 88, e-pošta:</w:t>
      </w:r>
      <w:r w:rsidR="002C5A0D" w:rsidRPr="002C5A0D">
        <w:rPr>
          <w:rFonts w:cs="Arial"/>
          <w:szCs w:val="20"/>
          <w:lang w:val="sl-SI"/>
        </w:rPr>
        <w:t xml:space="preserve"> </w:t>
      </w:r>
      <w:r w:rsidR="002C5A0D" w:rsidRPr="002C5A0D">
        <w:rPr>
          <w:rStyle w:val="Hiperpovezava"/>
          <w:b/>
          <w:bCs/>
        </w:rPr>
        <w:t>nina.markovic@gov.si</w:t>
      </w:r>
      <w:r w:rsidR="002C5A0D" w:rsidRPr="002C5A0D">
        <w:rPr>
          <w:rFonts w:cs="Arial"/>
          <w:szCs w:val="20"/>
          <w:lang w:val="sl-SI"/>
        </w:rPr>
        <w:t xml:space="preserve">. </w:t>
      </w:r>
    </w:p>
    <w:p w14:paraId="4711AFDE" w14:textId="545D6151" w:rsidR="009622EB" w:rsidRPr="009622EB" w:rsidRDefault="009622EB" w:rsidP="009622EB">
      <w:pPr>
        <w:spacing w:before="120" w:after="120"/>
        <w:jc w:val="both"/>
        <w:rPr>
          <w:rFonts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na:</w:t>
      </w:r>
    </w:p>
    <w:p w14:paraId="0C94ABCC" w14:textId="77777777" w:rsidR="009622EB" w:rsidRPr="009622EB" w:rsidRDefault="009622EB" w:rsidP="009622EB">
      <w:pPr>
        <w:numPr>
          <w:ilvl w:val="0"/>
          <w:numId w:val="14"/>
        </w:numPr>
        <w:suppressAutoHyphens/>
        <w:autoSpaceDN w:val="0"/>
        <w:spacing w:before="120" w:after="160" w:line="242" w:lineRule="auto"/>
        <w:jc w:val="both"/>
        <w:textAlignment w:val="baseline"/>
        <w:rPr>
          <w:rFonts w:eastAsia="Calibri" w:cs="Arial"/>
          <w:szCs w:val="20"/>
          <w:lang w:val="sl-SI"/>
        </w:rPr>
      </w:pPr>
      <w:r w:rsidRPr="009622EB">
        <w:rPr>
          <w:rFonts w:eastAsia="Calibri" w:cs="Arial"/>
          <w:szCs w:val="20"/>
          <w:lang w:val="sl-SI"/>
        </w:rPr>
        <w:t xml:space="preserve">kontaktno osebo: </w:t>
      </w:r>
      <w:r w:rsidRPr="009622EB">
        <w:rPr>
          <w:rFonts w:eastAsia="Calibri" w:cs="Arial"/>
          <w:b/>
          <w:bCs/>
          <w:szCs w:val="20"/>
          <w:lang w:val="sl-SI"/>
        </w:rPr>
        <w:t xml:space="preserve">Petra Kralj, telefonska številka: 01 478 84 91, e-pošta: </w:t>
      </w:r>
      <w:hyperlink r:id="rId13" w:history="1">
        <w:r w:rsidRPr="00B82328">
          <w:rPr>
            <w:rStyle w:val="Hiperpovezava"/>
            <w:b/>
            <w:bCs/>
          </w:rPr>
          <w:t>petra.kralj@gov.si</w:t>
        </w:r>
      </w:hyperlink>
      <w:r w:rsidRPr="009622EB">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6" w:name="_Hlk138675757"/>
      <w:r w:rsidRPr="009622EB">
        <w:rPr>
          <w:rFonts w:cs="Arial"/>
          <w:b/>
          <w:szCs w:val="20"/>
          <w:u w:val="single"/>
          <w:lang w:val="sl-SI"/>
        </w:rPr>
        <w:t>Opozorilo</w:t>
      </w:r>
      <w:bookmarkEnd w:id="16"/>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7" w:name="_Toc150755835"/>
      <w:r w:rsidRPr="009622EB">
        <w:rPr>
          <w:rFonts w:cs="Arial"/>
          <w:b/>
          <w:color w:val="000000"/>
          <w:szCs w:val="20"/>
          <w:u w:val="single"/>
          <w:lang w:val="sl-SI"/>
        </w:rPr>
        <w:t>14. Obvestilo posameznikom po 13. členu Splošne uredbe o varstvu podatkov (GDPR)</w:t>
      </w:r>
      <w:bookmarkEnd w:id="17"/>
    </w:p>
    <w:p w14:paraId="678290B4" w14:textId="77777777" w:rsidR="009622EB" w:rsidRPr="009622EB" w:rsidRDefault="009622EB" w:rsidP="009622EB">
      <w:pPr>
        <w:spacing w:before="120" w:after="120" w:line="276" w:lineRule="auto"/>
        <w:rPr>
          <w:rFonts w:cs="Arial"/>
          <w:szCs w:val="20"/>
          <w:lang w:val="sl-SI"/>
        </w:rPr>
      </w:pPr>
      <w:bookmarkStart w:id="18"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4" w:history="1">
        <w:r w:rsidRPr="009622EB">
          <w:rPr>
            <w:rFonts w:cs="Arial"/>
            <w:szCs w:val="20"/>
            <w:lang w:val="sl-SI"/>
          </w:rPr>
          <w:t>https://www.gov.si/assets/ministrstva/MJU/DSP/Sistemsko-urejanje/OBVESTILO_ravnanje_s_stvarnim_premozenjem-1.pdf</w:t>
        </w:r>
        <w:bookmarkEnd w:id="18"/>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0633" w14:textId="77777777" w:rsidR="00263C14" w:rsidRDefault="00263C14">
      <w:r>
        <w:separator/>
      </w:r>
    </w:p>
  </w:endnote>
  <w:endnote w:type="continuationSeparator" w:id="0">
    <w:p w14:paraId="27C9BF09" w14:textId="77777777" w:rsidR="00263C14" w:rsidRDefault="0026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EED2" w14:textId="77777777" w:rsidR="00263C14" w:rsidRDefault="00263C14">
      <w:r>
        <w:separator/>
      </w:r>
    </w:p>
  </w:footnote>
  <w:footnote w:type="continuationSeparator" w:id="0">
    <w:p w14:paraId="7A3F03F8" w14:textId="77777777" w:rsidR="00263C14" w:rsidRDefault="00263C14">
      <w:r>
        <w:continuationSeparator/>
      </w:r>
    </w:p>
  </w:footnote>
  <w:footnote w:id="1">
    <w:p w14:paraId="7A94879D" w14:textId="63E0C5A8"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B82328">
        <w:rPr>
          <w:rFonts w:cs="Arial"/>
          <w:sz w:val="16"/>
          <w:szCs w:val="16"/>
          <w:lang w:val="sl-SI" w:eastAsia="sl-SI"/>
        </w:rPr>
        <w:t>4</w:t>
      </w:r>
      <w:r w:rsidRPr="00FC5CAF">
        <w:rPr>
          <w:rFonts w:cs="Arial"/>
          <w:sz w:val="16"/>
          <w:szCs w:val="16"/>
          <w:lang w:val="sl-SI" w:eastAsia="sl-SI"/>
        </w:rPr>
        <w:t>. 1</w:t>
      </w:r>
      <w:r w:rsidR="00B82328">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w:t>
      </w:r>
      <w:r w:rsidRPr="00DF41A6">
        <w:rPr>
          <w:rFonts w:cs="Arial"/>
          <w:sz w:val="16"/>
          <w:szCs w:val="16"/>
          <w:lang w:val="sl-SI"/>
        </w:rPr>
        <w:t xml:space="preserve">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4FF84C65" w:rsidR="006416FD" w:rsidRPr="004A5D45" w:rsidRDefault="006416FD" w:rsidP="00B82328">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4"/>
  </w:num>
  <w:num w:numId="3" w16cid:durableId="1690331662">
    <w:abstractNumId w:val="10"/>
  </w:num>
  <w:num w:numId="4" w16cid:durableId="2121752641">
    <w:abstractNumId w:val="11"/>
  </w:num>
  <w:num w:numId="5" w16cid:durableId="1404178536">
    <w:abstractNumId w:val="7"/>
  </w:num>
  <w:num w:numId="6" w16cid:durableId="1475105795">
    <w:abstractNumId w:val="1"/>
  </w:num>
  <w:num w:numId="7" w16cid:durableId="959147526">
    <w:abstractNumId w:val="3"/>
  </w:num>
  <w:num w:numId="8" w16cid:durableId="198979234">
    <w:abstractNumId w:val="2"/>
  </w:num>
  <w:num w:numId="9" w16cid:durableId="853350200">
    <w:abstractNumId w:val="9"/>
  </w:num>
  <w:num w:numId="10" w16cid:durableId="509488627">
    <w:abstractNumId w:val="6"/>
  </w:num>
  <w:num w:numId="11" w16cid:durableId="507670637">
    <w:abstractNumId w:val="5"/>
  </w:num>
  <w:num w:numId="12" w16cid:durableId="1547793336">
    <w:abstractNumId w:val="12"/>
  </w:num>
  <w:num w:numId="13" w16cid:durableId="398207549">
    <w:abstractNumId w:val="8"/>
  </w:num>
  <w:num w:numId="14" w16cid:durableId="81260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A2B"/>
    <w:rsid w:val="000219EC"/>
    <w:rsid w:val="00021A2E"/>
    <w:rsid w:val="00021F76"/>
    <w:rsid w:val="000225EF"/>
    <w:rsid w:val="000240D0"/>
    <w:rsid w:val="00024E15"/>
    <w:rsid w:val="0003007C"/>
    <w:rsid w:val="000349E8"/>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3B70"/>
    <w:rsid w:val="0013540C"/>
    <w:rsid w:val="001363B3"/>
    <w:rsid w:val="00136939"/>
    <w:rsid w:val="00137653"/>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3C14"/>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5A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5021"/>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4F6E74"/>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604"/>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32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47911"/>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646C"/>
    <w:rsid w:val="00DF738F"/>
    <w:rsid w:val="00DF7F1E"/>
    <w:rsid w:val="00E006D4"/>
    <w:rsid w:val="00E01872"/>
    <w:rsid w:val="00E052A4"/>
    <w:rsid w:val="00E05C3C"/>
    <w:rsid w:val="00E07DDA"/>
    <w:rsid w:val="00E10022"/>
    <w:rsid w:val="00E1086F"/>
    <w:rsid w:val="00E10C63"/>
    <w:rsid w:val="00E12B70"/>
    <w:rsid w:val="00E1400C"/>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455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882865021">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199777720">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petra.kralj@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ju.mojedrazbe.com/drazba/prodaja-garazaparkirno-mesto--ljubljana-okolica-ljubljana-50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5" TargetMode="External"/><Relationship Id="rId14" Type="http://schemas.openxmlformats.org/officeDocument/2006/relationships/hyperlink" Target="https://www.gov.si/assets/ministrstva/MJU/DSP/Sistemsko-urejanje/OBVESTILO_ravnanje_s_stvarnim_premozenjem-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2090</Words>
  <Characters>13748</Characters>
  <Application>Microsoft Office Word</Application>
  <DocSecurity>0</DocSecurity>
  <Lines>114</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4</cp:revision>
  <cp:lastPrinted>2023-11-07T13:17:00Z</cp:lastPrinted>
  <dcterms:created xsi:type="dcterms:W3CDTF">2023-11-13T07:19:00Z</dcterms:created>
  <dcterms:modified xsi:type="dcterms:W3CDTF">2023-11-16T14:55:00Z</dcterms:modified>
</cp:coreProperties>
</file>