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7D3DC5FB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1C2D59" w:rsidRPr="001C2D59">
        <w:rPr>
          <w:rFonts w:cs="Arial"/>
          <w:sz w:val="20"/>
        </w:rPr>
        <w:t>4782-91/2020/</w:t>
      </w:r>
      <w:r w:rsidR="00166DDA">
        <w:rPr>
          <w:rFonts w:cs="Arial"/>
          <w:sz w:val="20"/>
        </w:rPr>
        <w:t>17</w:t>
      </w:r>
    </w:p>
    <w:p w14:paraId="375A3E5F" w14:textId="0AF7425D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EF06A8">
        <w:rPr>
          <w:rFonts w:cs="Arial"/>
          <w:sz w:val="20"/>
        </w:rPr>
        <w:t>5</w:t>
      </w:r>
      <w:r w:rsidR="00BB383E">
        <w:rPr>
          <w:rFonts w:cs="Arial"/>
          <w:sz w:val="20"/>
        </w:rPr>
        <w:t>. 1. 202</w:t>
      </w:r>
      <w:r w:rsidR="001C2D59">
        <w:rPr>
          <w:rFonts w:cs="Arial"/>
          <w:sz w:val="20"/>
        </w:rPr>
        <w:t>3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1FAE8D0C" w:rsidR="005E6748" w:rsidRPr="004F5EA4" w:rsidRDefault="005E6748" w:rsidP="001C2D5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bookmarkStart w:id="0" w:name="_Hlk123727423"/>
      <w:r w:rsidR="001C2D59" w:rsidRPr="001C2D59">
        <w:rPr>
          <w:rFonts w:cs="Arial"/>
          <w:b/>
          <w:sz w:val="20"/>
        </w:rPr>
        <w:t>POSLOVN</w:t>
      </w:r>
      <w:r w:rsidR="001C2D59">
        <w:rPr>
          <w:rFonts w:cs="Arial"/>
          <w:b/>
          <w:sz w:val="20"/>
        </w:rPr>
        <w:t xml:space="preserve">EGA </w:t>
      </w:r>
      <w:r w:rsidR="001C2D59" w:rsidRPr="001C2D59">
        <w:rPr>
          <w:rFonts w:cs="Arial"/>
          <w:b/>
          <w:sz w:val="20"/>
        </w:rPr>
        <w:t>PROSTOR</w:t>
      </w:r>
      <w:r w:rsidR="001C2D59">
        <w:rPr>
          <w:rFonts w:cs="Arial"/>
          <w:b/>
          <w:sz w:val="20"/>
        </w:rPr>
        <w:t>A</w:t>
      </w:r>
      <w:r w:rsidR="001C2D59" w:rsidRPr="001C2D59">
        <w:rPr>
          <w:rFonts w:cs="Arial"/>
          <w:b/>
          <w:sz w:val="20"/>
        </w:rPr>
        <w:t xml:space="preserve"> V POSLOVNI STAVBI NA NASLOVU CESTA ŽELEZARJEV 6</w:t>
      </w:r>
      <w:r w:rsidR="001C2D59">
        <w:rPr>
          <w:rFonts w:cs="Arial"/>
          <w:b/>
          <w:sz w:val="20"/>
        </w:rPr>
        <w:t>A</w:t>
      </w:r>
      <w:r w:rsidR="001C2D59" w:rsidRPr="001C2D59">
        <w:rPr>
          <w:rFonts w:cs="Arial"/>
          <w:b/>
          <w:sz w:val="20"/>
        </w:rPr>
        <w:t>, JESENICE</w:t>
      </w:r>
      <w:r w:rsidR="001C2D59">
        <w:rPr>
          <w:rFonts w:cs="Arial"/>
          <w:b/>
          <w:sz w:val="20"/>
        </w:rPr>
        <w:t xml:space="preserve"> </w:t>
      </w:r>
      <w:r w:rsidR="001C2D59" w:rsidRPr="00271B09">
        <w:rPr>
          <w:rFonts w:cs="Arial"/>
          <w:b/>
          <w:sz w:val="20"/>
        </w:rPr>
        <w:t xml:space="preserve">V NAJEM </w:t>
      </w:r>
    </w:p>
    <w:bookmarkEnd w:id="0"/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A99467D" w14:textId="4F6B9147" w:rsidR="001C2D59" w:rsidRPr="001C2D59" w:rsidRDefault="001C2D59" w:rsidP="001C2D59">
      <w:pPr>
        <w:jc w:val="both"/>
        <w:rPr>
          <w:rFonts w:cs="Arial"/>
          <w:sz w:val="20"/>
        </w:rPr>
      </w:pPr>
      <w:r w:rsidRPr="001C2D59">
        <w:rPr>
          <w:rFonts w:cs="Arial"/>
          <w:sz w:val="20"/>
        </w:rPr>
        <w:t xml:space="preserve">Predmet oddaje v najem </w:t>
      </w:r>
      <w:r>
        <w:rPr>
          <w:rFonts w:cs="Arial"/>
          <w:sz w:val="20"/>
        </w:rPr>
        <w:t>je</w:t>
      </w:r>
      <w:r w:rsidRPr="001C2D59">
        <w:rPr>
          <w:rFonts w:cs="Arial"/>
          <w:sz w:val="20"/>
        </w:rPr>
        <w:t xml:space="preserve"> neopremljen poslovn</w:t>
      </w:r>
      <w:r>
        <w:rPr>
          <w:rFonts w:cs="Arial"/>
          <w:sz w:val="20"/>
        </w:rPr>
        <w:t>i</w:t>
      </w:r>
      <w:r w:rsidRPr="001C2D59">
        <w:rPr>
          <w:rFonts w:cs="Arial"/>
          <w:sz w:val="20"/>
        </w:rPr>
        <w:t xml:space="preserve"> prostor v poslovni stavbi na naslovu Cesta železarjev 6</w:t>
      </w:r>
      <w:r w:rsidR="00000AFD">
        <w:rPr>
          <w:rFonts w:cs="Arial"/>
          <w:sz w:val="20"/>
        </w:rPr>
        <w:t>a</w:t>
      </w:r>
      <w:r w:rsidRPr="001C2D59">
        <w:rPr>
          <w:rFonts w:cs="Arial"/>
          <w:sz w:val="20"/>
        </w:rPr>
        <w:t>, Jesenice (Upravni center Jesenice), ki v naravi predstavlja poslovn</w:t>
      </w:r>
      <w:r>
        <w:rPr>
          <w:rFonts w:cs="Arial"/>
          <w:sz w:val="20"/>
        </w:rPr>
        <w:t>i</w:t>
      </w:r>
      <w:r w:rsidRPr="001C2D59">
        <w:rPr>
          <w:rFonts w:cs="Arial"/>
          <w:sz w:val="20"/>
        </w:rPr>
        <w:t xml:space="preserve"> prostor</w:t>
      </w:r>
      <w:r>
        <w:rPr>
          <w:rFonts w:cs="Arial"/>
          <w:sz w:val="20"/>
        </w:rPr>
        <w:t xml:space="preserve"> označen s P.DU. 10</w:t>
      </w:r>
      <w:r w:rsidRPr="001C2D59">
        <w:rPr>
          <w:rFonts w:cs="Arial"/>
          <w:sz w:val="20"/>
        </w:rPr>
        <w:t xml:space="preserve"> v pritličju navedene stavbe, v izmeri </w:t>
      </w:r>
      <w:r>
        <w:rPr>
          <w:rFonts w:cs="Arial"/>
          <w:sz w:val="20"/>
        </w:rPr>
        <w:t>13,09</w:t>
      </w:r>
      <w:r w:rsidRPr="001C2D59">
        <w:rPr>
          <w:rFonts w:cs="Arial"/>
          <w:sz w:val="20"/>
        </w:rPr>
        <w:t xml:space="preserve"> m</w:t>
      </w:r>
      <w:r w:rsidRPr="001C2D59">
        <w:rPr>
          <w:rFonts w:cs="Arial"/>
          <w:sz w:val="20"/>
          <w:vertAlign w:val="superscript"/>
        </w:rPr>
        <w:t>2</w:t>
      </w:r>
      <w:r w:rsidRPr="001C2D59">
        <w:rPr>
          <w:rFonts w:cs="Arial"/>
          <w:sz w:val="20"/>
        </w:rPr>
        <w:t>.</w:t>
      </w:r>
    </w:p>
    <w:p w14:paraId="453215FB" w14:textId="77777777" w:rsidR="001C2D59" w:rsidRPr="001C2D59" w:rsidRDefault="001C2D59" w:rsidP="001C2D59">
      <w:pPr>
        <w:jc w:val="both"/>
        <w:rPr>
          <w:rFonts w:cs="Arial"/>
          <w:sz w:val="20"/>
        </w:rPr>
      </w:pPr>
    </w:p>
    <w:p w14:paraId="2D821F98" w14:textId="572869AD" w:rsidR="001C2D59" w:rsidRPr="001C2D59" w:rsidRDefault="001C2D59" w:rsidP="001C2D59">
      <w:pPr>
        <w:jc w:val="both"/>
        <w:rPr>
          <w:rFonts w:cs="Arial"/>
          <w:sz w:val="20"/>
        </w:rPr>
      </w:pPr>
      <w:r w:rsidRPr="001C2D59">
        <w:rPr>
          <w:rFonts w:cs="Arial"/>
          <w:sz w:val="20"/>
        </w:rPr>
        <w:t xml:space="preserve">Prostor </w:t>
      </w:r>
      <w:r w:rsidR="00166DDA">
        <w:rPr>
          <w:rFonts w:cs="Arial"/>
          <w:sz w:val="20"/>
        </w:rPr>
        <w:t>je</w:t>
      </w:r>
      <w:r w:rsidRPr="001C2D59">
        <w:rPr>
          <w:rFonts w:cs="Arial"/>
          <w:sz w:val="20"/>
        </w:rPr>
        <w:t xml:space="preserve"> prime</w:t>
      </w:r>
      <w:r w:rsidR="00FB1245">
        <w:rPr>
          <w:rFonts w:cs="Arial"/>
          <w:sz w:val="20"/>
        </w:rPr>
        <w:t>r</w:t>
      </w:r>
      <w:r w:rsidR="00166DDA">
        <w:rPr>
          <w:rFonts w:cs="Arial"/>
          <w:sz w:val="20"/>
        </w:rPr>
        <w:t>en</w:t>
      </w:r>
      <w:r w:rsidRPr="001C2D59">
        <w:rPr>
          <w:rFonts w:cs="Arial"/>
          <w:sz w:val="20"/>
        </w:rPr>
        <w:t xml:space="preserve"> za izvajanje dejavnosti javnih služb.</w:t>
      </w:r>
    </w:p>
    <w:p w14:paraId="7402C2C9" w14:textId="77777777" w:rsidR="001C2D59" w:rsidRPr="001C2D59" w:rsidRDefault="001C2D59" w:rsidP="001C2D59">
      <w:pPr>
        <w:jc w:val="both"/>
        <w:rPr>
          <w:rFonts w:cs="Arial"/>
          <w:sz w:val="20"/>
        </w:rPr>
      </w:pPr>
    </w:p>
    <w:p w14:paraId="28F79E8B" w14:textId="36AA82FC" w:rsidR="001C2D59" w:rsidRPr="001C2D59" w:rsidRDefault="001C2D59" w:rsidP="001C2D59">
      <w:pPr>
        <w:jc w:val="both"/>
        <w:rPr>
          <w:rFonts w:cs="Arial"/>
          <w:sz w:val="20"/>
        </w:rPr>
      </w:pPr>
      <w:r w:rsidRPr="001C2D59">
        <w:rPr>
          <w:rFonts w:cs="Arial"/>
          <w:sz w:val="20"/>
        </w:rPr>
        <w:t>Najemnik je dolžan poleg najemnine redno plačevati obratovalne stroške, stroške rednega vzdrževanja, stroške nadomestila za uporabo stavbnega zemljišča in morebitne druge stroške, ki bremenijo najemnika poslovn</w:t>
      </w:r>
      <w:r>
        <w:rPr>
          <w:rFonts w:cs="Arial"/>
          <w:sz w:val="20"/>
        </w:rPr>
        <w:t>ega</w:t>
      </w:r>
      <w:r w:rsidRPr="001C2D59">
        <w:rPr>
          <w:rFonts w:cs="Arial"/>
          <w:sz w:val="20"/>
        </w:rPr>
        <w:t xml:space="preserve"> prostor</w:t>
      </w:r>
      <w:r>
        <w:rPr>
          <w:rFonts w:cs="Arial"/>
          <w:sz w:val="20"/>
        </w:rPr>
        <w:t>a</w:t>
      </w:r>
      <w:r w:rsidRPr="001C2D59">
        <w:rPr>
          <w:rFonts w:cs="Arial"/>
          <w:sz w:val="20"/>
        </w:rPr>
        <w:t xml:space="preserve">. Izračun nekaterih stroškov pripravi Upravna enota Jesenice, drugih stroškov pa Ministrstvo za javno upravo na podlagi prejetih računov, razen v primerih, kjer to ni možno. V slednjih primerih pa v deležu, ki ga predstavlja najeti poslovni prostor glede na površino celotne stavbe. </w:t>
      </w:r>
    </w:p>
    <w:p w14:paraId="3E8A0859" w14:textId="77777777" w:rsidR="001C2D59" w:rsidRPr="001C2D59" w:rsidRDefault="001C2D59" w:rsidP="001C2D59">
      <w:pPr>
        <w:jc w:val="both"/>
        <w:rPr>
          <w:rFonts w:cs="Arial"/>
          <w:sz w:val="20"/>
        </w:rPr>
      </w:pPr>
    </w:p>
    <w:p w14:paraId="35CEAA0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F5FBD00" w14:textId="77777777" w:rsidR="001C2D59" w:rsidRPr="001C2D59" w:rsidRDefault="001C2D59" w:rsidP="001C2D59">
      <w:pPr>
        <w:jc w:val="both"/>
        <w:rPr>
          <w:rFonts w:cs="Arial"/>
          <w:sz w:val="20"/>
        </w:rPr>
      </w:pPr>
      <w:r w:rsidRPr="001C2D59">
        <w:rPr>
          <w:rFonts w:cs="Arial"/>
          <w:sz w:val="20"/>
        </w:rPr>
        <w:t>Ponujena cena za najem predmeta oddaje ne sme biti nižja od 4,00 EUR/m</w:t>
      </w:r>
      <w:r w:rsidRPr="00000AFD">
        <w:rPr>
          <w:rFonts w:cs="Arial"/>
          <w:sz w:val="20"/>
          <w:vertAlign w:val="superscript"/>
        </w:rPr>
        <w:t>2</w:t>
      </w:r>
      <w:r w:rsidRPr="001C2D59">
        <w:rPr>
          <w:rFonts w:cs="Arial"/>
          <w:sz w:val="20"/>
        </w:rPr>
        <w:t xml:space="preserve">. </w:t>
      </w: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06181B2" w:rsidR="005E6748" w:rsidRDefault="005E6748" w:rsidP="005E6748">
      <w:pPr>
        <w:jc w:val="both"/>
        <w:rPr>
          <w:rFonts w:cs="Arial"/>
          <w:sz w:val="20"/>
        </w:rPr>
      </w:pPr>
    </w:p>
    <w:p w14:paraId="63334F95" w14:textId="22EED477" w:rsidR="001C2D59" w:rsidRPr="001C2D59" w:rsidRDefault="001C2D59" w:rsidP="001C2D59">
      <w:pPr>
        <w:jc w:val="both"/>
        <w:rPr>
          <w:rFonts w:cs="Arial"/>
          <w:sz w:val="20"/>
        </w:rPr>
      </w:pPr>
      <w:r w:rsidRPr="001C2D59">
        <w:rPr>
          <w:rFonts w:cs="Arial"/>
          <w:sz w:val="20"/>
        </w:rPr>
        <w:t xml:space="preserve">V skladu z določili Zakona o davku na dodano vrednost (Uradni list RS, št. 13/11 – uradno prečiščeno besedilo, 18/11, 78/11, 38/12, 83/12, 86/14, 90/15, 77/18, 59/19, 72/19, 196/21 – </w:t>
      </w:r>
      <w:proofErr w:type="spellStart"/>
      <w:r w:rsidRPr="001C2D59">
        <w:rPr>
          <w:rFonts w:cs="Arial"/>
          <w:sz w:val="20"/>
        </w:rPr>
        <w:t>ZDOsk</w:t>
      </w:r>
      <w:proofErr w:type="spellEnd"/>
      <w:r w:rsidRPr="001C2D59">
        <w:rPr>
          <w:rFonts w:cs="Arial"/>
          <w:sz w:val="20"/>
        </w:rPr>
        <w:t>, 3/22 in 29/22 – ZUOPDCE) se za najem poslovn</w:t>
      </w:r>
      <w:r>
        <w:rPr>
          <w:rFonts w:cs="Arial"/>
          <w:sz w:val="20"/>
        </w:rPr>
        <w:t>ega</w:t>
      </w:r>
      <w:r w:rsidRPr="001C2D59">
        <w:rPr>
          <w:rFonts w:cs="Arial"/>
          <w:sz w:val="20"/>
        </w:rPr>
        <w:t xml:space="preserve"> prostor</w:t>
      </w:r>
      <w:r>
        <w:rPr>
          <w:rFonts w:cs="Arial"/>
          <w:sz w:val="20"/>
        </w:rPr>
        <w:t>a</w:t>
      </w:r>
      <w:r w:rsidRPr="001C2D59">
        <w:rPr>
          <w:rFonts w:cs="Arial"/>
          <w:sz w:val="20"/>
        </w:rPr>
        <w:t xml:space="preserve"> ne obračunava DDV, zato v zgornji ceni ni upoštevan.</w:t>
      </w:r>
    </w:p>
    <w:p w14:paraId="67B96FF0" w14:textId="77A8EC23" w:rsidR="001C2D59" w:rsidRDefault="001C2D59" w:rsidP="005E6748">
      <w:pPr>
        <w:jc w:val="both"/>
        <w:rPr>
          <w:rFonts w:cs="Arial"/>
          <w:sz w:val="20"/>
        </w:rPr>
      </w:pPr>
    </w:p>
    <w:p w14:paraId="2677EE1B" w14:textId="77777777" w:rsidR="00166DDA" w:rsidRPr="008335FE" w:rsidRDefault="00166DDA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lastRenderedPageBreak/>
        <w:t xml:space="preserve">5. Načini in rok sklenitve pogodbe </w:t>
      </w:r>
    </w:p>
    <w:p w14:paraId="4BED8FE6" w14:textId="6DBE095A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4E43B705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1C2D59">
        <w:rPr>
          <w:rFonts w:cs="Arial"/>
          <w:sz w:val="20"/>
        </w:rPr>
        <w:t>26</w:t>
      </w:r>
      <w:r w:rsidR="008D1B3D">
        <w:rPr>
          <w:rFonts w:cs="Arial"/>
          <w:sz w:val="20"/>
        </w:rPr>
        <w:t>. 1. 2023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1C2D59">
        <w:rPr>
          <w:rFonts w:cs="Arial"/>
          <w:sz w:val="20"/>
        </w:rPr>
        <w:t>4782-91/2020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51EDA70C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1C2D59">
        <w:rPr>
          <w:rFonts w:cs="Arial"/>
          <w:b/>
          <w:bCs/>
          <w:sz w:val="20"/>
        </w:rPr>
        <w:t>26.</w:t>
      </w:r>
      <w:r w:rsidR="008D1B3D">
        <w:rPr>
          <w:rFonts w:cs="Arial"/>
          <w:b/>
          <w:bCs/>
          <w:sz w:val="20"/>
        </w:rPr>
        <w:t xml:space="preserve"> 1. 2013</w:t>
      </w:r>
      <w:r w:rsidRPr="0077046A">
        <w:rPr>
          <w:rFonts w:cs="Arial"/>
          <w:b/>
          <w:bCs/>
          <w:sz w:val="20"/>
        </w:rPr>
        <w:t xml:space="preserve">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3521FFA" w14:textId="1ACE9CDD" w:rsidR="005E6748" w:rsidRPr="00185183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Kontaktna oseba za ogled: </w:t>
      </w:r>
      <w:r w:rsidR="001C2D59">
        <w:rPr>
          <w:rFonts w:cs="Arial"/>
          <w:sz w:val="20"/>
        </w:rPr>
        <w:t>Peter Fid</w:t>
      </w:r>
      <w:r w:rsidR="0019054C">
        <w:rPr>
          <w:rFonts w:cs="Arial"/>
          <w:sz w:val="20"/>
        </w:rPr>
        <w:t>l</w:t>
      </w:r>
      <w:r w:rsidR="001C2D59">
        <w:rPr>
          <w:rFonts w:cs="Arial"/>
          <w:sz w:val="20"/>
        </w:rPr>
        <w:t>er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Pr="00185183">
        <w:rPr>
          <w:rFonts w:cs="Arial"/>
          <w:color w:val="000000" w:themeColor="text1"/>
          <w:sz w:val="20"/>
        </w:rPr>
        <w:t xml:space="preserve">telefon: </w:t>
      </w:r>
      <w:r w:rsidR="0019054C" w:rsidRPr="0019054C">
        <w:rPr>
          <w:rFonts w:cs="Arial"/>
          <w:color w:val="000000" w:themeColor="text1"/>
          <w:sz w:val="20"/>
        </w:rPr>
        <w:t>030 488 993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="00D32B21">
        <w:rPr>
          <w:rFonts w:cs="Arial"/>
          <w:color w:val="000000" w:themeColor="text1"/>
          <w:sz w:val="20"/>
        </w:rPr>
        <w:t xml:space="preserve">        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19054C" w:rsidRPr="003B31D5">
          <w:rPr>
            <w:rStyle w:val="Hiperpovezava"/>
            <w:rFonts w:cs="Arial"/>
            <w:sz w:val="20"/>
          </w:rPr>
          <w:t>peter.fidler@gov.si</w:t>
        </w:r>
      </w:hyperlink>
      <w:r w:rsidR="0019054C">
        <w:rPr>
          <w:rFonts w:cs="Arial"/>
          <w:color w:val="000000" w:themeColor="text1"/>
          <w:sz w:val="20"/>
        </w:rPr>
        <w:t xml:space="preserve">. </w:t>
      </w:r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E9A969A" w14:textId="324A8074" w:rsidR="005E6748" w:rsidRDefault="005E6748" w:rsidP="005E6748">
      <w:pPr>
        <w:jc w:val="both"/>
      </w:pPr>
      <w:r w:rsidRPr="008335FE">
        <w:rPr>
          <w:rFonts w:cs="Arial"/>
          <w:sz w:val="20"/>
        </w:rPr>
        <w:t xml:space="preserve">Ponudniki lahko postavijo vprašanja in zahteve za dodatna pojasnila glede izvedbe postopka  </w:t>
      </w:r>
      <w:r w:rsidR="0019054C">
        <w:rPr>
          <w:rFonts w:cs="Arial"/>
          <w:sz w:val="20"/>
        </w:rPr>
        <w:t>Jasmini Strgaršek</w:t>
      </w:r>
      <w:r w:rsidRPr="008335FE">
        <w:rPr>
          <w:rFonts w:cs="Arial"/>
          <w:sz w:val="20"/>
        </w:rPr>
        <w:t xml:space="preserve">, telefon: </w:t>
      </w:r>
      <w:r w:rsidR="0019054C" w:rsidRPr="0019054C">
        <w:rPr>
          <w:rFonts w:cs="Arial"/>
          <w:sz w:val="20"/>
        </w:rPr>
        <w:t>030 722 512</w:t>
      </w:r>
      <w:r w:rsidRPr="008335FE">
        <w:rPr>
          <w:rFonts w:cs="Arial"/>
          <w:sz w:val="20"/>
        </w:rPr>
        <w:t xml:space="preserve">, elektronski naslov: </w:t>
      </w:r>
      <w:hyperlink r:id="rId10" w:history="1">
        <w:r w:rsidR="0019054C" w:rsidRPr="003B31D5">
          <w:rPr>
            <w:rStyle w:val="Hiperpovezava"/>
            <w:sz w:val="20"/>
          </w:rPr>
          <w:t>jasmina.strgarsek@gov.si</w:t>
        </w:r>
      </w:hyperlink>
      <w:r w:rsidR="0019054C">
        <w:rPr>
          <w:sz w:val="20"/>
        </w:rPr>
        <w:t>.</w:t>
      </w:r>
    </w:p>
    <w:p w14:paraId="07C3B279" w14:textId="77777777" w:rsidR="0019054C" w:rsidRPr="008335FE" w:rsidRDefault="0019054C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17686C" w:rsidP="005E6748">
      <w:pPr>
        <w:jc w:val="both"/>
        <w:rPr>
          <w:rFonts w:cs="Arial"/>
          <w:sz w:val="20"/>
        </w:rPr>
      </w:pPr>
      <w:hyperlink r:id="rId1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FE8306C" w14:textId="204B7DCC" w:rsidR="006C11C4" w:rsidRPr="004838C4" w:rsidRDefault="006C11C4" w:rsidP="006C11C4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</w:t>
      </w:r>
      <w:r w:rsidRPr="004838C4">
        <w:rPr>
          <w:rFonts w:cs="Arial"/>
          <w:sz w:val="20"/>
        </w:rPr>
        <w:t>na podlagi pooblastila št. 1004-113/2015/90</w:t>
      </w:r>
    </w:p>
    <w:p w14:paraId="69969BB0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z dne 19. 10. 2022</w:t>
      </w:r>
    </w:p>
    <w:p w14:paraId="51DFA3D3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Maja Pogačar</w:t>
      </w:r>
    </w:p>
    <w:p w14:paraId="0B9CBD48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generalna direktorica </w:t>
      </w:r>
    </w:p>
    <w:p w14:paraId="17162EA7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   Direktorata za stvarno premoženje</w:t>
      </w:r>
    </w:p>
    <w:sectPr w:rsidR="006C11C4" w:rsidRPr="004838C4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278D33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EF06A8">
      <w:rPr>
        <w:rFonts w:cs="Arial"/>
        <w:sz w:val="16"/>
      </w:rPr>
      <w:t>86 16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AFD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DDA"/>
    <w:rsid w:val="00166F1C"/>
    <w:rsid w:val="001749EB"/>
    <w:rsid w:val="00176134"/>
    <w:rsid w:val="0017686C"/>
    <w:rsid w:val="00182099"/>
    <w:rsid w:val="0018355E"/>
    <w:rsid w:val="00185183"/>
    <w:rsid w:val="001900E9"/>
    <w:rsid w:val="0019054C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2D59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23A3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06A8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1245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smina.strgarse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fidler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2</Pages>
  <Words>743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5820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poslovnega prostora, Cesta železarjev 6a, Jesenice</dc:title>
  <dc:subject/>
  <dc:creator>Marija Petek</dc:creator>
  <cp:keywords>4782-91/2020</cp:keywords>
  <dc:description/>
  <cp:lastModifiedBy>Nevenka Trček</cp:lastModifiedBy>
  <cp:revision>2</cp:revision>
  <cp:lastPrinted>2023-01-09T05:41:00Z</cp:lastPrinted>
  <dcterms:created xsi:type="dcterms:W3CDTF">2023-01-09T05:45:00Z</dcterms:created>
  <dcterms:modified xsi:type="dcterms:W3CDTF">2023-01-09T05:45:00Z</dcterms:modified>
</cp:coreProperties>
</file>