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75AA9" w14:textId="77777777" w:rsidR="002F144F" w:rsidRDefault="002F144F" w:rsidP="002F144F">
      <w:pPr>
        <w:jc w:val="center"/>
        <w:rPr>
          <w:rFonts w:ascii="Arial" w:hAnsi="Arial" w:cs="Arial"/>
          <w:b/>
          <w:bCs/>
          <w:sz w:val="48"/>
          <w:szCs w:val="48"/>
        </w:rPr>
      </w:pPr>
    </w:p>
    <w:p w14:paraId="311E9E38" w14:textId="57A3544C" w:rsidR="00EB675E" w:rsidRDefault="002F144F" w:rsidP="002F144F">
      <w:pPr>
        <w:jc w:val="center"/>
        <w:rPr>
          <w:rFonts w:ascii="Arial" w:hAnsi="Arial" w:cs="Arial"/>
          <w:b/>
          <w:bCs/>
          <w:sz w:val="48"/>
          <w:szCs w:val="48"/>
        </w:rPr>
      </w:pPr>
      <w:r>
        <w:rPr>
          <w:rFonts w:ascii="Arial" w:hAnsi="Arial" w:cs="Arial"/>
          <w:b/>
          <w:bCs/>
          <w:sz w:val="48"/>
          <w:szCs w:val="48"/>
        </w:rPr>
        <w:t>P</w:t>
      </w:r>
      <w:r w:rsidRPr="002F144F">
        <w:rPr>
          <w:rFonts w:ascii="Arial" w:hAnsi="Arial" w:cs="Arial"/>
          <w:b/>
          <w:bCs/>
          <w:sz w:val="48"/>
          <w:szCs w:val="48"/>
        </w:rPr>
        <w:t>odatkovni centri, strežnišk</w:t>
      </w:r>
      <w:r w:rsidR="00384200">
        <w:rPr>
          <w:rFonts w:ascii="Arial" w:hAnsi="Arial" w:cs="Arial"/>
          <w:b/>
          <w:bCs/>
          <w:sz w:val="48"/>
          <w:szCs w:val="48"/>
        </w:rPr>
        <w:t>i</w:t>
      </w:r>
      <w:r w:rsidRPr="002F144F">
        <w:rPr>
          <w:rFonts w:ascii="Arial" w:hAnsi="Arial" w:cs="Arial"/>
          <w:b/>
          <w:bCs/>
          <w:sz w:val="48"/>
          <w:szCs w:val="48"/>
        </w:rPr>
        <w:t xml:space="preserve"> </w:t>
      </w:r>
      <w:r w:rsidR="00384200">
        <w:rPr>
          <w:rFonts w:ascii="Arial" w:hAnsi="Arial" w:cs="Arial"/>
          <w:b/>
          <w:bCs/>
          <w:sz w:val="48"/>
          <w:szCs w:val="48"/>
        </w:rPr>
        <w:t>prostor</w:t>
      </w:r>
      <w:r w:rsidR="00384200" w:rsidRPr="002F144F">
        <w:rPr>
          <w:rFonts w:ascii="Arial" w:hAnsi="Arial" w:cs="Arial"/>
          <w:b/>
          <w:bCs/>
          <w:sz w:val="48"/>
          <w:szCs w:val="48"/>
        </w:rPr>
        <w:t xml:space="preserve"> </w:t>
      </w:r>
      <w:r w:rsidRPr="002F144F">
        <w:rPr>
          <w:rFonts w:ascii="Arial" w:hAnsi="Arial" w:cs="Arial"/>
          <w:b/>
          <w:bCs/>
          <w:sz w:val="48"/>
          <w:szCs w:val="48"/>
        </w:rPr>
        <w:t>in storitve v oblaku</w:t>
      </w:r>
    </w:p>
    <w:p w14:paraId="2C6DA30C" w14:textId="77777777" w:rsidR="002F144F" w:rsidRPr="002F144F" w:rsidRDefault="002F144F" w:rsidP="002F144F">
      <w:pPr>
        <w:jc w:val="center"/>
        <w:rPr>
          <w:rFonts w:ascii="Arial" w:hAnsi="Arial" w:cs="Arial"/>
          <w:b/>
          <w:bCs/>
          <w:sz w:val="48"/>
          <w:szCs w:val="48"/>
        </w:rPr>
      </w:pPr>
    </w:p>
    <w:p w14:paraId="08D27131" w14:textId="77777777" w:rsidR="002F144F" w:rsidRDefault="002F144F"/>
    <w:p w14:paraId="07219104" w14:textId="7993BEB7" w:rsidR="002F144F" w:rsidRDefault="002F144F" w:rsidP="002F144F">
      <w:pPr>
        <w:jc w:val="center"/>
      </w:pPr>
      <w:r w:rsidRPr="002F144F">
        <w:rPr>
          <w:noProof/>
        </w:rPr>
        <w:drawing>
          <wp:inline distT="0" distB="0" distL="0" distR="0" wp14:anchorId="07833803" wp14:editId="2B9BDFA2">
            <wp:extent cx="5029200" cy="3357072"/>
            <wp:effectExtent l="0" t="0" r="0" b="0"/>
            <wp:docPr id="1378085312" name="Slika 4" descr="Podatkovni centri za dobo ChatGPT | Moni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odatkovni centri za dobo ChatGPT | Monit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34138" cy="3360368"/>
                    </a:xfrm>
                    <a:prstGeom prst="rect">
                      <a:avLst/>
                    </a:prstGeom>
                    <a:noFill/>
                    <a:ln>
                      <a:noFill/>
                    </a:ln>
                  </pic:spPr>
                </pic:pic>
              </a:graphicData>
            </a:graphic>
          </wp:inline>
        </w:drawing>
      </w:r>
    </w:p>
    <w:p w14:paraId="06F84261" w14:textId="77777777" w:rsidR="002F144F" w:rsidRDefault="002F144F" w:rsidP="002F144F">
      <w:pPr>
        <w:jc w:val="center"/>
      </w:pPr>
    </w:p>
    <w:p w14:paraId="7FC5CEB3" w14:textId="56B868FA" w:rsidR="002F144F" w:rsidRDefault="002F144F" w:rsidP="002F144F">
      <w:pPr>
        <w:jc w:val="center"/>
        <w:rPr>
          <w:rFonts w:ascii="Arial" w:hAnsi="Arial" w:cs="Arial"/>
          <w:b/>
          <w:bCs/>
          <w:sz w:val="48"/>
          <w:szCs w:val="48"/>
        </w:rPr>
      </w:pPr>
      <w:r w:rsidRPr="002F144F">
        <w:rPr>
          <w:rFonts w:ascii="Arial" w:hAnsi="Arial" w:cs="Arial"/>
          <w:b/>
          <w:bCs/>
          <w:sz w:val="48"/>
          <w:szCs w:val="48"/>
        </w:rPr>
        <w:t>Primeri okoljskih zahtev in meril</w:t>
      </w:r>
    </w:p>
    <w:p w14:paraId="48CD7255" w14:textId="77777777" w:rsidR="002F144F" w:rsidRDefault="002F144F" w:rsidP="002F144F">
      <w:pPr>
        <w:jc w:val="center"/>
        <w:rPr>
          <w:rFonts w:ascii="Arial" w:hAnsi="Arial" w:cs="Arial"/>
          <w:b/>
          <w:bCs/>
          <w:sz w:val="48"/>
          <w:szCs w:val="48"/>
        </w:rPr>
      </w:pPr>
    </w:p>
    <w:p w14:paraId="249D9F9A" w14:textId="77777777" w:rsidR="002F144F" w:rsidRDefault="002F144F" w:rsidP="002F144F">
      <w:pPr>
        <w:jc w:val="center"/>
        <w:rPr>
          <w:rFonts w:ascii="Arial" w:hAnsi="Arial" w:cs="Arial"/>
          <w:b/>
          <w:bCs/>
          <w:sz w:val="48"/>
          <w:szCs w:val="48"/>
        </w:rPr>
      </w:pPr>
    </w:p>
    <w:p w14:paraId="0B00E6E7" w14:textId="77777777" w:rsidR="002F144F" w:rsidRDefault="002F144F" w:rsidP="002F144F">
      <w:pPr>
        <w:jc w:val="center"/>
        <w:rPr>
          <w:rFonts w:ascii="Arial" w:hAnsi="Arial" w:cs="Arial"/>
          <w:b/>
          <w:bCs/>
          <w:sz w:val="48"/>
          <w:szCs w:val="48"/>
        </w:rPr>
      </w:pPr>
    </w:p>
    <w:p w14:paraId="69A9ADCA" w14:textId="77777777" w:rsidR="002F144F" w:rsidRDefault="002F144F" w:rsidP="002F144F">
      <w:pPr>
        <w:jc w:val="center"/>
        <w:rPr>
          <w:rFonts w:ascii="Arial" w:hAnsi="Arial" w:cs="Arial"/>
          <w:b/>
          <w:bCs/>
          <w:sz w:val="48"/>
          <w:szCs w:val="48"/>
        </w:rPr>
      </w:pPr>
    </w:p>
    <w:p w14:paraId="3444AF94" w14:textId="79939C89" w:rsidR="002F144F" w:rsidRDefault="002F144F" w:rsidP="002F144F">
      <w:pPr>
        <w:jc w:val="center"/>
        <w:rPr>
          <w:rFonts w:ascii="Arial" w:hAnsi="Arial" w:cs="Arial"/>
          <w:b/>
          <w:bCs/>
        </w:rPr>
      </w:pPr>
      <w:r w:rsidRPr="002F144F">
        <w:rPr>
          <w:rFonts w:ascii="Arial" w:hAnsi="Arial" w:cs="Arial"/>
          <w:b/>
          <w:bCs/>
        </w:rPr>
        <w:t>Verzija 1.0</w:t>
      </w:r>
    </w:p>
    <w:p w14:paraId="1C59972E" w14:textId="4415ABEE" w:rsidR="002F144F" w:rsidRPr="002F144F" w:rsidRDefault="005D044B" w:rsidP="002F144F">
      <w:pPr>
        <w:jc w:val="center"/>
        <w:rPr>
          <w:rFonts w:ascii="Arial" w:hAnsi="Arial" w:cs="Arial"/>
          <w:b/>
          <w:bCs/>
        </w:rPr>
      </w:pPr>
      <w:r>
        <w:rPr>
          <w:rFonts w:ascii="Arial" w:hAnsi="Arial" w:cs="Arial"/>
          <w:b/>
          <w:bCs/>
        </w:rPr>
        <w:t>Oktober</w:t>
      </w:r>
      <w:r w:rsidR="002F144F">
        <w:rPr>
          <w:rFonts w:ascii="Arial" w:hAnsi="Arial" w:cs="Arial"/>
          <w:b/>
          <w:bCs/>
        </w:rPr>
        <w:t xml:space="preserve"> 202</w:t>
      </w:r>
      <w:r w:rsidR="00286EB7">
        <w:rPr>
          <w:rFonts w:ascii="Arial" w:hAnsi="Arial" w:cs="Arial"/>
          <w:b/>
          <w:bCs/>
        </w:rPr>
        <w:t>5</w:t>
      </w:r>
    </w:p>
    <w:p w14:paraId="32A5C7CD" w14:textId="2CB8B2DC" w:rsidR="00384200" w:rsidRPr="00E577F6" w:rsidRDefault="00704B22" w:rsidP="00E577F6">
      <w:pPr>
        <w:pStyle w:val="Naslov1"/>
        <w:numPr>
          <w:ilvl w:val="0"/>
          <w:numId w:val="43"/>
        </w:numPr>
        <w:rPr>
          <w:rFonts w:ascii="Arial" w:eastAsia="Arial" w:hAnsi="Arial" w:cs="Arial"/>
          <w:b/>
          <w:bCs/>
          <w:color w:val="385623" w:themeColor="accent6" w:themeShade="80"/>
          <w:sz w:val="20"/>
          <w:szCs w:val="20"/>
        </w:rPr>
      </w:pPr>
      <w:r w:rsidRPr="00E577F6">
        <w:rPr>
          <w:rFonts w:ascii="Arial" w:eastAsia="Arial" w:hAnsi="Arial" w:cs="Arial"/>
          <w:b/>
          <w:bCs/>
          <w:color w:val="385623" w:themeColor="accent6" w:themeShade="80"/>
          <w:sz w:val="20"/>
          <w:szCs w:val="20"/>
        </w:rPr>
        <w:lastRenderedPageBreak/>
        <w:t>Predmet zelenega javnega naročanja</w:t>
      </w:r>
    </w:p>
    <w:p w14:paraId="34A590CC" w14:textId="04A67A2E" w:rsidR="00384200" w:rsidRPr="00384200" w:rsidRDefault="00384200" w:rsidP="005D044B">
      <w:pPr>
        <w:jc w:val="both"/>
        <w:rPr>
          <w:rFonts w:ascii="Arial" w:hAnsi="Arial" w:cs="Arial"/>
          <w:sz w:val="20"/>
          <w:szCs w:val="20"/>
        </w:rPr>
      </w:pPr>
      <w:r w:rsidRPr="00384200">
        <w:rPr>
          <w:rFonts w:ascii="Arial" w:hAnsi="Arial" w:cs="Arial"/>
          <w:sz w:val="20"/>
          <w:szCs w:val="20"/>
        </w:rPr>
        <w:t>V skladu z 2</w:t>
      </w:r>
      <w:r>
        <w:rPr>
          <w:rFonts w:ascii="Arial" w:hAnsi="Arial" w:cs="Arial"/>
          <w:sz w:val="20"/>
          <w:szCs w:val="20"/>
        </w:rPr>
        <w:t>2</w:t>
      </w:r>
      <w:r w:rsidRPr="00384200">
        <w:rPr>
          <w:rFonts w:ascii="Arial" w:hAnsi="Arial" w:cs="Arial"/>
          <w:sz w:val="20"/>
          <w:szCs w:val="20"/>
        </w:rPr>
        <w:t xml:space="preserve">. točko prvega odstavka 4. člena Uredbe o zelenem javnem naročanju (Uradni list RS, 51/17, 64/19, 121/21, 132/23 in 43/25); v nadaljnjem besedilu: Uredba o ZeJN) mora naročnik obvezno upoštevati vidike zelenega javnega naročanja, kadar </w:t>
      </w:r>
      <w:r>
        <w:rPr>
          <w:rFonts w:ascii="Arial" w:hAnsi="Arial" w:cs="Arial"/>
          <w:sz w:val="20"/>
          <w:szCs w:val="20"/>
        </w:rPr>
        <w:t>so</w:t>
      </w:r>
      <w:r w:rsidRPr="00384200">
        <w:rPr>
          <w:rFonts w:ascii="Arial" w:hAnsi="Arial" w:cs="Arial"/>
          <w:sz w:val="20"/>
          <w:szCs w:val="20"/>
        </w:rPr>
        <w:t xml:space="preserve"> predmet naročanja </w:t>
      </w:r>
      <w:r w:rsidRPr="00384200">
        <w:rPr>
          <w:rFonts w:ascii="Arial" w:hAnsi="Arial" w:cs="Arial"/>
          <w:b/>
          <w:bCs/>
          <w:sz w:val="20"/>
          <w:szCs w:val="20"/>
        </w:rPr>
        <w:t>podatkovni centri, strežniški prostor in storitve v oblak</w:t>
      </w:r>
      <w:r>
        <w:rPr>
          <w:rFonts w:ascii="Arial" w:hAnsi="Arial" w:cs="Arial"/>
          <w:b/>
          <w:bCs/>
          <w:sz w:val="20"/>
          <w:szCs w:val="20"/>
        </w:rPr>
        <w:t>u</w:t>
      </w:r>
      <w:r w:rsidRPr="00384200">
        <w:rPr>
          <w:rFonts w:ascii="Arial" w:hAnsi="Arial" w:cs="Arial"/>
          <w:sz w:val="20"/>
          <w:szCs w:val="20"/>
        </w:rPr>
        <w:t xml:space="preserve">. </w:t>
      </w:r>
    </w:p>
    <w:p w14:paraId="11BBD27A" w14:textId="3AB7BA15" w:rsidR="00384200" w:rsidRDefault="00384200" w:rsidP="002F144F">
      <w:pPr>
        <w:rPr>
          <w:rFonts w:ascii="Arial" w:hAnsi="Arial" w:cs="Arial"/>
          <w:sz w:val="20"/>
          <w:szCs w:val="20"/>
        </w:rPr>
      </w:pPr>
      <w:r w:rsidRPr="00384200">
        <w:rPr>
          <w:rFonts w:ascii="Arial" w:hAnsi="Arial" w:cs="Arial"/>
          <w:sz w:val="20"/>
          <w:szCs w:val="20"/>
        </w:rPr>
        <w:t>Natančnejšo opredelitev te</w:t>
      </w:r>
      <w:r>
        <w:rPr>
          <w:rFonts w:ascii="Arial" w:hAnsi="Arial" w:cs="Arial"/>
          <w:sz w:val="20"/>
          <w:szCs w:val="20"/>
        </w:rPr>
        <w:t>h</w:t>
      </w:r>
      <w:r w:rsidRPr="00384200">
        <w:rPr>
          <w:rFonts w:ascii="Arial" w:hAnsi="Arial" w:cs="Arial"/>
          <w:sz w:val="20"/>
          <w:szCs w:val="20"/>
        </w:rPr>
        <w:t xml:space="preserve"> predmet</w:t>
      </w:r>
      <w:r>
        <w:rPr>
          <w:rFonts w:ascii="Arial" w:hAnsi="Arial" w:cs="Arial"/>
          <w:sz w:val="20"/>
          <w:szCs w:val="20"/>
        </w:rPr>
        <w:t>ov</w:t>
      </w:r>
      <w:r w:rsidRPr="00384200">
        <w:rPr>
          <w:rFonts w:ascii="Arial" w:hAnsi="Arial" w:cs="Arial"/>
          <w:sz w:val="20"/>
          <w:szCs w:val="20"/>
        </w:rPr>
        <w:t xml:space="preserve"> določa</w:t>
      </w:r>
      <w:r>
        <w:rPr>
          <w:rFonts w:ascii="Arial" w:hAnsi="Arial" w:cs="Arial"/>
          <w:sz w:val="20"/>
          <w:szCs w:val="20"/>
        </w:rPr>
        <w:t>jo 79., 80. in 81</w:t>
      </w:r>
      <w:r w:rsidRPr="00384200">
        <w:rPr>
          <w:rFonts w:ascii="Arial" w:hAnsi="Arial" w:cs="Arial"/>
          <w:sz w:val="20"/>
          <w:szCs w:val="20"/>
        </w:rPr>
        <w:t>. točka Priloge I Uredbe  o ZeJN</w:t>
      </w:r>
      <w:r>
        <w:rPr>
          <w:rFonts w:ascii="Arial" w:hAnsi="Arial" w:cs="Arial"/>
          <w:sz w:val="20"/>
          <w:szCs w:val="20"/>
        </w:rPr>
        <w:t>.</w:t>
      </w:r>
    </w:p>
    <w:p w14:paraId="791C4895" w14:textId="03E560B6" w:rsidR="002F144F" w:rsidRPr="00853340" w:rsidRDefault="00F12F1E" w:rsidP="002F144F">
      <w:pPr>
        <w:rPr>
          <w:rFonts w:ascii="Arial" w:hAnsi="Arial" w:cs="Arial"/>
          <w:sz w:val="20"/>
          <w:szCs w:val="20"/>
        </w:rPr>
      </w:pPr>
      <w:r w:rsidRPr="00C74748">
        <w:rPr>
          <w:rFonts w:ascii="Arial" w:hAnsi="Arial" w:cs="Arial"/>
          <w:sz w:val="20"/>
          <w:szCs w:val="20"/>
        </w:rPr>
        <w:t>Ti primeri okoljskih zahtev in meril se uporabljajo, kadar so predmet javnega naročanja</w:t>
      </w:r>
      <w:r w:rsidRPr="00853340">
        <w:rPr>
          <w:rFonts w:ascii="Arial" w:hAnsi="Arial" w:cs="Arial"/>
          <w:sz w:val="20"/>
          <w:szCs w:val="20"/>
        </w:rPr>
        <w:t>:</w:t>
      </w:r>
    </w:p>
    <w:p w14:paraId="38C0365C" w14:textId="154DC41A" w:rsidR="00596B9A" w:rsidRPr="00596B9A" w:rsidRDefault="00F12F1E" w:rsidP="00596B9A">
      <w:pPr>
        <w:pStyle w:val="Odstavekseznama"/>
        <w:numPr>
          <w:ilvl w:val="0"/>
          <w:numId w:val="1"/>
        </w:numPr>
        <w:jc w:val="both"/>
        <w:rPr>
          <w:rFonts w:ascii="Arial" w:hAnsi="Arial" w:cs="Arial"/>
          <w:sz w:val="20"/>
          <w:szCs w:val="20"/>
        </w:rPr>
      </w:pPr>
      <w:r w:rsidRPr="00140B83">
        <w:rPr>
          <w:rFonts w:ascii="Arial" w:hAnsi="Arial" w:cs="Arial"/>
          <w:b/>
          <w:bCs/>
          <w:sz w:val="20"/>
          <w:szCs w:val="20"/>
        </w:rPr>
        <w:t>podatkovni cent</w:t>
      </w:r>
      <w:r w:rsidR="00596B9A" w:rsidRPr="00140B83">
        <w:rPr>
          <w:rFonts w:ascii="Arial" w:hAnsi="Arial" w:cs="Arial"/>
          <w:b/>
          <w:bCs/>
          <w:sz w:val="20"/>
          <w:szCs w:val="20"/>
        </w:rPr>
        <w:t>er</w:t>
      </w:r>
      <w:r w:rsidR="00596B9A">
        <w:rPr>
          <w:rFonts w:ascii="Arial" w:hAnsi="Arial" w:cs="Arial"/>
          <w:sz w:val="20"/>
          <w:szCs w:val="20"/>
        </w:rPr>
        <w:t>, ki</w:t>
      </w:r>
      <w:r w:rsidR="00596B9A" w:rsidRPr="00596B9A">
        <w:t xml:space="preserve"> </w:t>
      </w:r>
      <w:r w:rsidR="00596B9A" w:rsidRPr="00596B9A">
        <w:rPr>
          <w:rFonts w:ascii="Arial" w:hAnsi="Arial" w:cs="Arial"/>
          <w:sz w:val="20"/>
          <w:szCs w:val="20"/>
        </w:rPr>
        <w:t>je opredeljen kot struktura ali skupina struktur</w:t>
      </w:r>
      <w:r w:rsidR="0007709A">
        <w:rPr>
          <w:rFonts w:ascii="Arial" w:hAnsi="Arial" w:cs="Arial"/>
          <w:sz w:val="20"/>
          <w:szCs w:val="20"/>
        </w:rPr>
        <w:t>,</w:t>
      </w:r>
      <w:r w:rsidR="00596B9A" w:rsidRPr="00596B9A">
        <w:rPr>
          <w:rFonts w:ascii="Arial" w:hAnsi="Arial" w:cs="Arial"/>
          <w:sz w:val="20"/>
          <w:szCs w:val="20"/>
        </w:rPr>
        <w:t xml:space="preserve"> </w:t>
      </w:r>
      <w:r w:rsidR="0007709A">
        <w:rPr>
          <w:rFonts w:ascii="Arial" w:hAnsi="Arial" w:cs="Arial"/>
          <w:sz w:val="20"/>
          <w:szCs w:val="20"/>
        </w:rPr>
        <w:t>n</w:t>
      </w:r>
      <w:r w:rsidR="00596B9A" w:rsidRPr="00596B9A">
        <w:rPr>
          <w:rFonts w:ascii="Arial" w:hAnsi="Arial" w:cs="Arial"/>
          <w:sz w:val="20"/>
          <w:szCs w:val="20"/>
        </w:rPr>
        <w:t>amenjen</w:t>
      </w:r>
      <w:r w:rsidR="0007709A">
        <w:rPr>
          <w:rFonts w:ascii="Arial" w:hAnsi="Arial" w:cs="Arial"/>
          <w:sz w:val="20"/>
          <w:szCs w:val="20"/>
        </w:rPr>
        <w:t>ih</w:t>
      </w:r>
      <w:r w:rsidR="00596B9A" w:rsidRPr="00596B9A">
        <w:rPr>
          <w:rFonts w:ascii="Arial" w:hAnsi="Arial" w:cs="Arial"/>
          <w:sz w:val="20"/>
          <w:szCs w:val="20"/>
        </w:rPr>
        <w:t xml:space="preserve"> centralizirani</w:t>
      </w:r>
    </w:p>
    <w:p w14:paraId="40F2308D" w14:textId="37588203" w:rsidR="00596B9A" w:rsidRPr="00596B9A" w:rsidRDefault="00596B9A" w:rsidP="00384200">
      <w:pPr>
        <w:pStyle w:val="Odstavekseznama"/>
        <w:jc w:val="both"/>
        <w:rPr>
          <w:rFonts w:ascii="Arial" w:hAnsi="Arial" w:cs="Arial"/>
          <w:sz w:val="20"/>
          <w:szCs w:val="20"/>
        </w:rPr>
      </w:pPr>
      <w:r w:rsidRPr="00596B9A">
        <w:rPr>
          <w:rFonts w:ascii="Arial" w:hAnsi="Arial" w:cs="Arial"/>
          <w:sz w:val="20"/>
          <w:szCs w:val="20"/>
        </w:rPr>
        <w:t>namestitvi, medomrežnemu povezovanju in upravljanju opreme za informacijsko tehnologijo</w:t>
      </w:r>
      <w:r>
        <w:rPr>
          <w:rFonts w:ascii="Arial" w:hAnsi="Arial" w:cs="Arial"/>
          <w:sz w:val="20"/>
          <w:szCs w:val="20"/>
        </w:rPr>
        <w:t xml:space="preserve"> </w:t>
      </w:r>
      <w:r w:rsidRPr="00596B9A">
        <w:rPr>
          <w:rFonts w:ascii="Arial" w:hAnsi="Arial" w:cs="Arial"/>
          <w:sz w:val="20"/>
          <w:szCs w:val="20"/>
        </w:rPr>
        <w:t>in</w:t>
      </w:r>
    </w:p>
    <w:p w14:paraId="263D75DA" w14:textId="77777777" w:rsidR="00596B9A" w:rsidRPr="00596B9A" w:rsidRDefault="00596B9A" w:rsidP="00384200">
      <w:pPr>
        <w:pStyle w:val="Odstavekseznama"/>
        <w:jc w:val="both"/>
        <w:rPr>
          <w:rFonts w:ascii="Arial" w:hAnsi="Arial" w:cs="Arial"/>
          <w:sz w:val="20"/>
          <w:szCs w:val="20"/>
        </w:rPr>
      </w:pPr>
      <w:r w:rsidRPr="00596B9A">
        <w:rPr>
          <w:rFonts w:ascii="Arial" w:hAnsi="Arial" w:cs="Arial"/>
          <w:sz w:val="20"/>
          <w:szCs w:val="20"/>
        </w:rPr>
        <w:t>telekomunikacijsko omrežje, ki omogočajo hrambo podatkov, obdelavo in prenos podatkov ter</w:t>
      </w:r>
    </w:p>
    <w:p w14:paraId="29A68FAB" w14:textId="77777777" w:rsidR="003F6173" w:rsidRDefault="00596B9A" w:rsidP="00384200">
      <w:pPr>
        <w:pStyle w:val="Odstavekseznama"/>
        <w:jc w:val="both"/>
        <w:rPr>
          <w:rFonts w:ascii="Arial" w:hAnsi="Arial" w:cs="Arial"/>
          <w:sz w:val="20"/>
          <w:szCs w:val="20"/>
        </w:rPr>
      </w:pPr>
      <w:r w:rsidRPr="00596B9A">
        <w:rPr>
          <w:rFonts w:ascii="Arial" w:hAnsi="Arial" w:cs="Arial"/>
          <w:sz w:val="20"/>
          <w:szCs w:val="20"/>
        </w:rPr>
        <w:t>zagotavljajo vse naprave in infrastrukture za distribucijo energije in okoljski nadzor kot tudi stopnje</w:t>
      </w:r>
      <w:r>
        <w:rPr>
          <w:rFonts w:ascii="Arial" w:hAnsi="Arial" w:cs="Arial"/>
          <w:sz w:val="20"/>
          <w:szCs w:val="20"/>
        </w:rPr>
        <w:t xml:space="preserve"> </w:t>
      </w:r>
      <w:r w:rsidRPr="00596B9A">
        <w:rPr>
          <w:rFonts w:ascii="Arial" w:hAnsi="Arial" w:cs="Arial"/>
          <w:sz w:val="20"/>
          <w:szCs w:val="20"/>
        </w:rPr>
        <w:t>prožnosti in varnosti, ki so potrebne za zagotavljanje razpoložljivosti želene storitve</w:t>
      </w:r>
    </w:p>
    <w:p w14:paraId="33D16BD4" w14:textId="330E260F" w:rsidR="003F6173" w:rsidRDefault="003F6173" w:rsidP="00384200">
      <w:pPr>
        <w:pStyle w:val="Odstavekseznama"/>
        <w:jc w:val="both"/>
        <w:rPr>
          <w:rFonts w:ascii="Arial" w:hAnsi="Arial" w:cs="Arial"/>
          <w:sz w:val="20"/>
          <w:szCs w:val="20"/>
        </w:rPr>
      </w:pPr>
      <w:r w:rsidRPr="003F6173">
        <w:rPr>
          <w:rFonts w:ascii="Arial" w:hAnsi="Arial" w:cs="Arial"/>
          <w:sz w:val="20"/>
          <w:szCs w:val="20"/>
        </w:rPr>
        <w:t>podjetniški podatkovni center: podatkovni center, ki ga upravlja podjetje, katerega edini namen je zagotavljanje in upravljanje storitev za svoje zaposlene in stranke</w:t>
      </w:r>
      <w:r>
        <w:rPr>
          <w:rFonts w:ascii="Arial" w:hAnsi="Arial" w:cs="Arial"/>
          <w:sz w:val="20"/>
          <w:szCs w:val="20"/>
        </w:rPr>
        <w:t>.</w:t>
      </w:r>
    </w:p>
    <w:p w14:paraId="0D8849AC" w14:textId="77777777" w:rsidR="003F6173" w:rsidRDefault="003F6173" w:rsidP="003F6173">
      <w:pPr>
        <w:pStyle w:val="Odstavekseznama"/>
        <w:jc w:val="both"/>
        <w:rPr>
          <w:rFonts w:ascii="Arial" w:hAnsi="Arial" w:cs="Arial"/>
          <w:sz w:val="20"/>
          <w:szCs w:val="20"/>
        </w:rPr>
      </w:pPr>
    </w:p>
    <w:p w14:paraId="6515FD5F" w14:textId="218DC54D" w:rsidR="003F6173" w:rsidRDefault="003F6173" w:rsidP="003F6173">
      <w:pPr>
        <w:pStyle w:val="Odstavekseznama"/>
        <w:jc w:val="both"/>
        <w:rPr>
          <w:rFonts w:ascii="Arial" w:hAnsi="Arial" w:cs="Arial"/>
          <w:sz w:val="20"/>
          <w:szCs w:val="20"/>
        </w:rPr>
      </w:pPr>
      <w:r>
        <w:rPr>
          <w:rFonts w:ascii="Arial" w:hAnsi="Arial" w:cs="Arial"/>
          <w:sz w:val="20"/>
          <w:szCs w:val="20"/>
        </w:rPr>
        <w:t>Podatkovni centri se delijo glede na vrste, v področje uporabe meril so vključene naslednje vrste:</w:t>
      </w:r>
    </w:p>
    <w:p w14:paraId="3117CB79" w14:textId="12B887FE" w:rsidR="003F6173" w:rsidRPr="003F6173" w:rsidRDefault="003F6173" w:rsidP="003F6173">
      <w:pPr>
        <w:pStyle w:val="Odstavekseznama"/>
        <w:numPr>
          <w:ilvl w:val="0"/>
          <w:numId w:val="16"/>
        </w:numPr>
        <w:jc w:val="both"/>
        <w:rPr>
          <w:rFonts w:ascii="Arial" w:hAnsi="Arial" w:cs="Arial"/>
          <w:sz w:val="20"/>
          <w:szCs w:val="20"/>
        </w:rPr>
      </w:pPr>
      <w:r w:rsidRPr="003F6173">
        <w:rPr>
          <w:rFonts w:ascii="Arial" w:hAnsi="Arial" w:cs="Arial"/>
          <w:sz w:val="20"/>
          <w:szCs w:val="20"/>
        </w:rPr>
        <w:t>podjetniški podatkovni center: podatkovni center, ki ga upravlja podjetje, katerega edini namen je zagotavljanje in upravljanje storitev za svoje zaposlene in stranke;</w:t>
      </w:r>
    </w:p>
    <w:p w14:paraId="042282BB" w14:textId="67C2CE84" w:rsidR="003F6173" w:rsidRPr="003F6173" w:rsidRDefault="003F6173" w:rsidP="003F6173">
      <w:pPr>
        <w:pStyle w:val="Odstavekseznama"/>
        <w:numPr>
          <w:ilvl w:val="0"/>
          <w:numId w:val="16"/>
        </w:numPr>
        <w:jc w:val="both"/>
        <w:rPr>
          <w:rFonts w:ascii="Arial" w:hAnsi="Arial" w:cs="Arial"/>
          <w:sz w:val="20"/>
          <w:szCs w:val="20"/>
        </w:rPr>
      </w:pPr>
      <w:r w:rsidRPr="003F6173">
        <w:rPr>
          <w:rFonts w:ascii="Arial" w:hAnsi="Arial" w:cs="Arial"/>
          <w:sz w:val="20"/>
          <w:szCs w:val="20"/>
        </w:rPr>
        <w:t>kolokacijski podatkovni center: podatkovni center, v katerem več strank namesti svoja lastna omrežja, strežnike in opremo za shranjevanje;</w:t>
      </w:r>
    </w:p>
    <w:p w14:paraId="51B771C6" w14:textId="50887356" w:rsidR="00596B9A" w:rsidRDefault="003F6173" w:rsidP="003F6173">
      <w:pPr>
        <w:pStyle w:val="Odstavekseznama"/>
        <w:numPr>
          <w:ilvl w:val="0"/>
          <w:numId w:val="16"/>
        </w:numPr>
        <w:jc w:val="both"/>
        <w:rPr>
          <w:rFonts w:ascii="Arial" w:hAnsi="Arial" w:cs="Arial"/>
          <w:sz w:val="20"/>
          <w:szCs w:val="20"/>
        </w:rPr>
      </w:pPr>
      <w:r w:rsidRPr="003F6173">
        <w:rPr>
          <w:rFonts w:ascii="Arial" w:hAnsi="Arial" w:cs="Arial"/>
          <w:sz w:val="20"/>
          <w:szCs w:val="20"/>
        </w:rPr>
        <w:t>podatkovni center ponudnika upravljanih storitev: podatkovni center, ki nudi strežniške storitve in storitve hranjenja podatkov, pri čemer stranka plača storitev, ponudnik pa zagotavlja in upravlja potrebno strojno/programsko opremo IKT ter opremo podatkovnega centra. Ta storitev upravljanja vključuje so-gostovanje več strank, ki ima lahko obliko aplikacije v oblaku</w:t>
      </w:r>
      <w:r>
        <w:rPr>
          <w:rFonts w:ascii="Arial" w:hAnsi="Arial" w:cs="Arial"/>
          <w:sz w:val="20"/>
          <w:szCs w:val="20"/>
        </w:rPr>
        <w:t>;</w:t>
      </w:r>
    </w:p>
    <w:p w14:paraId="0D429B98" w14:textId="77777777" w:rsidR="003F6173" w:rsidRPr="003F6173" w:rsidRDefault="003F6173" w:rsidP="003F6173">
      <w:pPr>
        <w:pStyle w:val="Odstavekseznama"/>
        <w:ind w:left="1440"/>
        <w:jc w:val="both"/>
        <w:rPr>
          <w:rFonts w:ascii="Arial" w:hAnsi="Arial" w:cs="Arial"/>
          <w:sz w:val="20"/>
          <w:szCs w:val="20"/>
        </w:rPr>
      </w:pPr>
    </w:p>
    <w:p w14:paraId="13BEEF5A" w14:textId="36C7BB29" w:rsidR="00F12F1E" w:rsidRPr="00596B9A" w:rsidRDefault="00704B22" w:rsidP="00596B9A">
      <w:pPr>
        <w:pStyle w:val="Odstavekseznama"/>
        <w:numPr>
          <w:ilvl w:val="0"/>
          <w:numId w:val="1"/>
        </w:numPr>
        <w:jc w:val="both"/>
        <w:rPr>
          <w:rFonts w:ascii="Arial" w:hAnsi="Arial" w:cs="Arial"/>
          <w:sz w:val="20"/>
          <w:szCs w:val="20"/>
        </w:rPr>
      </w:pPr>
      <w:r w:rsidRPr="00140B83">
        <w:rPr>
          <w:rFonts w:ascii="Arial" w:hAnsi="Arial" w:cs="Arial"/>
          <w:b/>
          <w:bCs/>
          <w:sz w:val="20"/>
          <w:szCs w:val="20"/>
        </w:rPr>
        <w:t>strežnišk</w:t>
      </w:r>
      <w:r w:rsidR="00596B9A" w:rsidRPr="00140B83">
        <w:rPr>
          <w:rFonts w:ascii="Arial" w:hAnsi="Arial" w:cs="Arial"/>
          <w:b/>
          <w:bCs/>
          <w:sz w:val="20"/>
          <w:szCs w:val="20"/>
        </w:rPr>
        <w:t>a soba oziroma strežniški prostor</w:t>
      </w:r>
      <w:r w:rsidR="00596B9A">
        <w:rPr>
          <w:rFonts w:ascii="Arial" w:hAnsi="Arial" w:cs="Arial"/>
          <w:sz w:val="20"/>
          <w:szCs w:val="20"/>
        </w:rPr>
        <w:t>, ki</w:t>
      </w:r>
      <w:r w:rsidR="00596B9A" w:rsidRPr="00596B9A">
        <w:t xml:space="preserve"> </w:t>
      </w:r>
      <w:r w:rsidR="00596B9A" w:rsidRPr="00596B9A">
        <w:rPr>
          <w:rFonts w:ascii="Arial" w:hAnsi="Arial" w:cs="Arial"/>
          <w:sz w:val="20"/>
          <w:szCs w:val="20"/>
        </w:rPr>
        <w:t>je soba ali del stavbe, ki služi specifični</w:t>
      </w:r>
      <w:r w:rsidR="00596B9A">
        <w:rPr>
          <w:rFonts w:ascii="Arial" w:hAnsi="Arial" w:cs="Arial"/>
          <w:sz w:val="20"/>
          <w:szCs w:val="20"/>
        </w:rPr>
        <w:t xml:space="preserve"> </w:t>
      </w:r>
      <w:r w:rsidR="00596B9A" w:rsidRPr="00596B9A">
        <w:rPr>
          <w:rFonts w:ascii="Arial" w:hAnsi="Arial" w:cs="Arial"/>
          <w:sz w:val="20"/>
          <w:szCs w:val="20"/>
        </w:rPr>
        <w:t>obremenitvi IT, določeni z gostoto moči</w:t>
      </w:r>
      <w:r w:rsidR="00596B9A">
        <w:rPr>
          <w:rFonts w:ascii="Arial" w:hAnsi="Arial" w:cs="Arial"/>
          <w:sz w:val="20"/>
          <w:szCs w:val="20"/>
        </w:rPr>
        <w:t xml:space="preserve"> </w:t>
      </w:r>
      <w:r w:rsidR="00596B9A" w:rsidRPr="00596B9A">
        <w:rPr>
          <w:rFonts w:ascii="Arial" w:hAnsi="Arial" w:cs="Arial"/>
          <w:sz w:val="20"/>
          <w:szCs w:val="20"/>
        </w:rPr>
        <w:t>opreme v sobi. Običajno se upravlja z informacijsko in komunikacijsko tehnologijo (IKT) ter lahko ima</w:t>
      </w:r>
      <w:r w:rsidR="00596B9A">
        <w:rPr>
          <w:rFonts w:ascii="Arial" w:hAnsi="Arial" w:cs="Arial"/>
          <w:sz w:val="20"/>
          <w:szCs w:val="20"/>
        </w:rPr>
        <w:t xml:space="preserve"> </w:t>
      </w:r>
      <w:r w:rsidR="00596B9A" w:rsidRPr="00596B9A">
        <w:rPr>
          <w:rFonts w:ascii="Arial" w:hAnsi="Arial" w:cs="Arial"/>
          <w:sz w:val="20"/>
          <w:szCs w:val="20"/>
        </w:rPr>
        <w:t>namenske zmogljivosti za napajanje in</w:t>
      </w:r>
      <w:r w:rsidR="00596B9A">
        <w:rPr>
          <w:rFonts w:ascii="Arial" w:hAnsi="Arial" w:cs="Arial"/>
          <w:sz w:val="20"/>
          <w:szCs w:val="20"/>
        </w:rPr>
        <w:t xml:space="preserve"> </w:t>
      </w:r>
      <w:r w:rsidR="00596B9A" w:rsidRPr="00596B9A">
        <w:rPr>
          <w:rFonts w:ascii="Arial" w:hAnsi="Arial" w:cs="Arial"/>
          <w:sz w:val="20"/>
          <w:szCs w:val="20"/>
        </w:rPr>
        <w:t>hlajenje. Strežniške sobe so manjši podjetniški podatkovni centri,</w:t>
      </w:r>
      <w:r w:rsidR="00596B9A">
        <w:rPr>
          <w:rFonts w:ascii="Arial" w:hAnsi="Arial" w:cs="Arial"/>
          <w:sz w:val="20"/>
          <w:szCs w:val="20"/>
        </w:rPr>
        <w:t xml:space="preserve"> </w:t>
      </w:r>
      <w:r w:rsidR="00596B9A" w:rsidRPr="00596B9A">
        <w:rPr>
          <w:rFonts w:ascii="Arial" w:hAnsi="Arial" w:cs="Arial"/>
          <w:sz w:val="20"/>
          <w:szCs w:val="20"/>
        </w:rPr>
        <w:t>ki so običajno na površinah, okvirno manjših od 46m</w:t>
      </w:r>
      <w:r w:rsidR="00596B9A" w:rsidRPr="00893AAD">
        <w:rPr>
          <w:rFonts w:ascii="Arial" w:hAnsi="Arial" w:cs="Arial"/>
          <w:sz w:val="20"/>
          <w:szCs w:val="20"/>
          <w:vertAlign w:val="superscript"/>
        </w:rPr>
        <w:t>2</w:t>
      </w:r>
      <w:r w:rsidR="00596B9A" w:rsidRPr="00596B9A">
        <w:rPr>
          <w:rFonts w:ascii="Arial" w:hAnsi="Arial" w:cs="Arial"/>
          <w:sz w:val="20"/>
          <w:szCs w:val="20"/>
        </w:rPr>
        <w:t xml:space="preserve"> , in so običajno sestavljeni iz do 25 strežniških</w:t>
      </w:r>
      <w:r w:rsidR="00596B9A">
        <w:rPr>
          <w:rFonts w:ascii="Arial" w:hAnsi="Arial" w:cs="Arial"/>
          <w:sz w:val="20"/>
          <w:szCs w:val="20"/>
        </w:rPr>
        <w:t xml:space="preserve"> </w:t>
      </w:r>
      <w:r w:rsidR="00596B9A" w:rsidRPr="00596B9A">
        <w:rPr>
          <w:rFonts w:ascii="Arial" w:hAnsi="Arial" w:cs="Arial"/>
          <w:sz w:val="20"/>
          <w:szCs w:val="20"/>
        </w:rPr>
        <w:t>omar.</w:t>
      </w:r>
    </w:p>
    <w:p w14:paraId="2F28A8BE" w14:textId="77777777" w:rsidR="00596B9A" w:rsidRPr="00853340" w:rsidRDefault="00596B9A" w:rsidP="00596B9A">
      <w:pPr>
        <w:pStyle w:val="Odstavekseznama"/>
        <w:rPr>
          <w:rFonts w:ascii="Arial" w:hAnsi="Arial" w:cs="Arial"/>
          <w:sz w:val="20"/>
          <w:szCs w:val="20"/>
        </w:rPr>
      </w:pPr>
    </w:p>
    <w:p w14:paraId="4F3D8128" w14:textId="743256BB" w:rsidR="00893AAD" w:rsidRPr="00893AAD" w:rsidRDefault="00704B22" w:rsidP="00893AAD">
      <w:pPr>
        <w:pStyle w:val="Odstavekseznama"/>
        <w:numPr>
          <w:ilvl w:val="0"/>
          <w:numId w:val="1"/>
        </w:numPr>
        <w:rPr>
          <w:rFonts w:ascii="Arial" w:hAnsi="Arial" w:cs="Arial"/>
          <w:sz w:val="20"/>
          <w:szCs w:val="20"/>
        </w:rPr>
      </w:pPr>
      <w:r w:rsidRPr="00140B83">
        <w:rPr>
          <w:rFonts w:ascii="Arial" w:hAnsi="Arial" w:cs="Arial"/>
          <w:b/>
          <w:bCs/>
          <w:sz w:val="20"/>
          <w:szCs w:val="20"/>
        </w:rPr>
        <w:t>storit</w:t>
      </w:r>
      <w:r w:rsidR="00893AAD" w:rsidRPr="00140B83">
        <w:rPr>
          <w:rFonts w:ascii="Arial" w:hAnsi="Arial" w:cs="Arial"/>
          <w:b/>
          <w:bCs/>
          <w:sz w:val="20"/>
          <w:szCs w:val="20"/>
        </w:rPr>
        <w:t>ev</w:t>
      </w:r>
      <w:r w:rsidRPr="00140B83">
        <w:rPr>
          <w:rFonts w:ascii="Arial" w:hAnsi="Arial" w:cs="Arial"/>
          <w:b/>
          <w:bCs/>
          <w:sz w:val="20"/>
          <w:szCs w:val="20"/>
        </w:rPr>
        <w:t xml:space="preserve"> v oblaku</w:t>
      </w:r>
      <w:r w:rsidR="00140B83" w:rsidRPr="00140B83">
        <w:rPr>
          <w:rFonts w:ascii="Arial" w:hAnsi="Arial" w:cs="Arial"/>
          <w:sz w:val="20"/>
          <w:szCs w:val="20"/>
        </w:rPr>
        <w:t>,</w:t>
      </w:r>
      <w:r w:rsidR="00140B83">
        <w:rPr>
          <w:rFonts w:ascii="Arial" w:hAnsi="Arial" w:cs="Arial"/>
          <w:b/>
          <w:bCs/>
          <w:sz w:val="20"/>
          <w:szCs w:val="20"/>
        </w:rPr>
        <w:t xml:space="preserve"> </w:t>
      </w:r>
      <w:r w:rsidR="00140B83" w:rsidRPr="00140B83">
        <w:rPr>
          <w:rFonts w:ascii="Arial" w:hAnsi="Arial" w:cs="Arial"/>
          <w:sz w:val="20"/>
          <w:szCs w:val="20"/>
        </w:rPr>
        <w:t>ki</w:t>
      </w:r>
      <w:r w:rsidR="00893AAD">
        <w:rPr>
          <w:rFonts w:ascii="Arial" w:hAnsi="Arial" w:cs="Arial"/>
          <w:sz w:val="20"/>
          <w:szCs w:val="20"/>
        </w:rPr>
        <w:t xml:space="preserve"> </w:t>
      </w:r>
      <w:r w:rsidR="00893AAD" w:rsidRPr="00893AAD">
        <w:t xml:space="preserve"> </w:t>
      </w:r>
      <w:r w:rsidR="00893AAD" w:rsidRPr="00893AAD">
        <w:rPr>
          <w:rFonts w:ascii="Arial" w:hAnsi="Arial" w:cs="Arial"/>
          <w:sz w:val="20"/>
          <w:szCs w:val="20"/>
        </w:rPr>
        <w:t>je opredeljena kot plačilo storitve, ponudnik pa zagotavlja in upravlja strojno in</w:t>
      </w:r>
      <w:r w:rsidR="00893AAD">
        <w:rPr>
          <w:rFonts w:ascii="Arial" w:hAnsi="Arial" w:cs="Arial"/>
          <w:sz w:val="20"/>
          <w:szCs w:val="20"/>
        </w:rPr>
        <w:t xml:space="preserve"> </w:t>
      </w:r>
      <w:r w:rsidR="00893AAD" w:rsidRPr="00893AAD">
        <w:rPr>
          <w:rFonts w:ascii="Arial" w:hAnsi="Arial" w:cs="Arial"/>
          <w:sz w:val="20"/>
          <w:szCs w:val="20"/>
        </w:rPr>
        <w:t>programsko opremo IKT ter opremo podatkovnega centra, potrebno za</w:t>
      </w:r>
      <w:r w:rsidR="003F6173">
        <w:rPr>
          <w:rFonts w:ascii="Arial" w:hAnsi="Arial" w:cs="Arial"/>
          <w:sz w:val="20"/>
          <w:szCs w:val="20"/>
        </w:rPr>
        <w:t xml:space="preserve"> </w:t>
      </w:r>
      <w:r w:rsidR="00893AAD" w:rsidRPr="00893AAD">
        <w:rPr>
          <w:rFonts w:ascii="Arial" w:hAnsi="Arial" w:cs="Arial"/>
          <w:sz w:val="20"/>
          <w:szCs w:val="20"/>
        </w:rPr>
        <w:t>zagotavljanje storitve. To</w:t>
      </w:r>
      <w:r w:rsidR="00893AAD">
        <w:rPr>
          <w:rFonts w:ascii="Arial" w:hAnsi="Arial" w:cs="Arial"/>
          <w:sz w:val="20"/>
          <w:szCs w:val="20"/>
        </w:rPr>
        <w:t xml:space="preserve"> </w:t>
      </w:r>
      <w:r w:rsidR="00893AAD" w:rsidRPr="00893AAD">
        <w:rPr>
          <w:rFonts w:ascii="Arial" w:hAnsi="Arial" w:cs="Arial"/>
          <w:sz w:val="20"/>
          <w:szCs w:val="20"/>
        </w:rPr>
        <w:t>vključuje sogostovanje več strank, ki ima lahko obliko aplikacije v oblaku. S storitvami v oblaku so</w:t>
      </w:r>
      <w:r w:rsidR="00893AAD">
        <w:rPr>
          <w:rFonts w:ascii="Arial" w:hAnsi="Arial" w:cs="Arial"/>
          <w:sz w:val="20"/>
          <w:szCs w:val="20"/>
        </w:rPr>
        <w:t xml:space="preserve"> </w:t>
      </w:r>
      <w:r w:rsidR="00893AAD" w:rsidRPr="00893AAD">
        <w:rPr>
          <w:rFonts w:ascii="Arial" w:hAnsi="Arial" w:cs="Arial"/>
          <w:sz w:val="20"/>
          <w:szCs w:val="20"/>
        </w:rPr>
        <w:t>povezani različni poslovni modeli, vendar je pri tem potrebno poudariti, da se obseg uporabe teh meril</w:t>
      </w:r>
      <w:r w:rsidR="00893AAD">
        <w:rPr>
          <w:rFonts w:ascii="Arial" w:hAnsi="Arial" w:cs="Arial"/>
          <w:sz w:val="20"/>
          <w:szCs w:val="20"/>
        </w:rPr>
        <w:t xml:space="preserve"> </w:t>
      </w:r>
      <w:r w:rsidR="00893AAD" w:rsidRPr="00893AAD">
        <w:rPr>
          <w:rFonts w:ascii="Arial" w:hAnsi="Arial" w:cs="Arial"/>
          <w:sz w:val="20"/>
          <w:szCs w:val="20"/>
        </w:rPr>
        <w:t>nanaša samo na sestavni del podatkovnega centra. Najpogostejše storitve v oblaku so:</w:t>
      </w:r>
    </w:p>
    <w:p w14:paraId="60C04731" w14:textId="1B972B20" w:rsidR="00893AAD" w:rsidRPr="00893AAD" w:rsidRDefault="00893AAD" w:rsidP="003F6173">
      <w:pPr>
        <w:pStyle w:val="Odstavekseznama"/>
        <w:numPr>
          <w:ilvl w:val="1"/>
          <w:numId w:val="17"/>
        </w:numPr>
        <w:jc w:val="both"/>
        <w:rPr>
          <w:rFonts w:ascii="Arial" w:hAnsi="Arial" w:cs="Arial"/>
          <w:sz w:val="20"/>
          <w:szCs w:val="20"/>
        </w:rPr>
      </w:pPr>
      <w:r w:rsidRPr="00893AAD">
        <w:rPr>
          <w:rFonts w:ascii="Arial" w:hAnsi="Arial" w:cs="Arial"/>
          <w:sz w:val="20"/>
          <w:szCs w:val="20"/>
        </w:rPr>
        <w:t>infrastruktura kot storitev (IaaS): ponudnik storitve nudi strankam dostop do pomnilnikov, omrežij,</w:t>
      </w:r>
      <w:r>
        <w:rPr>
          <w:rFonts w:ascii="Arial" w:hAnsi="Arial" w:cs="Arial"/>
          <w:sz w:val="20"/>
          <w:szCs w:val="20"/>
        </w:rPr>
        <w:t xml:space="preserve"> </w:t>
      </w:r>
      <w:r w:rsidRPr="00893AAD">
        <w:rPr>
          <w:rFonts w:ascii="Arial" w:hAnsi="Arial" w:cs="Arial"/>
          <w:sz w:val="20"/>
          <w:szCs w:val="20"/>
        </w:rPr>
        <w:t>strežnikov in drugih računalniških virov v oblaku na podlagi sprotnega plačila.</w:t>
      </w:r>
    </w:p>
    <w:p w14:paraId="59E6BA6A" w14:textId="156A3384" w:rsidR="00893AAD" w:rsidRPr="00893AAD" w:rsidRDefault="00893AAD" w:rsidP="003F6173">
      <w:pPr>
        <w:pStyle w:val="Odstavekseznama"/>
        <w:numPr>
          <w:ilvl w:val="1"/>
          <w:numId w:val="17"/>
        </w:numPr>
        <w:jc w:val="both"/>
        <w:rPr>
          <w:rFonts w:ascii="Arial" w:hAnsi="Arial" w:cs="Arial"/>
          <w:sz w:val="20"/>
          <w:szCs w:val="20"/>
        </w:rPr>
      </w:pPr>
      <w:r w:rsidRPr="00893AAD">
        <w:rPr>
          <w:rFonts w:ascii="Arial" w:hAnsi="Arial" w:cs="Arial"/>
          <w:sz w:val="20"/>
          <w:szCs w:val="20"/>
        </w:rPr>
        <w:t>platforma kot storitev (PaaS): ponudnik storitve nudi strankam dostop do okolja v oblaku, v katerem</w:t>
      </w:r>
      <w:r>
        <w:rPr>
          <w:rFonts w:ascii="Arial" w:hAnsi="Arial" w:cs="Arial"/>
          <w:sz w:val="20"/>
          <w:szCs w:val="20"/>
        </w:rPr>
        <w:t xml:space="preserve"> </w:t>
      </w:r>
      <w:r w:rsidRPr="00893AAD">
        <w:rPr>
          <w:rFonts w:ascii="Arial" w:hAnsi="Arial" w:cs="Arial"/>
          <w:sz w:val="20"/>
          <w:szCs w:val="20"/>
        </w:rPr>
        <w:t>lahko uporabniki razvijajo in nudijo aplikacije. Ponudnik zagotavlja tudi temeljno infrastrukturo.</w:t>
      </w:r>
    </w:p>
    <w:p w14:paraId="6FEF6DAB" w14:textId="0B92A6BB" w:rsidR="00704B22" w:rsidRDefault="00893AAD" w:rsidP="003F6173">
      <w:pPr>
        <w:pStyle w:val="Odstavekseznama"/>
        <w:numPr>
          <w:ilvl w:val="1"/>
          <w:numId w:val="17"/>
        </w:numPr>
        <w:jc w:val="both"/>
        <w:rPr>
          <w:rFonts w:ascii="Arial" w:hAnsi="Arial" w:cs="Arial"/>
          <w:sz w:val="20"/>
          <w:szCs w:val="20"/>
        </w:rPr>
      </w:pPr>
      <w:r w:rsidRPr="00893AAD">
        <w:rPr>
          <w:rFonts w:ascii="Arial" w:hAnsi="Arial" w:cs="Arial"/>
          <w:sz w:val="20"/>
          <w:szCs w:val="20"/>
        </w:rPr>
        <w:t>programska oprema kot storitev (SaaS): ponudnik storitve nudi programsko opremo in aplikacije</w:t>
      </w:r>
      <w:r>
        <w:rPr>
          <w:rFonts w:ascii="Arial" w:hAnsi="Arial" w:cs="Arial"/>
          <w:sz w:val="20"/>
          <w:szCs w:val="20"/>
        </w:rPr>
        <w:t xml:space="preserve"> </w:t>
      </w:r>
      <w:r w:rsidRPr="00893AAD">
        <w:rPr>
          <w:rFonts w:ascii="Arial" w:hAnsi="Arial" w:cs="Arial"/>
          <w:sz w:val="20"/>
          <w:szCs w:val="20"/>
        </w:rPr>
        <w:t>preko interneta. Uporabniki se naročijo na programsko opremo in dostopajo do nje preko spleta ali</w:t>
      </w:r>
      <w:r>
        <w:rPr>
          <w:rFonts w:ascii="Arial" w:hAnsi="Arial" w:cs="Arial"/>
          <w:sz w:val="20"/>
          <w:szCs w:val="20"/>
        </w:rPr>
        <w:t xml:space="preserve"> </w:t>
      </w:r>
      <w:r w:rsidRPr="00893AAD">
        <w:rPr>
          <w:rFonts w:ascii="Arial" w:hAnsi="Arial" w:cs="Arial"/>
          <w:sz w:val="20"/>
          <w:szCs w:val="20"/>
        </w:rPr>
        <w:t>aplikacijskih programskih vmesnikov ponudnika</w:t>
      </w:r>
      <w:r>
        <w:rPr>
          <w:rFonts w:ascii="Arial" w:hAnsi="Arial" w:cs="Arial"/>
          <w:sz w:val="20"/>
          <w:szCs w:val="20"/>
        </w:rPr>
        <w:t>.</w:t>
      </w:r>
    </w:p>
    <w:p w14:paraId="4F9D5A9E" w14:textId="77777777" w:rsidR="00112623" w:rsidRDefault="00112623" w:rsidP="00112623">
      <w:pPr>
        <w:jc w:val="both"/>
        <w:rPr>
          <w:rFonts w:ascii="Arial" w:eastAsia="Arial" w:hAnsi="Arial" w:cs="Arial"/>
          <w:bCs/>
          <w:sz w:val="20"/>
          <w:szCs w:val="20"/>
        </w:rPr>
      </w:pPr>
    </w:p>
    <w:p w14:paraId="045BB0C9" w14:textId="1AF1F6FF" w:rsidR="00112623" w:rsidRPr="001A5258" w:rsidRDefault="00112623" w:rsidP="00112623">
      <w:pPr>
        <w:jc w:val="both"/>
        <w:rPr>
          <w:rFonts w:ascii="Arial" w:eastAsia="Arial" w:hAnsi="Arial" w:cs="Arial"/>
          <w:b/>
          <w:sz w:val="20"/>
          <w:szCs w:val="20"/>
        </w:rPr>
      </w:pPr>
      <w:r w:rsidRPr="001A5258">
        <w:rPr>
          <w:rFonts w:ascii="Arial" w:eastAsia="Arial" w:hAnsi="Arial" w:cs="Arial"/>
          <w:b/>
          <w:sz w:val="20"/>
          <w:szCs w:val="20"/>
        </w:rPr>
        <w:t xml:space="preserve">Obvezne zahteve po Uredbo o ZeJN so v teh primerih označene z </w:t>
      </w:r>
      <w:r w:rsidRPr="001A5258">
        <w:rPr>
          <w:rFonts w:ascii="Arial" w:eastAsia="Arial" w:hAnsi="Arial" w:cs="Arial"/>
          <w:b/>
          <w:color w:val="EE0000"/>
          <w:sz w:val="20"/>
          <w:szCs w:val="20"/>
        </w:rPr>
        <w:t xml:space="preserve">rdečo </w:t>
      </w:r>
      <w:r w:rsidRPr="001A5258">
        <w:rPr>
          <w:rFonts w:ascii="Arial" w:eastAsia="Arial" w:hAnsi="Arial" w:cs="Arial"/>
          <w:b/>
          <w:sz w:val="20"/>
          <w:szCs w:val="20"/>
        </w:rPr>
        <w:t>barvo, vse ostale primere okoljskih zahtev in meril naročniki vključujejo v postopke javnih naročil prostovoljno.</w:t>
      </w:r>
    </w:p>
    <w:p w14:paraId="444B1A45" w14:textId="77777777" w:rsidR="00112623" w:rsidRPr="00112623" w:rsidRDefault="00112623" w:rsidP="00112623">
      <w:pPr>
        <w:jc w:val="both"/>
        <w:rPr>
          <w:rFonts w:ascii="Arial" w:hAnsi="Arial" w:cs="Arial"/>
          <w:sz w:val="20"/>
          <w:szCs w:val="20"/>
        </w:rPr>
      </w:pPr>
    </w:p>
    <w:p w14:paraId="6DD53020" w14:textId="77777777" w:rsidR="004A404C" w:rsidRPr="00FE5C24" w:rsidRDefault="004A404C" w:rsidP="00FE5C24">
      <w:pPr>
        <w:spacing w:after="0" w:line="240" w:lineRule="auto"/>
        <w:jc w:val="both"/>
        <w:rPr>
          <w:rFonts w:ascii="Arial" w:hAnsi="Arial" w:cs="Arial"/>
          <w:sz w:val="20"/>
          <w:szCs w:val="20"/>
        </w:rPr>
      </w:pPr>
    </w:p>
    <w:p w14:paraId="52C482AE" w14:textId="112706AD" w:rsidR="00704B22" w:rsidRPr="00E577F6" w:rsidRDefault="00704B22" w:rsidP="00E577F6">
      <w:pPr>
        <w:pStyle w:val="Naslov1"/>
        <w:numPr>
          <w:ilvl w:val="0"/>
          <w:numId w:val="43"/>
        </w:numPr>
        <w:rPr>
          <w:rFonts w:ascii="Arial" w:eastAsia="Arial" w:hAnsi="Arial" w:cs="Arial"/>
          <w:b/>
          <w:bCs/>
          <w:color w:val="385623" w:themeColor="accent6" w:themeShade="80"/>
          <w:sz w:val="20"/>
          <w:szCs w:val="20"/>
        </w:rPr>
      </w:pPr>
      <w:r w:rsidRPr="00E577F6">
        <w:rPr>
          <w:rFonts w:ascii="Arial" w:eastAsia="Arial" w:hAnsi="Arial" w:cs="Arial"/>
          <w:b/>
          <w:bCs/>
          <w:color w:val="385623" w:themeColor="accent6" w:themeShade="80"/>
          <w:sz w:val="20"/>
          <w:szCs w:val="20"/>
        </w:rPr>
        <w:t>Ključni okoljski vplivi</w:t>
      </w:r>
    </w:p>
    <w:p w14:paraId="6696C574" w14:textId="77777777" w:rsidR="00CC03FE" w:rsidRDefault="00CC03FE" w:rsidP="00CC03FE">
      <w:pPr>
        <w:pStyle w:val="Odstavekseznama"/>
        <w:jc w:val="both"/>
        <w:rPr>
          <w:rFonts w:ascii="Arial" w:eastAsia="Arial" w:hAnsi="Arial" w:cs="Arial"/>
          <w:b/>
          <w:color w:val="385522"/>
          <w:spacing w:val="1"/>
          <w:kern w:val="0"/>
          <w:sz w:val="20"/>
          <w:szCs w:val="20"/>
          <w14:ligatures w14:val="none"/>
        </w:rPr>
      </w:pPr>
    </w:p>
    <w:p w14:paraId="3DC71090" w14:textId="11C52B91" w:rsidR="00CC03FE" w:rsidRPr="00CC03FE" w:rsidRDefault="00CC03FE" w:rsidP="00CC03FE">
      <w:pPr>
        <w:pStyle w:val="Odstavekseznama"/>
        <w:numPr>
          <w:ilvl w:val="0"/>
          <w:numId w:val="18"/>
        </w:numPr>
        <w:jc w:val="both"/>
        <w:rPr>
          <w:rFonts w:ascii="Arial" w:eastAsia="Arial" w:hAnsi="Arial" w:cs="Arial"/>
          <w:bCs/>
          <w:spacing w:val="1"/>
          <w:kern w:val="0"/>
          <w:sz w:val="20"/>
          <w:szCs w:val="20"/>
          <w14:ligatures w14:val="none"/>
        </w:rPr>
      </w:pPr>
      <w:r w:rsidRPr="00CC03FE">
        <w:rPr>
          <w:rFonts w:ascii="Arial" w:eastAsia="Arial" w:hAnsi="Arial" w:cs="Arial"/>
          <w:bCs/>
          <w:spacing w:val="1"/>
          <w:kern w:val="0"/>
          <w:sz w:val="20"/>
          <w:szCs w:val="20"/>
          <w14:ligatures w14:val="none"/>
        </w:rPr>
        <w:t>Poraba električne energije sistemov IT (predvsem zaradi delovanja strežnikov)</w:t>
      </w:r>
      <w:r>
        <w:rPr>
          <w:rFonts w:ascii="Arial" w:eastAsia="Arial" w:hAnsi="Arial" w:cs="Arial"/>
          <w:bCs/>
          <w:spacing w:val="1"/>
          <w:kern w:val="0"/>
          <w:sz w:val="20"/>
          <w:szCs w:val="20"/>
          <w14:ligatures w14:val="none"/>
        </w:rPr>
        <w:t>;</w:t>
      </w:r>
    </w:p>
    <w:p w14:paraId="18D34A71" w14:textId="2FDD5BA8" w:rsidR="00CC03FE" w:rsidRPr="00CC03FE" w:rsidRDefault="00CC03FE" w:rsidP="00CC03FE">
      <w:pPr>
        <w:pStyle w:val="Odstavekseznama"/>
        <w:numPr>
          <w:ilvl w:val="0"/>
          <w:numId w:val="18"/>
        </w:numPr>
        <w:jc w:val="both"/>
        <w:rPr>
          <w:rFonts w:ascii="Arial" w:eastAsia="Arial" w:hAnsi="Arial" w:cs="Arial"/>
          <w:bCs/>
          <w:spacing w:val="1"/>
          <w:kern w:val="0"/>
          <w:sz w:val="20"/>
          <w:szCs w:val="20"/>
          <w14:ligatures w14:val="none"/>
        </w:rPr>
      </w:pPr>
      <w:r w:rsidRPr="00CC03FE">
        <w:rPr>
          <w:rFonts w:ascii="Arial" w:eastAsia="Arial" w:hAnsi="Arial" w:cs="Arial"/>
          <w:bCs/>
          <w:spacing w:val="1"/>
          <w:kern w:val="0"/>
          <w:sz w:val="20"/>
          <w:szCs w:val="20"/>
          <w14:ligatures w14:val="none"/>
        </w:rPr>
        <w:t>Poraba električne energije mehanskega in električnega sistema, ki je potrebna predvsem za nadzorovanje notranjih okoljskih pogojev podatkovnega centra</w:t>
      </w:r>
      <w:r>
        <w:rPr>
          <w:rFonts w:ascii="Arial" w:eastAsia="Arial" w:hAnsi="Arial" w:cs="Arial"/>
          <w:bCs/>
          <w:spacing w:val="1"/>
          <w:kern w:val="0"/>
          <w:sz w:val="20"/>
          <w:szCs w:val="20"/>
          <w14:ligatures w14:val="none"/>
        </w:rPr>
        <w:t>;</w:t>
      </w:r>
    </w:p>
    <w:p w14:paraId="7CDB9AA1" w14:textId="7FA4E2CC" w:rsidR="00CC03FE" w:rsidRPr="00CC03FE" w:rsidRDefault="00CC03FE" w:rsidP="00CC03FE">
      <w:pPr>
        <w:pStyle w:val="Odstavekseznama"/>
        <w:numPr>
          <w:ilvl w:val="0"/>
          <w:numId w:val="18"/>
        </w:numPr>
        <w:jc w:val="both"/>
        <w:rPr>
          <w:rFonts w:ascii="Arial" w:eastAsia="Arial" w:hAnsi="Arial" w:cs="Arial"/>
          <w:bCs/>
          <w:spacing w:val="1"/>
          <w:kern w:val="0"/>
          <w:sz w:val="20"/>
          <w:szCs w:val="20"/>
          <w14:ligatures w14:val="none"/>
        </w:rPr>
      </w:pPr>
      <w:r w:rsidRPr="00CC03FE">
        <w:rPr>
          <w:rFonts w:ascii="Arial" w:eastAsia="Arial" w:hAnsi="Arial" w:cs="Arial"/>
          <w:bCs/>
          <w:spacing w:val="1"/>
          <w:kern w:val="0"/>
          <w:sz w:val="20"/>
          <w:szCs w:val="20"/>
          <w14:ligatures w14:val="none"/>
        </w:rPr>
        <w:t>Ustvarjanje morebitnih nevarnosti zaradi neprimernega odlaganja odpadne elektronske opreme in povezane izgube dragocenih materialnih virov, vključno z najpomembnejšimi surovinami</w:t>
      </w:r>
      <w:r>
        <w:rPr>
          <w:rFonts w:ascii="Arial" w:eastAsia="Arial" w:hAnsi="Arial" w:cs="Arial"/>
          <w:bCs/>
          <w:spacing w:val="1"/>
          <w:kern w:val="0"/>
          <w:sz w:val="20"/>
          <w:szCs w:val="20"/>
          <w14:ligatures w14:val="none"/>
        </w:rPr>
        <w:t>;</w:t>
      </w:r>
    </w:p>
    <w:p w14:paraId="0FC7FA91" w14:textId="01DCF6EA" w:rsidR="00CC03FE" w:rsidRPr="00CC03FE" w:rsidRDefault="00CC03FE" w:rsidP="00CC03FE">
      <w:pPr>
        <w:pStyle w:val="Odstavekseznama"/>
        <w:numPr>
          <w:ilvl w:val="0"/>
          <w:numId w:val="18"/>
        </w:numPr>
        <w:jc w:val="both"/>
        <w:rPr>
          <w:rFonts w:ascii="Arial" w:eastAsia="Arial" w:hAnsi="Arial" w:cs="Arial"/>
          <w:bCs/>
          <w:spacing w:val="1"/>
          <w:kern w:val="0"/>
          <w:sz w:val="20"/>
          <w:szCs w:val="20"/>
          <w14:ligatures w14:val="none"/>
        </w:rPr>
      </w:pPr>
      <w:r w:rsidRPr="00CC03FE">
        <w:rPr>
          <w:rFonts w:ascii="Arial" w:eastAsia="Arial" w:hAnsi="Arial" w:cs="Arial"/>
          <w:bCs/>
          <w:spacing w:val="1"/>
          <w:kern w:val="0"/>
          <w:sz w:val="20"/>
          <w:szCs w:val="20"/>
          <w14:ligatures w14:val="none"/>
        </w:rPr>
        <w:t>Poraba električne energije in materialov za proizvajanje uporabljene opreme IKT</w:t>
      </w:r>
      <w:r>
        <w:rPr>
          <w:rFonts w:ascii="Arial" w:eastAsia="Arial" w:hAnsi="Arial" w:cs="Arial"/>
          <w:bCs/>
          <w:spacing w:val="1"/>
          <w:kern w:val="0"/>
          <w:sz w:val="20"/>
          <w:szCs w:val="20"/>
          <w14:ligatures w14:val="none"/>
        </w:rPr>
        <w:t>;</w:t>
      </w:r>
    </w:p>
    <w:p w14:paraId="05E44BB2" w14:textId="36A6A9F6" w:rsidR="00CC03FE" w:rsidRPr="00CC03FE" w:rsidRDefault="00CC03FE" w:rsidP="00CC03FE">
      <w:pPr>
        <w:pStyle w:val="Odstavekseznama"/>
        <w:numPr>
          <w:ilvl w:val="0"/>
          <w:numId w:val="18"/>
        </w:numPr>
        <w:jc w:val="both"/>
        <w:rPr>
          <w:rFonts w:ascii="Arial" w:eastAsia="Arial" w:hAnsi="Arial" w:cs="Arial"/>
          <w:bCs/>
          <w:spacing w:val="1"/>
          <w:kern w:val="0"/>
          <w:sz w:val="20"/>
          <w:szCs w:val="20"/>
          <w14:ligatures w14:val="none"/>
        </w:rPr>
      </w:pPr>
      <w:r w:rsidRPr="00CC03FE">
        <w:rPr>
          <w:rFonts w:ascii="Arial" w:eastAsia="Arial" w:hAnsi="Arial" w:cs="Arial"/>
          <w:bCs/>
          <w:spacing w:val="1"/>
          <w:kern w:val="0"/>
          <w:sz w:val="20"/>
          <w:szCs w:val="20"/>
          <w14:ligatures w14:val="none"/>
        </w:rPr>
        <w:t>Uporaba plinov z visokim potencialom globalnega segrevanja (GWP) v hladilnih sistemih</w:t>
      </w:r>
      <w:r>
        <w:rPr>
          <w:rFonts w:ascii="Arial" w:eastAsia="Arial" w:hAnsi="Arial" w:cs="Arial"/>
          <w:bCs/>
          <w:spacing w:val="1"/>
          <w:kern w:val="0"/>
          <w:sz w:val="20"/>
          <w:szCs w:val="20"/>
          <w14:ligatures w14:val="none"/>
        </w:rPr>
        <w:t>;</w:t>
      </w:r>
    </w:p>
    <w:p w14:paraId="29D6A144" w14:textId="2F8F9AA0" w:rsidR="00CC03FE" w:rsidRPr="00CC03FE" w:rsidRDefault="00CC03FE" w:rsidP="00CC03FE">
      <w:pPr>
        <w:pStyle w:val="Odstavekseznama"/>
        <w:numPr>
          <w:ilvl w:val="0"/>
          <w:numId w:val="18"/>
        </w:numPr>
        <w:jc w:val="both"/>
        <w:rPr>
          <w:rFonts w:ascii="Arial" w:eastAsia="Arial" w:hAnsi="Arial" w:cs="Arial"/>
          <w:bCs/>
          <w:spacing w:val="1"/>
          <w:kern w:val="0"/>
          <w:sz w:val="20"/>
          <w:szCs w:val="20"/>
          <w14:ligatures w14:val="none"/>
        </w:rPr>
      </w:pPr>
      <w:r w:rsidRPr="00CC03FE">
        <w:rPr>
          <w:rFonts w:ascii="Arial" w:eastAsia="Arial" w:hAnsi="Arial" w:cs="Arial"/>
          <w:bCs/>
          <w:spacing w:val="1"/>
          <w:kern w:val="0"/>
          <w:sz w:val="20"/>
          <w:szCs w:val="20"/>
          <w14:ligatures w14:val="none"/>
        </w:rPr>
        <w:t>Neposredne in posredne emisije toplogrednih plinov (GHG), povezane z delovanjem podatkovnih centrov, vključno s porabo električne energije, hladilnimi sredstvi, proizvodnjo sistemov IKT in neizkoriščenim potencialom ponovne uporabe odpadne toplote.</w:t>
      </w:r>
    </w:p>
    <w:p w14:paraId="77FE14C6" w14:textId="77777777" w:rsidR="00E3435A" w:rsidRPr="00853340" w:rsidRDefault="00E3435A" w:rsidP="00E3435A">
      <w:pPr>
        <w:pStyle w:val="Odstavekseznama"/>
        <w:jc w:val="both"/>
        <w:rPr>
          <w:rFonts w:ascii="Arial" w:hAnsi="Arial" w:cs="Arial"/>
          <w:sz w:val="20"/>
          <w:szCs w:val="20"/>
        </w:rPr>
      </w:pPr>
    </w:p>
    <w:p w14:paraId="283E77FD" w14:textId="21F45CC7" w:rsidR="00704B22" w:rsidRPr="00E577F6" w:rsidRDefault="00704B22" w:rsidP="00E577F6">
      <w:pPr>
        <w:pStyle w:val="Naslov1"/>
        <w:numPr>
          <w:ilvl w:val="0"/>
          <w:numId w:val="43"/>
        </w:numPr>
        <w:rPr>
          <w:rFonts w:ascii="Arial" w:hAnsi="Arial" w:cs="Arial"/>
          <w:b/>
          <w:bCs/>
          <w:color w:val="385623" w:themeColor="accent6" w:themeShade="80"/>
          <w:sz w:val="20"/>
          <w:szCs w:val="20"/>
        </w:rPr>
      </w:pPr>
      <w:r w:rsidRPr="00E577F6">
        <w:rPr>
          <w:rFonts w:ascii="Arial" w:eastAsia="Arial" w:hAnsi="Arial" w:cs="Arial"/>
          <w:b/>
          <w:bCs/>
          <w:color w:val="385623" w:themeColor="accent6" w:themeShade="80"/>
          <w:sz w:val="20"/>
          <w:szCs w:val="20"/>
        </w:rPr>
        <w:t>Pristop k ZeJN</w:t>
      </w:r>
    </w:p>
    <w:p w14:paraId="2269BACF" w14:textId="77777777" w:rsidR="006F1CF4" w:rsidRPr="006F1CF4" w:rsidRDefault="006F1CF4" w:rsidP="006F1CF4">
      <w:pPr>
        <w:pStyle w:val="Odstavekseznama"/>
        <w:jc w:val="both"/>
        <w:rPr>
          <w:rFonts w:ascii="Arial" w:hAnsi="Arial" w:cs="Arial"/>
          <w:sz w:val="20"/>
          <w:szCs w:val="20"/>
        </w:rPr>
      </w:pPr>
    </w:p>
    <w:p w14:paraId="593C431E" w14:textId="50CA5F3A" w:rsidR="006F1CF4" w:rsidRPr="006F1CF4" w:rsidRDefault="006F1CF4" w:rsidP="006F1CF4">
      <w:pPr>
        <w:pStyle w:val="Odstavekseznama"/>
        <w:numPr>
          <w:ilvl w:val="0"/>
          <w:numId w:val="19"/>
        </w:numPr>
        <w:jc w:val="both"/>
        <w:rPr>
          <w:rFonts w:ascii="Arial" w:hAnsi="Arial" w:cs="Arial"/>
          <w:sz w:val="20"/>
          <w:szCs w:val="20"/>
        </w:rPr>
      </w:pPr>
      <w:r w:rsidRPr="006F1CF4">
        <w:rPr>
          <w:rFonts w:ascii="Arial" w:hAnsi="Arial" w:cs="Arial"/>
          <w:sz w:val="20"/>
          <w:szCs w:val="20"/>
        </w:rPr>
        <w:t>Kupiti je treba energetsko učinkovite strežnike</w:t>
      </w:r>
      <w:r>
        <w:rPr>
          <w:rFonts w:ascii="Arial" w:hAnsi="Arial" w:cs="Arial"/>
          <w:sz w:val="20"/>
          <w:szCs w:val="20"/>
        </w:rPr>
        <w:t>;</w:t>
      </w:r>
    </w:p>
    <w:p w14:paraId="77E7AFA9" w14:textId="5C07FB01" w:rsidR="006F1CF4" w:rsidRPr="006F1CF4" w:rsidRDefault="006F1CF4" w:rsidP="006F1CF4">
      <w:pPr>
        <w:pStyle w:val="Odstavekseznama"/>
        <w:numPr>
          <w:ilvl w:val="0"/>
          <w:numId w:val="19"/>
        </w:numPr>
        <w:jc w:val="both"/>
        <w:rPr>
          <w:rFonts w:ascii="Arial" w:hAnsi="Arial" w:cs="Arial"/>
          <w:sz w:val="20"/>
          <w:szCs w:val="20"/>
        </w:rPr>
      </w:pPr>
      <w:r w:rsidRPr="006F1CF4">
        <w:rPr>
          <w:rFonts w:ascii="Arial" w:hAnsi="Arial" w:cs="Arial"/>
          <w:sz w:val="20"/>
          <w:szCs w:val="20"/>
        </w:rPr>
        <w:t>Kupiti je treba storitve za optimalno izkoriščenje strežnikov</w:t>
      </w:r>
      <w:r>
        <w:rPr>
          <w:rFonts w:ascii="Arial" w:hAnsi="Arial" w:cs="Arial"/>
          <w:sz w:val="20"/>
          <w:szCs w:val="20"/>
        </w:rPr>
        <w:t>;</w:t>
      </w:r>
    </w:p>
    <w:p w14:paraId="0E4AD777" w14:textId="4C827FF8" w:rsidR="006F1CF4" w:rsidRPr="006F1CF4" w:rsidRDefault="006F1CF4" w:rsidP="006F1CF4">
      <w:pPr>
        <w:pStyle w:val="Odstavekseznama"/>
        <w:numPr>
          <w:ilvl w:val="0"/>
          <w:numId w:val="19"/>
        </w:numPr>
        <w:jc w:val="both"/>
        <w:rPr>
          <w:rFonts w:ascii="Arial" w:hAnsi="Arial" w:cs="Arial"/>
          <w:sz w:val="20"/>
          <w:szCs w:val="20"/>
        </w:rPr>
      </w:pPr>
      <w:r w:rsidRPr="006F1CF4">
        <w:rPr>
          <w:rFonts w:ascii="Arial" w:hAnsi="Arial" w:cs="Arial"/>
          <w:sz w:val="20"/>
          <w:szCs w:val="20"/>
        </w:rPr>
        <w:t>Kupiti je treba izdelke, ki nadzirajo omejene snovi v nevarnih sestavinah</w:t>
      </w:r>
      <w:r>
        <w:rPr>
          <w:rFonts w:ascii="Arial" w:hAnsi="Arial" w:cs="Arial"/>
          <w:sz w:val="20"/>
          <w:szCs w:val="20"/>
        </w:rPr>
        <w:t>;</w:t>
      </w:r>
    </w:p>
    <w:p w14:paraId="6838A773" w14:textId="16A7123D" w:rsidR="006F1CF4" w:rsidRPr="006F1CF4" w:rsidRDefault="006F1CF4" w:rsidP="006F1CF4">
      <w:pPr>
        <w:pStyle w:val="Odstavekseznama"/>
        <w:numPr>
          <w:ilvl w:val="0"/>
          <w:numId w:val="19"/>
        </w:numPr>
        <w:jc w:val="both"/>
        <w:rPr>
          <w:rFonts w:ascii="Arial" w:hAnsi="Arial" w:cs="Arial"/>
          <w:sz w:val="20"/>
          <w:szCs w:val="20"/>
        </w:rPr>
      </w:pPr>
      <w:r w:rsidRPr="006F1CF4">
        <w:rPr>
          <w:rFonts w:ascii="Arial" w:hAnsi="Arial" w:cs="Arial"/>
          <w:sz w:val="20"/>
          <w:szCs w:val="20"/>
        </w:rPr>
        <w:t>Kupiti je treba proizvode, ki so zasnovani tako, da je ključne sestavne dele mogoče popraviti in/ali nadgraditi</w:t>
      </w:r>
      <w:r>
        <w:rPr>
          <w:rFonts w:ascii="Arial" w:hAnsi="Arial" w:cs="Arial"/>
          <w:sz w:val="20"/>
          <w:szCs w:val="20"/>
        </w:rPr>
        <w:t>;</w:t>
      </w:r>
    </w:p>
    <w:p w14:paraId="607CE1F5" w14:textId="3E9B05B7" w:rsidR="006F1CF4" w:rsidRPr="006F1CF4" w:rsidRDefault="006F1CF4" w:rsidP="006F1CF4">
      <w:pPr>
        <w:pStyle w:val="Odstavekseznama"/>
        <w:numPr>
          <w:ilvl w:val="0"/>
          <w:numId w:val="19"/>
        </w:numPr>
        <w:jc w:val="both"/>
        <w:rPr>
          <w:rFonts w:ascii="Arial" w:hAnsi="Arial" w:cs="Arial"/>
          <w:sz w:val="20"/>
          <w:szCs w:val="20"/>
        </w:rPr>
      </w:pPr>
      <w:r w:rsidRPr="006F1CF4">
        <w:rPr>
          <w:rFonts w:ascii="Arial" w:hAnsi="Arial" w:cs="Arial"/>
          <w:sz w:val="20"/>
          <w:szCs w:val="20"/>
        </w:rPr>
        <w:t>Zahtevati je treba postopke za upravljanje izrabljenih izdelkov, da se poveča ponovna uporaba virov</w:t>
      </w:r>
      <w:r>
        <w:rPr>
          <w:rFonts w:ascii="Arial" w:hAnsi="Arial" w:cs="Arial"/>
          <w:sz w:val="20"/>
          <w:szCs w:val="20"/>
        </w:rPr>
        <w:t>;</w:t>
      </w:r>
    </w:p>
    <w:p w14:paraId="31F56585" w14:textId="4966AC60" w:rsidR="006F1CF4" w:rsidRPr="006F1CF4" w:rsidRDefault="006F1CF4" w:rsidP="006F1CF4">
      <w:pPr>
        <w:pStyle w:val="Odstavekseznama"/>
        <w:numPr>
          <w:ilvl w:val="0"/>
          <w:numId w:val="19"/>
        </w:numPr>
        <w:jc w:val="both"/>
        <w:rPr>
          <w:rFonts w:ascii="Arial" w:hAnsi="Arial" w:cs="Arial"/>
          <w:sz w:val="20"/>
          <w:szCs w:val="20"/>
        </w:rPr>
      </w:pPr>
      <w:r w:rsidRPr="006F1CF4">
        <w:rPr>
          <w:rFonts w:ascii="Arial" w:hAnsi="Arial" w:cs="Arial"/>
          <w:sz w:val="20"/>
          <w:szCs w:val="20"/>
        </w:rPr>
        <w:t>Nabaviti je treba storitve načrtovanja in gradnje z visoko energetsko učinkovitostjo, vključno s kar največjo učinkovitostjo mehanskega in električnega sistema</w:t>
      </w:r>
      <w:r>
        <w:rPr>
          <w:rFonts w:ascii="Arial" w:hAnsi="Arial" w:cs="Arial"/>
          <w:sz w:val="20"/>
          <w:szCs w:val="20"/>
        </w:rPr>
        <w:t>;</w:t>
      </w:r>
    </w:p>
    <w:p w14:paraId="2E448046" w14:textId="3F4F3005" w:rsidR="006F1CF4" w:rsidRPr="006F1CF4" w:rsidRDefault="006F1CF4" w:rsidP="006F1CF4">
      <w:pPr>
        <w:pStyle w:val="Odstavekseznama"/>
        <w:numPr>
          <w:ilvl w:val="0"/>
          <w:numId w:val="19"/>
        </w:numPr>
        <w:jc w:val="both"/>
        <w:rPr>
          <w:rFonts w:ascii="Arial" w:hAnsi="Arial" w:cs="Arial"/>
          <w:sz w:val="20"/>
          <w:szCs w:val="20"/>
        </w:rPr>
      </w:pPr>
      <w:r w:rsidRPr="006F1CF4">
        <w:rPr>
          <w:rFonts w:ascii="Arial" w:hAnsi="Arial" w:cs="Arial"/>
          <w:sz w:val="20"/>
          <w:szCs w:val="20"/>
        </w:rPr>
        <w:t>Zahtevati je treba, da se za obratovanje hladilnih sistemov uporabljajo najboljše prakse na področju energetske učinkovitosti, vključno s spremljanjem in uporabo prostega hlajenja</w:t>
      </w:r>
      <w:r>
        <w:rPr>
          <w:rFonts w:ascii="Arial" w:hAnsi="Arial" w:cs="Arial"/>
          <w:sz w:val="20"/>
          <w:szCs w:val="20"/>
        </w:rPr>
        <w:t>;</w:t>
      </w:r>
    </w:p>
    <w:p w14:paraId="14F9D8EC" w14:textId="6C613D9F" w:rsidR="006F1CF4" w:rsidRPr="006F1CF4" w:rsidRDefault="006F1CF4" w:rsidP="006F1CF4">
      <w:pPr>
        <w:pStyle w:val="Odstavekseznama"/>
        <w:numPr>
          <w:ilvl w:val="0"/>
          <w:numId w:val="19"/>
        </w:numPr>
        <w:jc w:val="both"/>
        <w:rPr>
          <w:rFonts w:ascii="Arial" w:hAnsi="Arial" w:cs="Arial"/>
          <w:sz w:val="20"/>
          <w:szCs w:val="20"/>
        </w:rPr>
      </w:pPr>
      <w:r w:rsidRPr="006F1CF4">
        <w:rPr>
          <w:rFonts w:ascii="Arial" w:hAnsi="Arial" w:cs="Arial"/>
          <w:sz w:val="20"/>
          <w:szCs w:val="20"/>
        </w:rPr>
        <w:t>Zahtevati je treba, da se za zagotavljanje storitev podatkovnih centrov uporablja najvišji možni delež energije iz obnovljivih virov</w:t>
      </w:r>
      <w:r>
        <w:rPr>
          <w:rFonts w:ascii="Arial" w:hAnsi="Arial" w:cs="Arial"/>
          <w:sz w:val="20"/>
          <w:szCs w:val="20"/>
        </w:rPr>
        <w:t>;</w:t>
      </w:r>
    </w:p>
    <w:p w14:paraId="500380E4" w14:textId="52DF11B8" w:rsidR="006F1CF4" w:rsidRPr="006F1CF4" w:rsidRDefault="006F1CF4" w:rsidP="006F1CF4">
      <w:pPr>
        <w:pStyle w:val="Odstavekseznama"/>
        <w:numPr>
          <w:ilvl w:val="0"/>
          <w:numId w:val="19"/>
        </w:numPr>
        <w:jc w:val="both"/>
        <w:rPr>
          <w:rFonts w:ascii="Arial" w:hAnsi="Arial" w:cs="Arial"/>
          <w:sz w:val="20"/>
          <w:szCs w:val="20"/>
        </w:rPr>
      </w:pPr>
      <w:r w:rsidRPr="006F1CF4">
        <w:rPr>
          <w:rFonts w:ascii="Arial" w:hAnsi="Arial" w:cs="Arial"/>
          <w:sz w:val="20"/>
          <w:szCs w:val="20"/>
        </w:rPr>
        <w:t>Preprečiti je treba uporabo hladilnih sredstev z visokim potencialom globalnega segrevanja pri zagotavljanju storitev podatkovnih centrov, razen če se dokaže, da uporaba hladilnih sredstev s potencialom globalnega segrevanja blizu nič zaradi izjemnih okoliščin ni možna ali da bi zmanjšala energetsko učinkovitost sistema</w:t>
      </w:r>
      <w:r>
        <w:rPr>
          <w:rFonts w:ascii="Arial" w:hAnsi="Arial" w:cs="Arial"/>
          <w:sz w:val="20"/>
          <w:szCs w:val="20"/>
        </w:rPr>
        <w:t>;</w:t>
      </w:r>
    </w:p>
    <w:p w14:paraId="4D2B5254" w14:textId="55C25C2A" w:rsidR="006F1CF4" w:rsidRPr="006F1CF4" w:rsidRDefault="006F1CF4" w:rsidP="006F1CF4">
      <w:pPr>
        <w:pStyle w:val="Odstavekseznama"/>
        <w:numPr>
          <w:ilvl w:val="0"/>
          <w:numId w:val="19"/>
        </w:numPr>
        <w:jc w:val="both"/>
        <w:rPr>
          <w:rFonts w:ascii="Arial" w:hAnsi="Arial" w:cs="Arial"/>
          <w:sz w:val="20"/>
          <w:szCs w:val="20"/>
        </w:rPr>
      </w:pPr>
      <w:r w:rsidRPr="006F1CF4">
        <w:rPr>
          <w:rFonts w:ascii="Arial" w:hAnsi="Arial" w:cs="Arial"/>
          <w:sz w:val="20"/>
          <w:szCs w:val="20"/>
        </w:rPr>
        <w:t>Prednost je treba dati izdelkom/storitvam, ki zagotavljajo ponovno uporabo odpadne toplote, n</w:t>
      </w:r>
      <w:r w:rsidR="0007709A">
        <w:rPr>
          <w:rFonts w:ascii="Arial" w:hAnsi="Arial" w:cs="Arial"/>
          <w:sz w:val="20"/>
          <w:szCs w:val="20"/>
        </w:rPr>
        <w:t>a primer</w:t>
      </w:r>
      <w:r w:rsidRPr="006F1CF4">
        <w:rPr>
          <w:rFonts w:ascii="Arial" w:hAnsi="Arial" w:cs="Arial"/>
          <w:sz w:val="20"/>
          <w:szCs w:val="20"/>
        </w:rPr>
        <w:t xml:space="preserve"> v stavbi ali v omrežjih daljinskega ogrevanja.</w:t>
      </w:r>
    </w:p>
    <w:p w14:paraId="570E364A" w14:textId="77777777" w:rsidR="00E3435A" w:rsidRDefault="00E3435A" w:rsidP="00E3435A">
      <w:pPr>
        <w:pStyle w:val="Odstavekseznama"/>
        <w:rPr>
          <w:rFonts w:ascii="Arial" w:hAnsi="Arial" w:cs="Arial"/>
          <w:sz w:val="20"/>
          <w:szCs w:val="20"/>
        </w:rPr>
      </w:pPr>
    </w:p>
    <w:p w14:paraId="730B2274" w14:textId="77777777" w:rsidR="00E3435A" w:rsidRPr="00853340" w:rsidRDefault="00E3435A" w:rsidP="00E3435A">
      <w:pPr>
        <w:pStyle w:val="Odstavekseznama"/>
        <w:rPr>
          <w:rFonts w:ascii="Arial" w:hAnsi="Arial" w:cs="Arial"/>
          <w:sz w:val="20"/>
          <w:szCs w:val="20"/>
        </w:rPr>
      </w:pPr>
    </w:p>
    <w:p w14:paraId="05A7022D" w14:textId="0F4C4558" w:rsidR="00E3435A" w:rsidRPr="00E577F6" w:rsidRDefault="00E3435A" w:rsidP="00E577F6">
      <w:pPr>
        <w:pStyle w:val="Naslov1"/>
        <w:numPr>
          <w:ilvl w:val="0"/>
          <w:numId w:val="43"/>
        </w:numPr>
        <w:rPr>
          <w:rFonts w:ascii="Arial" w:eastAsia="Arial" w:hAnsi="Arial" w:cs="Arial"/>
          <w:b/>
          <w:bCs/>
          <w:color w:val="385623" w:themeColor="accent6" w:themeShade="80"/>
          <w:sz w:val="20"/>
          <w:szCs w:val="20"/>
        </w:rPr>
      </w:pPr>
      <w:r w:rsidRPr="00E577F6">
        <w:rPr>
          <w:rFonts w:ascii="Arial" w:eastAsia="Arial" w:hAnsi="Arial" w:cs="Arial"/>
          <w:b/>
          <w:bCs/>
          <w:color w:val="385623" w:themeColor="accent6" w:themeShade="80"/>
          <w:sz w:val="20"/>
          <w:szCs w:val="20"/>
        </w:rPr>
        <w:t xml:space="preserve">Cilji </w:t>
      </w:r>
      <w:r w:rsidR="007D2FFB" w:rsidRPr="00E577F6">
        <w:rPr>
          <w:rFonts w:ascii="Arial" w:eastAsia="Arial" w:hAnsi="Arial" w:cs="Arial"/>
          <w:b/>
          <w:bCs/>
          <w:color w:val="385623" w:themeColor="accent6" w:themeShade="80"/>
          <w:sz w:val="20"/>
          <w:szCs w:val="20"/>
        </w:rPr>
        <w:t>iz</w:t>
      </w:r>
      <w:r w:rsidRPr="00E577F6">
        <w:rPr>
          <w:rFonts w:ascii="Arial" w:eastAsia="Arial" w:hAnsi="Arial" w:cs="Arial"/>
          <w:b/>
          <w:bCs/>
          <w:color w:val="385623" w:themeColor="accent6" w:themeShade="80"/>
          <w:sz w:val="20"/>
          <w:szCs w:val="20"/>
        </w:rPr>
        <w:t xml:space="preserve"> Uredbe o zelenem javnem naročanju</w:t>
      </w:r>
    </w:p>
    <w:p w14:paraId="4B18FA30" w14:textId="5439A0DB" w:rsidR="00A61C00" w:rsidRPr="00853340" w:rsidRDefault="00E3435A" w:rsidP="00E3435A">
      <w:pPr>
        <w:jc w:val="both"/>
        <w:rPr>
          <w:rFonts w:ascii="Arial" w:hAnsi="Arial" w:cs="Arial"/>
          <w:sz w:val="20"/>
          <w:szCs w:val="20"/>
        </w:rPr>
      </w:pPr>
      <w:r w:rsidRPr="00853340">
        <w:rPr>
          <w:rFonts w:ascii="Arial" w:hAnsi="Arial" w:cs="Arial"/>
          <w:sz w:val="20"/>
          <w:szCs w:val="20"/>
        </w:rPr>
        <w:t xml:space="preserve">Naročnik mora javno naročilo, ki vključuje </w:t>
      </w:r>
      <w:r w:rsidRPr="00F47261">
        <w:rPr>
          <w:rFonts w:ascii="Arial" w:hAnsi="Arial" w:cs="Arial"/>
          <w:sz w:val="20"/>
          <w:szCs w:val="20"/>
        </w:rPr>
        <w:t xml:space="preserve">predmet iz 22. točke prvega odstavka 4. člena Uredbe o </w:t>
      </w:r>
      <w:r w:rsidR="007D2FFB">
        <w:rPr>
          <w:rFonts w:ascii="Arial" w:hAnsi="Arial" w:cs="Arial"/>
          <w:sz w:val="20"/>
          <w:szCs w:val="20"/>
        </w:rPr>
        <w:t>ZeJN</w:t>
      </w:r>
      <w:r w:rsidRPr="00F47261">
        <w:rPr>
          <w:rFonts w:ascii="Arial" w:hAnsi="Arial" w:cs="Arial"/>
          <w:sz w:val="20"/>
          <w:szCs w:val="20"/>
        </w:rPr>
        <w:t>, da se v posameznem naročilu izpolni cilj, ki je v nadaljevanju določen za ta predmet:</w:t>
      </w:r>
      <w:r w:rsidRPr="00853340">
        <w:rPr>
          <w:rFonts w:ascii="Arial" w:hAnsi="Arial" w:cs="Arial"/>
          <w:sz w:val="20"/>
          <w:szCs w:val="20"/>
        </w:rPr>
        <w:t xml:space="preserve">  </w:t>
      </w:r>
    </w:p>
    <w:bookmarkStart w:id="0" w:name="_Hlk207890223"/>
    <w:p w14:paraId="55319D7D" w14:textId="41DCC5DA" w:rsidR="00A61C00" w:rsidRPr="00853340" w:rsidRDefault="00D37FB9" w:rsidP="00A61C00">
      <w:pPr>
        <w:pStyle w:val="Odstavekseznama"/>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9264" behindDoc="0" locked="0" layoutInCell="1" allowOverlap="1" wp14:anchorId="401B8A31" wp14:editId="015A9D52">
                <wp:simplePos x="0" y="0"/>
                <wp:positionH relativeFrom="margin">
                  <wp:posOffset>12700</wp:posOffset>
                </wp:positionH>
                <wp:positionV relativeFrom="paragraph">
                  <wp:posOffset>12065</wp:posOffset>
                </wp:positionV>
                <wp:extent cx="5842000" cy="908050"/>
                <wp:effectExtent l="19050" t="19050" r="25400" b="25400"/>
                <wp:wrapNone/>
                <wp:docPr id="608327752" name="Pravokotnik 11" descr="Okvir besedila, zaradi pomembnosti. "/>
                <wp:cNvGraphicFramePr/>
                <a:graphic xmlns:a="http://schemas.openxmlformats.org/drawingml/2006/main">
                  <a:graphicData uri="http://schemas.microsoft.com/office/word/2010/wordprocessingShape">
                    <wps:wsp>
                      <wps:cNvSpPr/>
                      <wps:spPr>
                        <a:xfrm>
                          <a:off x="0" y="0"/>
                          <a:ext cx="5842000" cy="908050"/>
                        </a:xfrm>
                        <a:custGeom>
                          <a:avLst/>
                          <a:gdLst>
                            <a:gd name="connsiteX0" fmla="*/ 0 w 5835650"/>
                            <a:gd name="connsiteY0" fmla="*/ 0 h 901700"/>
                            <a:gd name="connsiteX1" fmla="*/ 5835650 w 5835650"/>
                            <a:gd name="connsiteY1" fmla="*/ 0 h 901700"/>
                            <a:gd name="connsiteX2" fmla="*/ 5835650 w 5835650"/>
                            <a:gd name="connsiteY2" fmla="*/ 901700 h 901700"/>
                            <a:gd name="connsiteX3" fmla="*/ 0 w 5835650"/>
                            <a:gd name="connsiteY3" fmla="*/ 901700 h 901700"/>
                            <a:gd name="connsiteX4" fmla="*/ 0 w 5835650"/>
                            <a:gd name="connsiteY4" fmla="*/ 0 h 901700"/>
                            <a:gd name="connsiteX0" fmla="*/ 0 w 5842000"/>
                            <a:gd name="connsiteY0" fmla="*/ 0 h 908050"/>
                            <a:gd name="connsiteX1" fmla="*/ 5842000 w 5842000"/>
                            <a:gd name="connsiteY1" fmla="*/ 6350 h 908050"/>
                            <a:gd name="connsiteX2" fmla="*/ 5842000 w 5842000"/>
                            <a:gd name="connsiteY2" fmla="*/ 908050 h 908050"/>
                            <a:gd name="connsiteX3" fmla="*/ 6350 w 5842000"/>
                            <a:gd name="connsiteY3" fmla="*/ 908050 h 908050"/>
                            <a:gd name="connsiteX4" fmla="*/ 0 w 5842000"/>
                            <a:gd name="connsiteY4" fmla="*/ 0 h 9080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842000" h="908050">
                              <a:moveTo>
                                <a:pt x="0" y="0"/>
                              </a:moveTo>
                              <a:lnTo>
                                <a:pt x="5842000" y="6350"/>
                              </a:lnTo>
                              <a:lnTo>
                                <a:pt x="5842000" y="908050"/>
                              </a:lnTo>
                              <a:lnTo>
                                <a:pt x="6350" y="908050"/>
                              </a:lnTo>
                              <a:cubicBezTo>
                                <a:pt x="4233" y="605367"/>
                                <a:pt x="2117" y="302683"/>
                                <a:pt x="0" y="0"/>
                              </a:cubicBezTo>
                              <a:close/>
                            </a:path>
                          </a:pathLst>
                        </a:custGeom>
                        <a:noFill/>
                        <a:ln w="28575" cap="flat" cmpd="sng" algn="ctr">
                          <a:solidFill>
                            <a:srgbClr val="FF0000"/>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918364" id="Pravokotnik 11" o:spid="_x0000_s1026" alt="Okvir besedila, zaradi pomembnosti. " style="position:absolute;margin-left:1pt;margin-top:.95pt;width:460pt;height:7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842000,908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" path="m,l5842000,6350r,901700l6350,908050c4233,605367,2117,302683,,xe" filled="f" strokecolor="red" strokeweight="2.25pt">
                <v:path arrowok="t" o:connecttype="custom" o:connectlocs="0,0;5842000,6350;5842000,908050;6350,908050;0,0" o:connectangles="0,0,0,0,0"/>
                <w10:wrap anchorx="margin"/>
              </v:shape>
            </w:pict>
          </mc:Fallback>
        </mc:AlternateContent>
      </w:r>
    </w:p>
    <w:p w14:paraId="7DC550E1" w14:textId="4B0C76AB" w:rsidR="00A92EF1" w:rsidRPr="00A92EF1" w:rsidRDefault="00A92EF1" w:rsidP="00A92EF1">
      <w:pPr>
        <w:pStyle w:val="Odstavekseznama"/>
        <w:numPr>
          <w:ilvl w:val="0"/>
          <w:numId w:val="17"/>
        </w:numPr>
        <w:jc w:val="both"/>
        <w:rPr>
          <w:rFonts w:ascii="Arial" w:hAnsi="Arial" w:cs="Arial"/>
          <w:sz w:val="20"/>
          <w:szCs w:val="20"/>
        </w:rPr>
      </w:pPr>
      <w:r w:rsidRPr="00A92EF1">
        <w:rPr>
          <w:rFonts w:ascii="Arial" w:hAnsi="Arial" w:cs="Arial"/>
          <w:sz w:val="20"/>
          <w:szCs w:val="20"/>
        </w:rPr>
        <w:t xml:space="preserve">V primeru izgradnje novega ali celovito nadgrajenega obstoječega podatkovnega centra, mora </w:t>
      </w:r>
      <w:r w:rsidR="007D2FFB">
        <w:rPr>
          <w:rFonts w:ascii="Arial" w:hAnsi="Arial" w:cs="Arial"/>
          <w:sz w:val="20"/>
          <w:szCs w:val="20"/>
        </w:rPr>
        <w:t xml:space="preserve">biti </w:t>
      </w:r>
      <w:r w:rsidRPr="00A92EF1">
        <w:rPr>
          <w:rFonts w:ascii="Arial" w:hAnsi="Arial" w:cs="Arial"/>
          <w:sz w:val="20"/>
          <w:szCs w:val="20"/>
        </w:rPr>
        <w:t>izkaza</w:t>
      </w:r>
      <w:r w:rsidR="007D2FFB">
        <w:rPr>
          <w:rFonts w:ascii="Arial" w:hAnsi="Arial" w:cs="Arial"/>
          <w:sz w:val="20"/>
          <w:szCs w:val="20"/>
        </w:rPr>
        <w:t>n</w:t>
      </w:r>
      <w:r w:rsidRPr="00A92EF1">
        <w:rPr>
          <w:rFonts w:ascii="Arial" w:hAnsi="Arial" w:cs="Arial"/>
          <w:sz w:val="20"/>
          <w:szCs w:val="20"/>
        </w:rPr>
        <w:t xml:space="preserve"> faktor učinkovitost rabe energije (PUE) 1</w:t>
      </w:r>
      <w:r w:rsidR="00CE6CB6">
        <w:rPr>
          <w:rFonts w:ascii="Arial" w:hAnsi="Arial" w:cs="Arial"/>
          <w:sz w:val="20"/>
          <w:szCs w:val="20"/>
        </w:rPr>
        <w:t>,</w:t>
      </w:r>
      <w:r w:rsidRPr="00A92EF1">
        <w:rPr>
          <w:rFonts w:ascii="Arial" w:hAnsi="Arial" w:cs="Arial"/>
          <w:sz w:val="20"/>
          <w:szCs w:val="20"/>
        </w:rPr>
        <w:t>5 ali manj. Faktor učinkovitost rabe energije (PUE) mora biti določen v skladu z ISO/IEC 30134:2016, del 2, EN 50600-4-2:2016 ali enakovrednim standardom;</w:t>
      </w:r>
      <w:r w:rsidR="000C0F69">
        <w:rPr>
          <w:rStyle w:val="Sprotnaopomba-sklic"/>
          <w:rFonts w:ascii="Arial" w:hAnsi="Arial" w:cs="Arial"/>
          <w:sz w:val="20"/>
          <w:szCs w:val="20"/>
        </w:rPr>
        <w:footnoteReference w:id="1"/>
      </w:r>
    </w:p>
    <w:p w14:paraId="15BCC732" w14:textId="6C4D4FE3" w:rsidR="00A92EF1" w:rsidRPr="00A92EF1" w:rsidRDefault="00A92EF1" w:rsidP="00A92EF1">
      <w:pPr>
        <w:pStyle w:val="Odstavekseznama"/>
        <w:jc w:val="both"/>
        <w:rPr>
          <w:rFonts w:ascii="Arial" w:hAnsi="Arial" w:cs="Arial"/>
          <w:sz w:val="20"/>
          <w:szCs w:val="20"/>
        </w:rPr>
      </w:pPr>
    </w:p>
    <w:p w14:paraId="06327B98" w14:textId="330436A0" w:rsidR="00A92EF1" w:rsidRPr="00A92EF1" w:rsidRDefault="00D37FB9" w:rsidP="00A92EF1">
      <w:pPr>
        <w:pStyle w:val="Odstavekseznama"/>
        <w:numPr>
          <w:ilvl w:val="0"/>
          <w:numId w:val="17"/>
        </w:numPr>
        <w:jc w:val="both"/>
        <w:rPr>
          <w:rFonts w:ascii="Arial" w:hAnsi="Arial" w:cs="Arial"/>
          <w:sz w:val="20"/>
          <w:szCs w:val="20"/>
        </w:rPr>
      </w:pPr>
      <w:r>
        <w:rPr>
          <w:rFonts w:ascii="Arial" w:hAnsi="Arial" w:cs="Arial"/>
          <w:noProof/>
          <w:sz w:val="20"/>
          <w:szCs w:val="20"/>
        </w:rPr>
        <w:lastRenderedPageBreak/>
        <mc:AlternateContent>
          <mc:Choice Requires="wps">
            <w:drawing>
              <wp:anchor distT="0" distB="0" distL="114300" distR="114300" simplePos="0" relativeHeight="251661312" behindDoc="0" locked="0" layoutInCell="1" allowOverlap="1" wp14:anchorId="381AC249" wp14:editId="4187F339">
                <wp:simplePos x="0" y="0"/>
                <wp:positionH relativeFrom="margin">
                  <wp:posOffset>82550</wp:posOffset>
                </wp:positionH>
                <wp:positionV relativeFrom="paragraph">
                  <wp:posOffset>-31750</wp:posOffset>
                </wp:positionV>
                <wp:extent cx="5854700" cy="1930400"/>
                <wp:effectExtent l="19050" t="19050" r="12700" b="12700"/>
                <wp:wrapNone/>
                <wp:docPr id="2083296222" name="Pravokotnik 11" descr="Okvir besedila zaradi pomembnosti. &#10;"/>
                <wp:cNvGraphicFramePr/>
                <a:graphic xmlns:a="http://schemas.openxmlformats.org/drawingml/2006/main">
                  <a:graphicData uri="http://schemas.microsoft.com/office/word/2010/wordprocessingShape">
                    <wps:wsp>
                      <wps:cNvSpPr/>
                      <wps:spPr>
                        <a:xfrm>
                          <a:off x="0" y="0"/>
                          <a:ext cx="5854700" cy="1930400"/>
                        </a:xfrm>
                        <a:prstGeom prst="rect">
                          <a:avLst/>
                        </a:prstGeom>
                        <a:noFill/>
                        <a:ln w="28575" cap="flat" cmpd="sng" algn="ctr">
                          <a:solidFill>
                            <a:srgbClr val="FF0000"/>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C0D9A6" id="Pravokotnik 11" o:spid="_x0000_s1026" alt="Okvir besedila zaradi pomembnosti. &#10;" style="position:absolute;margin-left:6.5pt;margin-top:-2.5pt;width:461pt;height:15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" filled="f" strokecolor="red" strokeweight="2.25pt">
                <v:stroke joinstyle="round"/>
                <w10:wrap anchorx="margin"/>
              </v:rect>
            </w:pict>
          </mc:Fallback>
        </mc:AlternateContent>
      </w:r>
      <w:r w:rsidR="00A92EF1" w:rsidRPr="00A92EF1">
        <w:rPr>
          <w:rFonts w:ascii="Arial" w:hAnsi="Arial" w:cs="Arial"/>
          <w:sz w:val="20"/>
          <w:szCs w:val="20"/>
        </w:rPr>
        <w:t>Podatkovni centri s skupnim nazivnim vnosom energije nad 1 MW morajo izrabiti odvečno toploto, razen če to ni tehnično ali ekonomsko izvedljivo;</w:t>
      </w:r>
      <w:r w:rsidR="000C0F69">
        <w:rPr>
          <w:rStyle w:val="Sprotnaopomba-sklic"/>
          <w:rFonts w:ascii="Arial" w:hAnsi="Arial" w:cs="Arial"/>
          <w:sz w:val="20"/>
          <w:szCs w:val="20"/>
        </w:rPr>
        <w:footnoteReference w:id="2"/>
      </w:r>
    </w:p>
    <w:p w14:paraId="59BC330F" w14:textId="77777777" w:rsidR="00A92EF1" w:rsidRPr="00A92EF1" w:rsidRDefault="00A92EF1" w:rsidP="00A92EF1">
      <w:pPr>
        <w:pStyle w:val="Odstavekseznama"/>
        <w:jc w:val="both"/>
        <w:rPr>
          <w:rFonts w:ascii="Arial" w:hAnsi="Arial" w:cs="Arial"/>
          <w:sz w:val="20"/>
          <w:szCs w:val="20"/>
        </w:rPr>
      </w:pPr>
    </w:p>
    <w:p w14:paraId="23FFB32C" w14:textId="03E6FD40" w:rsidR="00A92EF1" w:rsidRPr="00A92EF1" w:rsidRDefault="00A92EF1" w:rsidP="00A92EF1">
      <w:pPr>
        <w:pStyle w:val="Odstavekseznama"/>
        <w:numPr>
          <w:ilvl w:val="0"/>
          <w:numId w:val="17"/>
        </w:numPr>
        <w:jc w:val="both"/>
        <w:rPr>
          <w:rFonts w:ascii="Arial" w:hAnsi="Arial" w:cs="Arial"/>
          <w:sz w:val="20"/>
          <w:szCs w:val="20"/>
        </w:rPr>
      </w:pPr>
      <w:r w:rsidRPr="00A92EF1">
        <w:rPr>
          <w:rFonts w:ascii="Arial" w:hAnsi="Arial" w:cs="Arial"/>
          <w:sz w:val="20"/>
          <w:szCs w:val="20"/>
        </w:rPr>
        <w:t>Strežniške sobe morajo biti opremljene z nadzornimi sistemi za optimizacijo porabe energije, ki so skladn</w:t>
      </w:r>
      <w:r w:rsidR="007D2FFB">
        <w:rPr>
          <w:rFonts w:ascii="Arial" w:hAnsi="Arial" w:cs="Arial"/>
          <w:sz w:val="20"/>
          <w:szCs w:val="20"/>
        </w:rPr>
        <w:t>i</w:t>
      </w:r>
      <w:r w:rsidRPr="00A92EF1">
        <w:rPr>
          <w:rFonts w:ascii="Arial" w:hAnsi="Arial" w:cs="Arial"/>
          <w:sz w:val="20"/>
          <w:szCs w:val="20"/>
        </w:rPr>
        <w:t xml:space="preserve"> z zahtevami in priporočili standarda EN 50600-2-3 in s katerimi je mogoče meriti vsaj temperaturo in vlažnost dovodnega zraka v strežniško sobo, temperaturo in vlažnost odhodnega zraka iz strežniške sobe ter stopnjo pretoka hladilnega medija, če zasnova hlajenja temelji na premikanju tekočin (n</w:t>
      </w:r>
      <w:r w:rsidR="00CE6CB6">
        <w:rPr>
          <w:rFonts w:ascii="Arial" w:hAnsi="Arial" w:cs="Arial"/>
          <w:sz w:val="20"/>
          <w:szCs w:val="20"/>
        </w:rPr>
        <w:t>a primer</w:t>
      </w:r>
      <w:r w:rsidRPr="00A92EF1">
        <w:rPr>
          <w:rFonts w:ascii="Arial" w:hAnsi="Arial" w:cs="Arial"/>
          <w:sz w:val="20"/>
          <w:szCs w:val="20"/>
        </w:rPr>
        <w:t xml:space="preserve"> vodno hlajenje);</w:t>
      </w:r>
      <w:r w:rsidR="000C0F69">
        <w:rPr>
          <w:rStyle w:val="Sprotnaopomba-sklic"/>
          <w:rFonts w:ascii="Arial" w:hAnsi="Arial" w:cs="Arial"/>
          <w:sz w:val="20"/>
          <w:szCs w:val="20"/>
        </w:rPr>
        <w:footnoteReference w:id="3"/>
      </w:r>
    </w:p>
    <w:p w14:paraId="238967F7" w14:textId="77777777" w:rsidR="00A92EF1" w:rsidRPr="00A92EF1" w:rsidRDefault="00A92EF1" w:rsidP="00A92EF1">
      <w:pPr>
        <w:pStyle w:val="Odstavekseznama"/>
        <w:jc w:val="both"/>
        <w:rPr>
          <w:rFonts w:ascii="Arial" w:hAnsi="Arial" w:cs="Arial"/>
          <w:sz w:val="20"/>
          <w:szCs w:val="20"/>
        </w:rPr>
      </w:pPr>
    </w:p>
    <w:p w14:paraId="6AF964A3" w14:textId="60223D4D" w:rsidR="005F2B91" w:rsidRPr="00A92EF1" w:rsidRDefault="00A92EF1" w:rsidP="00A92EF1">
      <w:pPr>
        <w:pStyle w:val="Odstavekseznama"/>
        <w:numPr>
          <w:ilvl w:val="0"/>
          <w:numId w:val="17"/>
        </w:numPr>
        <w:jc w:val="both"/>
        <w:rPr>
          <w:rFonts w:ascii="Arial" w:hAnsi="Arial" w:cs="Arial"/>
          <w:sz w:val="20"/>
          <w:szCs w:val="20"/>
        </w:rPr>
      </w:pPr>
      <w:r w:rsidRPr="00A92EF1">
        <w:rPr>
          <w:rFonts w:ascii="Arial" w:hAnsi="Arial" w:cs="Arial"/>
          <w:sz w:val="20"/>
          <w:szCs w:val="20"/>
        </w:rPr>
        <w:t xml:space="preserve">Pri najemu storitev v oblaku mora </w:t>
      </w:r>
      <w:r w:rsidR="007D2FFB">
        <w:rPr>
          <w:rFonts w:ascii="Arial" w:hAnsi="Arial" w:cs="Arial"/>
          <w:sz w:val="20"/>
          <w:szCs w:val="20"/>
        </w:rPr>
        <w:t>biti izkazan</w:t>
      </w:r>
      <w:r w:rsidRPr="00A92EF1">
        <w:rPr>
          <w:rFonts w:ascii="Arial" w:hAnsi="Arial" w:cs="Arial"/>
          <w:sz w:val="20"/>
          <w:szCs w:val="20"/>
        </w:rPr>
        <w:t xml:space="preserve"> faktor učinkovitost rabe energije (PUE) 1</w:t>
      </w:r>
      <w:r w:rsidR="00CE6CB6">
        <w:rPr>
          <w:rFonts w:ascii="Arial" w:hAnsi="Arial" w:cs="Arial"/>
          <w:sz w:val="20"/>
          <w:szCs w:val="20"/>
        </w:rPr>
        <w:t>,</w:t>
      </w:r>
      <w:r w:rsidRPr="00A92EF1">
        <w:rPr>
          <w:rFonts w:ascii="Arial" w:hAnsi="Arial" w:cs="Arial"/>
          <w:sz w:val="20"/>
          <w:szCs w:val="20"/>
        </w:rPr>
        <w:t>8</w:t>
      </w:r>
      <w:r w:rsidR="00052D22">
        <w:rPr>
          <w:rFonts w:ascii="Arial" w:hAnsi="Arial" w:cs="Arial"/>
          <w:sz w:val="20"/>
          <w:szCs w:val="20"/>
        </w:rPr>
        <w:t xml:space="preserve"> ali manj</w:t>
      </w:r>
      <w:r w:rsidRPr="00A92EF1">
        <w:rPr>
          <w:rFonts w:ascii="Arial" w:hAnsi="Arial" w:cs="Arial"/>
          <w:sz w:val="20"/>
          <w:szCs w:val="20"/>
        </w:rPr>
        <w:t>.</w:t>
      </w:r>
      <w:r w:rsidR="00052D22">
        <w:rPr>
          <w:rStyle w:val="Sprotnaopomba-sklic"/>
          <w:rFonts w:ascii="Arial" w:hAnsi="Arial" w:cs="Arial"/>
          <w:sz w:val="20"/>
          <w:szCs w:val="20"/>
        </w:rPr>
        <w:footnoteReference w:id="4"/>
      </w:r>
      <w:r w:rsidRPr="00A92EF1">
        <w:rPr>
          <w:rFonts w:ascii="Arial" w:hAnsi="Arial" w:cs="Arial"/>
          <w:sz w:val="20"/>
          <w:szCs w:val="20"/>
        </w:rPr>
        <w:t xml:space="preserve"> Faktor učinkovitost rabe energije (PUE) mora biti določen v skladu z ISO/IEC 30134:2016, del 2, EN 50600-4-2:2016 ali enakovrednim standardom</w:t>
      </w:r>
      <w:r>
        <w:rPr>
          <w:rFonts w:ascii="Arial" w:hAnsi="Arial" w:cs="Arial"/>
          <w:sz w:val="20"/>
          <w:szCs w:val="20"/>
        </w:rPr>
        <w:t>.</w:t>
      </w:r>
      <w:r w:rsidR="000C0F69">
        <w:rPr>
          <w:rStyle w:val="Sprotnaopomba-sklic"/>
          <w:rFonts w:ascii="Arial" w:hAnsi="Arial" w:cs="Arial"/>
          <w:sz w:val="20"/>
          <w:szCs w:val="20"/>
        </w:rPr>
        <w:footnoteReference w:id="5"/>
      </w:r>
    </w:p>
    <w:bookmarkEnd w:id="0"/>
    <w:p w14:paraId="0217F21A" w14:textId="77777777" w:rsidR="00A92EF1" w:rsidRDefault="00A92EF1" w:rsidP="00A92EF1">
      <w:pPr>
        <w:pStyle w:val="Odstavekseznama"/>
        <w:jc w:val="both"/>
        <w:rPr>
          <w:rFonts w:ascii="Arial" w:eastAsia="Arial" w:hAnsi="Arial" w:cs="Arial"/>
          <w:b/>
          <w:color w:val="385522"/>
          <w:spacing w:val="1"/>
          <w:kern w:val="0"/>
          <w:sz w:val="20"/>
          <w:szCs w:val="20"/>
          <w14:ligatures w14:val="none"/>
        </w:rPr>
      </w:pPr>
    </w:p>
    <w:p w14:paraId="72406427" w14:textId="43D8B08A" w:rsidR="00A61C00" w:rsidRPr="00E577F6" w:rsidRDefault="00A61C00" w:rsidP="00E577F6">
      <w:pPr>
        <w:pStyle w:val="Naslov1"/>
        <w:numPr>
          <w:ilvl w:val="0"/>
          <w:numId w:val="43"/>
        </w:numPr>
        <w:rPr>
          <w:rFonts w:ascii="Arial" w:eastAsia="Arial" w:hAnsi="Arial" w:cs="Arial"/>
          <w:b/>
          <w:bCs/>
          <w:color w:val="385623" w:themeColor="accent6" w:themeShade="80"/>
          <w:sz w:val="20"/>
          <w:szCs w:val="20"/>
        </w:rPr>
      </w:pPr>
      <w:r w:rsidRPr="00E577F6">
        <w:rPr>
          <w:rFonts w:ascii="Arial" w:eastAsia="Arial" w:hAnsi="Arial" w:cs="Arial"/>
          <w:b/>
          <w:bCs/>
          <w:color w:val="385623" w:themeColor="accent6" w:themeShade="80"/>
          <w:sz w:val="20"/>
          <w:szCs w:val="20"/>
        </w:rPr>
        <w:t>Akti EU, ki urejajo označevanje glede energijske in drugih učinkovitosti ter o določitvi zahtev za okoljsko primerno zasnovo</w:t>
      </w:r>
    </w:p>
    <w:p w14:paraId="12F6136C" w14:textId="77777777" w:rsidR="00A97E2A" w:rsidRPr="00853340" w:rsidRDefault="00A97E2A" w:rsidP="00A97E2A">
      <w:pPr>
        <w:pStyle w:val="Odstavekseznama"/>
        <w:jc w:val="both"/>
        <w:rPr>
          <w:rFonts w:ascii="Arial" w:eastAsia="Arial" w:hAnsi="Arial" w:cs="Arial"/>
          <w:b/>
          <w:color w:val="385522"/>
          <w:spacing w:val="1"/>
          <w:kern w:val="0"/>
          <w:sz w:val="20"/>
          <w:szCs w:val="20"/>
          <w14:ligatures w14:val="none"/>
        </w:rPr>
      </w:pPr>
    </w:p>
    <w:p w14:paraId="1D4DCB32" w14:textId="53AB865C" w:rsidR="00A97E2A" w:rsidRDefault="00A97E2A" w:rsidP="00A97E2A">
      <w:pPr>
        <w:pStyle w:val="Odstavekseznama"/>
        <w:numPr>
          <w:ilvl w:val="0"/>
          <w:numId w:val="1"/>
        </w:numPr>
        <w:jc w:val="both"/>
        <w:rPr>
          <w:rFonts w:ascii="Arial" w:hAnsi="Arial" w:cs="Arial"/>
          <w:sz w:val="20"/>
          <w:szCs w:val="20"/>
        </w:rPr>
      </w:pPr>
      <w:r w:rsidRPr="00A97E2A">
        <w:rPr>
          <w:rFonts w:ascii="Arial" w:hAnsi="Arial" w:cs="Arial"/>
          <w:sz w:val="20"/>
          <w:szCs w:val="20"/>
        </w:rPr>
        <w:t>Uredba Komisije (EU) 2019/424 z dne 15. marca 2019 o določitvi zahtev za okoljsko primerno zasnovo strežnikov in izdelkov za shranjevanje podatkov v skladu z Direktivo 2009/125/ES Evropskega parlamenta in Sveta ter razveljavitvi Uredbe Komisije (EU) št. 617/2013</w:t>
      </w:r>
      <w:r w:rsidR="0023108E">
        <w:rPr>
          <w:rFonts w:ascii="Arial" w:hAnsi="Arial" w:cs="Arial"/>
          <w:sz w:val="20"/>
          <w:szCs w:val="20"/>
        </w:rPr>
        <w:t>.</w:t>
      </w:r>
      <w:r w:rsidR="00747B10">
        <w:rPr>
          <w:rStyle w:val="Sprotnaopomba-sklic"/>
          <w:rFonts w:ascii="Arial" w:hAnsi="Arial" w:cs="Arial"/>
          <w:sz w:val="20"/>
          <w:szCs w:val="20"/>
        </w:rPr>
        <w:footnoteReference w:id="6"/>
      </w:r>
    </w:p>
    <w:p w14:paraId="50CA2F4F" w14:textId="77777777" w:rsidR="00A97E2A" w:rsidRPr="00A97E2A" w:rsidRDefault="00A97E2A" w:rsidP="00A97E2A">
      <w:pPr>
        <w:pStyle w:val="Odstavekseznama"/>
        <w:jc w:val="both"/>
        <w:rPr>
          <w:rFonts w:ascii="Arial" w:hAnsi="Arial" w:cs="Arial"/>
          <w:sz w:val="20"/>
          <w:szCs w:val="20"/>
        </w:rPr>
      </w:pPr>
    </w:p>
    <w:p w14:paraId="7A97AFAE" w14:textId="14D1E6DD" w:rsidR="00A97E2A" w:rsidRPr="00A97E2A" w:rsidRDefault="00A97E2A" w:rsidP="00A97E2A">
      <w:pPr>
        <w:pStyle w:val="Odstavekseznama"/>
        <w:numPr>
          <w:ilvl w:val="0"/>
          <w:numId w:val="1"/>
        </w:numPr>
        <w:jc w:val="both"/>
        <w:rPr>
          <w:rFonts w:ascii="Arial" w:hAnsi="Arial" w:cs="Arial"/>
          <w:sz w:val="20"/>
          <w:szCs w:val="20"/>
        </w:rPr>
      </w:pPr>
      <w:r w:rsidRPr="00A97E2A">
        <w:rPr>
          <w:rFonts w:ascii="Arial" w:hAnsi="Arial" w:cs="Arial"/>
          <w:sz w:val="20"/>
          <w:szCs w:val="20"/>
        </w:rPr>
        <w:t>Direktiva (EU) 2023/1791 Evropskega parlamenta in Sveta z dne 13. septembra 2023 o energetski učinkovitosti in spremembi Uredbe (EU) 2023/955</w:t>
      </w:r>
      <w:r w:rsidR="00FE5C24">
        <w:rPr>
          <w:rFonts w:ascii="Arial" w:hAnsi="Arial" w:cs="Arial"/>
          <w:sz w:val="20"/>
          <w:szCs w:val="20"/>
        </w:rPr>
        <w:t xml:space="preserve"> (prenovitev)</w:t>
      </w:r>
      <w:r w:rsidR="0023108E">
        <w:rPr>
          <w:rFonts w:ascii="Arial" w:hAnsi="Arial" w:cs="Arial"/>
          <w:sz w:val="20"/>
          <w:szCs w:val="20"/>
        </w:rPr>
        <w:t>.</w:t>
      </w:r>
      <w:r w:rsidR="005C6DB7">
        <w:rPr>
          <w:rStyle w:val="Sprotnaopomba-sklic"/>
          <w:rFonts w:ascii="Arial" w:hAnsi="Arial" w:cs="Arial"/>
          <w:sz w:val="20"/>
          <w:szCs w:val="20"/>
        </w:rPr>
        <w:footnoteReference w:id="7"/>
      </w:r>
    </w:p>
    <w:p w14:paraId="58FB6F0D" w14:textId="77777777" w:rsidR="00A61C00" w:rsidRPr="00431CA1" w:rsidRDefault="00A61C00" w:rsidP="00A61C00">
      <w:pPr>
        <w:pStyle w:val="Odstavekseznama"/>
        <w:jc w:val="both"/>
        <w:rPr>
          <w:rFonts w:ascii="Arial" w:hAnsi="Arial" w:cs="Arial"/>
          <w:sz w:val="20"/>
          <w:szCs w:val="20"/>
        </w:rPr>
      </w:pPr>
    </w:p>
    <w:p w14:paraId="363B4039" w14:textId="24FEE58C" w:rsidR="00083172" w:rsidRDefault="0034386B" w:rsidP="00083172">
      <w:pPr>
        <w:jc w:val="both"/>
        <w:rPr>
          <w:rFonts w:ascii="Arial" w:hAnsi="Arial" w:cs="Arial"/>
          <w:sz w:val="20"/>
          <w:szCs w:val="20"/>
        </w:rPr>
      </w:pPr>
      <w:r w:rsidRPr="00431CA1">
        <w:rPr>
          <w:rFonts w:ascii="Arial" w:hAnsi="Arial" w:cs="Arial"/>
          <w:sz w:val="20"/>
          <w:szCs w:val="20"/>
        </w:rPr>
        <w:t xml:space="preserve">Predmetni primeri temeljijo na </w:t>
      </w:r>
      <w:hyperlink r:id="rId9" w:history="1">
        <w:r w:rsidRPr="00431CA1">
          <w:rPr>
            <w:rStyle w:val="Hiperpovezava"/>
            <w:rFonts w:ascii="Arial" w:hAnsi="Arial" w:cs="Arial"/>
            <w:sz w:val="20"/>
            <w:szCs w:val="20"/>
          </w:rPr>
          <w:t>Merilih EU za zelena javna naročila za podatkovne centre, strežniške sobe in storitve v oblaku</w:t>
        </w:r>
      </w:hyperlink>
      <w:r w:rsidR="00F91225">
        <w:rPr>
          <w:rFonts w:ascii="Arial" w:hAnsi="Arial" w:cs="Arial"/>
          <w:sz w:val="20"/>
          <w:szCs w:val="20"/>
        </w:rPr>
        <w:t xml:space="preserve"> (v nadaljevanju: Merila EU)</w:t>
      </w:r>
      <w:r w:rsidRPr="00431CA1">
        <w:rPr>
          <w:rFonts w:ascii="Arial" w:hAnsi="Arial" w:cs="Arial"/>
          <w:sz w:val="20"/>
          <w:szCs w:val="20"/>
        </w:rPr>
        <w:t xml:space="preserve">, pri čemer pa je bilo </w:t>
      </w:r>
      <w:r w:rsidR="00E742EC" w:rsidRPr="00431CA1">
        <w:rPr>
          <w:rFonts w:ascii="Arial" w:hAnsi="Arial" w:cs="Arial"/>
          <w:sz w:val="20"/>
          <w:szCs w:val="20"/>
        </w:rPr>
        <w:t xml:space="preserve">izvedeno </w:t>
      </w:r>
      <w:r w:rsidR="00053CB2">
        <w:rPr>
          <w:rFonts w:ascii="Arial" w:hAnsi="Arial" w:cs="Arial"/>
          <w:sz w:val="20"/>
          <w:szCs w:val="20"/>
        </w:rPr>
        <w:t xml:space="preserve">tudi </w:t>
      </w:r>
      <w:r w:rsidR="00E742EC" w:rsidRPr="00431CA1">
        <w:rPr>
          <w:rFonts w:ascii="Arial" w:hAnsi="Arial" w:cs="Arial"/>
          <w:sz w:val="20"/>
          <w:szCs w:val="20"/>
        </w:rPr>
        <w:t xml:space="preserve">širše posvetovanje s strokovno javnostjo na strani naročnikov in ponudnikov o smiselnosti oz. izvedljivosti </w:t>
      </w:r>
      <w:r w:rsidR="00431CA1" w:rsidRPr="00431CA1">
        <w:rPr>
          <w:rFonts w:ascii="Arial" w:hAnsi="Arial" w:cs="Arial"/>
          <w:sz w:val="20"/>
          <w:szCs w:val="20"/>
        </w:rPr>
        <w:t>uporabe</w:t>
      </w:r>
      <w:r w:rsidR="00E742EC" w:rsidRPr="00431CA1">
        <w:rPr>
          <w:rFonts w:ascii="Arial" w:hAnsi="Arial" w:cs="Arial"/>
          <w:sz w:val="20"/>
          <w:szCs w:val="20"/>
        </w:rPr>
        <w:t xml:space="preserve"> posamezn</w:t>
      </w:r>
      <w:r w:rsidR="00FE5C24">
        <w:rPr>
          <w:rFonts w:ascii="Arial" w:hAnsi="Arial" w:cs="Arial"/>
          <w:sz w:val="20"/>
          <w:szCs w:val="20"/>
        </w:rPr>
        <w:t>ih</w:t>
      </w:r>
      <w:r w:rsidR="00E742EC" w:rsidRPr="00431CA1">
        <w:rPr>
          <w:rFonts w:ascii="Arial" w:hAnsi="Arial" w:cs="Arial"/>
          <w:sz w:val="20"/>
          <w:szCs w:val="20"/>
        </w:rPr>
        <w:t xml:space="preserve"> zahtev v Sloveniji.</w:t>
      </w:r>
    </w:p>
    <w:p w14:paraId="65F554DC" w14:textId="26964427" w:rsidR="00FC2795" w:rsidRDefault="00083172" w:rsidP="00083172">
      <w:pPr>
        <w:jc w:val="both"/>
        <w:rPr>
          <w:rFonts w:ascii="Arial" w:hAnsi="Arial" w:cs="Arial"/>
          <w:sz w:val="20"/>
          <w:szCs w:val="20"/>
        </w:rPr>
      </w:pPr>
      <w:r w:rsidRPr="00083172">
        <w:rPr>
          <w:rFonts w:ascii="Arial" w:hAnsi="Arial" w:cs="Arial"/>
          <w:sz w:val="20"/>
          <w:szCs w:val="20"/>
        </w:rPr>
        <w:t>Merila</w:t>
      </w:r>
      <w:r>
        <w:rPr>
          <w:rFonts w:ascii="Arial" w:hAnsi="Arial" w:cs="Arial"/>
          <w:sz w:val="20"/>
          <w:szCs w:val="20"/>
        </w:rPr>
        <w:t xml:space="preserve"> EU </w:t>
      </w:r>
      <w:r w:rsidRPr="00083172">
        <w:rPr>
          <w:rFonts w:ascii="Arial" w:hAnsi="Arial" w:cs="Arial"/>
          <w:sz w:val="20"/>
          <w:szCs w:val="20"/>
        </w:rPr>
        <w:t>so bila razvita na način, ki zagotavlja skladnost z določenimi</w:t>
      </w:r>
      <w:r>
        <w:rPr>
          <w:rFonts w:ascii="Arial" w:hAnsi="Arial" w:cs="Arial"/>
          <w:sz w:val="20"/>
          <w:szCs w:val="20"/>
        </w:rPr>
        <w:t xml:space="preserve"> </w:t>
      </w:r>
      <w:r w:rsidRPr="00083172">
        <w:rPr>
          <w:rFonts w:ascii="Arial" w:hAnsi="Arial" w:cs="Arial"/>
          <w:sz w:val="20"/>
          <w:szCs w:val="20"/>
        </w:rPr>
        <w:t>zahtevami ter metodologijama preskušanja in izračuna</w:t>
      </w:r>
      <w:r>
        <w:rPr>
          <w:rFonts w:ascii="Arial" w:hAnsi="Arial" w:cs="Arial"/>
          <w:sz w:val="20"/>
          <w:szCs w:val="20"/>
        </w:rPr>
        <w:t>,</w:t>
      </w:r>
      <w:r w:rsidRPr="00083172">
        <w:rPr>
          <w:rFonts w:ascii="Arial" w:hAnsi="Arial" w:cs="Arial"/>
          <w:sz w:val="20"/>
          <w:szCs w:val="20"/>
        </w:rPr>
        <w:t xml:space="preserve"> uvedenimi z Uredbo Komisije (EU) 2019/424 o</w:t>
      </w:r>
      <w:r>
        <w:rPr>
          <w:rFonts w:ascii="Arial" w:hAnsi="Arial" w:cs="Arial"/>
          <w:sz w:val="20"/>
          <w:szCs w:val="20"/>
        </w:rPr>
        <w:t xml:space="preserve"> </w:t>
      </w:r>
      <w:r w:rsidRPr="00083172">
        <w:rPr>
          <w:rFonts w:ascii="Arial" w:hAnsi="Arial" w:cs="Arial"/>
          <w:sz w:val="20"/>
          <w:szCs w:val="20"/>
        </w:rPr>
        <w:t>določitvi zahtev za okoljsko primerno zasnovo strežnikov in izdelkov za shranjevanje podatkov. Temeljni</w:t>
      </w:r>
      <w:r>
        <w:rPr>
          <w:rFonts w:ascii="Arial" w:hAnsi="Arial" w:cs="Arial"/>
          <w:sz w:val="20"/>
          <w:szCs w:val="20"/>
        </w:rPr>
        <w:t xml:space="preserve"> </w:t>
      </w:r>
      <w:r w:rsidRPr="00083172">
        <w:rPr>
          <w:rFonts w:ascii="Arial" w:hAnsi="Arial" w:cs="Arial"/>
          <w:sz w:val="20"/>
          <w:szCs w:val="20"/>
        </w:rPr>
        <w:t xml:space="preserve">referenci za preverjanje ponudbe </w:t>
      </w:r>
      <w:r w:rsidR="00FC2795">
        <w:rPr>
          <w:rFonts w:ascii="Arial" w:hAnsi="Arial" w:cs="Arial"/>
          <w:sz w:val="20"/>
          <w:szCs w:val="20"/>
        </w:rPr>
        <w:t xml:space="preserve">v Merilih EU </w:t>
      </w:r>
      <w:r w:rsidRPr="00083172">
        <w:rPr>
          <w:rFonts w:ascii="Arial" w:hAnsi="Arial" w:cs="Arial"/>
          <w:sz w:val="20"/>
          <w:szCs w:val="20"/>
        </w:rPr>
        <w:t xml:space="preserve">sta </w:t>
      </w:r>
      <w:hyperlink r:id="rId10" w:history="1">
        <w:r w:rsidRPr="00FC2795">
          <w:rPr>
            <w:rStyle w:val="Hiperpovezava"/>
            <w:rFonts w:ascii="Arial" w:hAnsi="Arial" w:cs="Arial"/>
            <w:sz w:val="20"/>
            <w:szCs w:val="20"/>
          </w:rPr>
          <w:t>Kodeks ravnanja za podatkovne centre</w:t>
        </w:r>
      </w:hyperlink>
      <w:r w:rsidRPr="00083172">
        <w:rPr>
          <w:rFonts w:ascii="Arial" w:hAnsi="Arial" w:cs="Arial"/>
          <w:sz w:val="20"/>
          <w:szCs w:val="20"/>
        </w:rPr>
        <w:t>, ki ga je pripravila</w:t>
      </w:r>
      <w:r>
        <w:rPr>
          <w:rFonts w:ascii="Arial" w:hAnsi="Arial" w:cs="Arial"/>
          <w:sz w:val="20"/>
          <w:szCs w:val="20"/>
        </w:rPr>
        <w:t xml:space="preserve"> </w:t>
      </w:r>
      <w:r w:rsidRPr="00083172">
        <w:rPr>
          <w:rFonts w:ascii="Arial" w:hAnsi="Arial" w:cs="Arial"/>
          <w:sz w:val="20"/>
          <w:szCs w:val="20"/>
        </w:rPr>
        <w:t>Komisija, in z njim povezan postopek registracije in sodelovanja.</w:t>
      </w:r>
      <w:r w:rsidR="00FC2795">
        <w:rPr>
          <w:rFonts w:ascii="Arial" w:hAnsi="Arial" w:cs="Arial"/>
          <w:sz w:val="20"/>
          <w:szCs w:val="20"/>
        </w:rPr>
        <w:t xml:space="preserve"> V zvezi s tem je potrebno opozoriti, da je</w:t>
      </w:r>
      <w:r w:rsidR="00F02F62">
        <w:rPr>
          <w:rFonts w:ascii="Arial" w:hAnsi="Arial" w:cs="Arial"/>
          <w:sz w:val="20"/>
          <w:szCs w:val="20"/>
        </w:rPr>
        <w:t xml:space="preserve"> bilo</w:t>
      </w:r>
      <w:r w:rsidR="00FC2795">
        <w:rPr>
          <w:rFonts w:ascii="Arial" w:hAnsi="Arial" w:cs="Arial"/>
          <w:sz w:val="20"/>
          <w:szCs w:val="20"/>
        </w:rPr>
        <w:t xml:space="preserve"> tekom strokovnega posvetovanja ugotovljeno, da ima v Sloveniji malo – če sploh kakšen – podatkovni</w:t>
      </w:r>
      <w:r w:rsidR="00053CB2">
        <w:rPr>
          <w:rFonts w:ascii="Arial" w:hAnsi="Arial" w:cs="Arial"/>
          <w:sz w:val="20"/>
          <w:szCs w:val="20"/>
        </w:rPr>
        <w:t>h</w:t>
      </w:r>
      <w:r w:rsidR="00FC2795">
        <w:rPr>
          <w:rFonts w:ascii="Arial" w:hAnsi="Arial" w:cs="Arial"/>
          <w:sz w:val="20"/>
          <w:szCs w:val="20"/>
        </w:rPr>
        <w:t xml:space="preserve"> centr</w:t>
      </w:r>
      <w:r w:rsidR="00053CB2">
        <w:rPr>
          <w:rFonts w:ascii="Arial" w:hAnsi="Arial" w:cs="Arial"/>
          <w:sz w:val="20"/>
          <w:szCs w:val="20"/>
        </w:rPr>
        <w:t>ov</w:t>
      </w:r>
      <w:r w:rsidR="00FC2795">
        <w:rPr>
          <w:rFonts w:ascii="Arial" w:hAnsi="Arial" w:cs="Arial"/>
          <w:sz w:val="20"/>
          <w:szCs w:val="20"/>
        </w:rPr>
        <w:t xml:space="preserve"> sprejet Kodeks ravnanja za podatkovne centre in da je to potrebno upoštevati v postopkih javnih naročil ter s strani naročnikov vzpostaviti zahteve po sprejemu Kodeksa ravnanja za podatkovne centre na strani ponudnikov, obenem pa omogočiti ustrezna prehodna obdobja.</w:t>
      </w:r>
    </w:p>
    <w:p w14:paraId="7A641C80" w14:textId="43416B73" w:rsidR="00CC58DF" w:rsidRDefault="00F02F62" w:rsidP="00CC58DF">
      <w:pPr>
        <w:jc w:val="both"/>
        <w:rPr>
          <w:rFonts w:ascii="Arial" w:hAnsi="Arial" w:cs="Arial"/>
          <w:sz w:val="20"/>
          <w:szCs w:val="20"/>
        </w:rPr>
      </w:pPr>
      <w:r>
        <w:rPr>
          <w:rFonts w:ascii="Arial" w:hAnsi="Arial" w:cs="Arial"/>
          <w:sz w:val="20"/>
          <w:szCs w:val="20"/>
        </w:rPr>
        <w:t xml:space="preserve">Nadalje je treba opozoriti, da je bila </w:t>
      </w:r>
      <w:r w:rsidR="00A856F8" w:rsidRPr="00A856F8">
        <w:rPr>
          <w:rFonts w:ascii="Arial" w:hAnsi="Arial" w:cs="Arial"/>
          <w:sz w:val="20"/>
          <w:szCs w:val="20"/>
        </w:rPr>
        <w:t>Direktiva</w:t>
      </w:r>
      <w:r w:rsidR="00A856F8">
        <w:rPr>
          <w:rFonts w:ascii="Arial" w:hAnsi="Arial" w:cs="Arial"/>
          <w:sz w:val="20"/>
          <w:szCs w:val="20"/>
        </w:rPr>
        <w:t xml:space="preserve"> </w:t>
      </w:r>
      <w:r w:rsidR="00A856F8" w:rsidRPr="00A856F8">
        <w:rPr>
          <w:rFonts w:ascii="Arial" w:hAnsi="Arial" w:cs="Arial"/>
          <w:sz w:val="20"/>
          <w:szCs w:val="20"/>
        </w:rPr>
        <w:t xml:space="preserve">2012/27/EU, </w:t>
      </w:r>
      <w:r w:rsidR="00A856F8">
        <w:rPr>
          <w:rFonts w:ascii="Arial" w:hAnsi="Arial" w:cs="Arial"/>
          <w:sz w:val="20"/>
          <w:szCs w:val="20"/>
        </w:rPr>
        <w:t xml:space="preserve">na katero se sklicujejo Merila EU, z </w:t>
      </w:r>
      <w:r w:rsidR="00A856F8" w:rsidRPr="00A97E2A">
        <w:rPr>
          <w:rFonts w:ascii="Arial" w:hAnsi="Arial" w:cs="Arial"/>
          <w:sz w:val="20"/>
          <w:szCs w:val="20"/>
        </w:rPr>
        <w:t>Direktiv</w:t>
      </w:r>
      <w:r w:rsidR="00A856F8">
        <w:rPr>
          <w:rFonts w:ascii="Arial" w:hAnsi="Arial" w:cs="Arial"/>
          <w:sz w:val="20"/>
          <w:szCs w:val="20"/>
        </w:rPr>
        <w:t>o</w:t>
      </w:r>
      <w:r w:rsidR="00A856F8" w:rsidRPr="00A97E2A">
        <w:rPr>
          <w:rFonts w:ascii="Arial" w:hAnsi="Arial" w:cs="Arial"/>
          <w:sz w:val="20"/>
          <w:szCs w:val="20"/>
        </w:rPr>
        <w:t xml:space="preserve"> 2023/1791</w:t>
      </w:r>
      <w:r w:rsidR="00460639">
        <w:rPr>
          <w:rFonts w:ascii="Arial" w:hAnsi="Arial" w:cs="Arial"/>
          <w:sz w:val="20"/>
          <w:szCs w:val="20"/>
        </w:rPr>
        <w:t xml:space="preserve"> razveljavljena</w:t>
      </w:r>
      <w:r w:rsidR="00A856F8">
        <w:rPr>
          <w:rFonts w:ascii="Arial" w:hAnsi="Arial" w:cs="Arial"/>
          <w:sz w:val="20"/>
          <w:szCs w:val="20"/>
        </w:rPr>
        <w:t xml:space="preserve">. </w:t>
      </w:r>
      <w:r w:rsidR="00A856F8" w:rsidRPr="00A97E2A">
        <w:rPr>
          <w:rFonts w:ascii="Arial" w:hAnsi="Arial" w:cs="Arial"/>
          <w:sz w:val="20"/>
          <w:szCs w:val="20"/>
        </w:rPr>
        <w:t>Direktiv</w:t>
      </w:r>
      <w:r w:rsidR="00A856F8">
        <w:rPr>
          <w:rFonts w:ascii="Arial" w:hAnsi="Arial" w:cs="Arial"/>
          <w:sz w:val="20"/>
          <w:szCs w:val="20"/>
        </w:rPr>
        <w:t>a</w:t>
      </w:r>
      <w:r w:rsidR="00A856F8" w:rsidRPr="00A97E2A">
        <w:rPr>
          <w:rFonts w:ascii="Arial" w:hAnsi="Arial" w:cs="Arial"/>
          <w:sz w:val="20"/>
          <w:szCs w:val="20"/>
        </w:rPr>
        <w:t xml:space="preserve"> 2023/1791</w:t>
      </w:r>
      <w:r w:rsidR="00A856F8">
        <w:rPr>
          <w:rFonts w:ascii="Arial" w:hAnsi="Arial" w:cs="Arial"/>
          <w:sz w:val="20"/>
          <w:szCs w:val="20"/>
        </w:rPr>
        <w:t xml:space="preserve"> v 7. členu </w:t>
      </w:r>
      <w:r w:rsidR="0071723D">
        <w:rPr>
          <w:rFonts w:ascii="Arial" w:hAnsi="Arial" w:cs="Arial"/>
          <w:sz w:val="20"/>
          <w:szCs w:val="20"/>
        </w:rPr>
        <w:t>opredeljuje določene zahteve za</w:t>
      </w:r>
      <w:r w:rsidR="00CC58DF">
        <w:rPr>
          <w:rFonts w:ascii="Arial" w:hAnsi="Arial" w:cs="Arial"/>
          <w:sz w:val="20"/>
          <w:szCs w:val="20"/>
        </w:rPr>
        <w:t xml:space="preserve"> države članice s področja javnega naročanja.</w:t>
      </w:r>
      <w:r w:rsidR="0071723D">
        <w:rPr>
          <w:rFonts w:ascii="Arial" w:hAnsi="Arial" w:cs="Arial"/>
          <w:sz w:val="20"/>
          <w:szCs w:val="20"/>
        </w:rPr>
        <w:t xml:space="preserve"> </w:t>
      </w:r>
      <w:r w:rsidR="00CC58DF">
        <w:rPr>
          <w:rFonts w:ascii="Arial" w:hAnsi="Arial" w:cs="Arial"/>
          <w:sz w:val="20"/>
          <w:szCs w:val="20"/>
        </w:rPr>
        <w:t xml:space="preserve">Med drugim </w:t>
      </w:r>
      <w:r w:rsidR="00CC58DF" w:rsidRPr="00A856F8">
        <w:rPr>
          <w:rFonts w:ascii="Arial" w:hAnsi="Arial" w:cs="Arial"/>
          <w:sz w:val="20"/>
          <w:szCs w:val="20"/>
        </w:rPr>
        <w:t>Direktiva</w:t>
      </w:r>
      <w:r w:rsidR="00CC58DF">
        <w:rPr>
          <w:rFonts w:ascii="Arial" w:hAnsi="Arial" w:cs="Arial"/>
          <w:sz w:val="20"/>
          <w:szCs w:val="20"/>
        </w:rPr>
        <w:t xml:space="preserve"> </w:t>
      </w:r>
      <w:r w:rsidR="00CC58DF" w:rsidRPr="00A856F8">
        <w:rPr>
          <w:rFonts w:ascii="Arial" w:hAnsi="Arial" w:cs="Arial"/>
          <w:sz w:val="20"/>
          <w:szCs w:val="20"/>
        </w:rPr>
        <w:t>2012/27/EU</w:t>
      </w:r>
      <w:r w:rsidR="00CC58DF">
        <w:rPr>
          <w:rFonts w:ascii="Arial" w:hAnsi="Arial" w:cs="Arial"/>
          <w:sz w:val="20"/>
          <w:szCs w:val="20"/>
        </w:rPr>
        <w:t xml:space="preserve"> v prvem in drugem odstavku </w:t>
      </w:r>
      <w:r w:rsidR="00CC58DF">
        <w:rPr>
          <w:rFonts w:ascii="Arial" w:hAnsi="Arial" w:cs="Arial"/>
          <w:sz w:val="20"/>
          <w:szCs w:val="20"/>
        </w:rPr>
        <w:lastRenderedPageBreak/>
        <w:t>7. člena zahteva, da »</w:t>
      </w:r>
      <w:r w:rsidR="00CC58DF" w:rsidRPr="00CC58DF">
        <w:rPr>
          <w:rFonts w:ascii="Arial" w:hAnsi="Arial" w:cs="Arial"/>
          <w:sz w:val="20"/>
          <w:szCs w:val="20"/>
        </w:rPr>
        <w:t>Države članice zagotovijo, da javni naročniki in naročniki pri sklepanju pogodb o javnih naročilih in koncesijah z vrednostjo, ki je enaka ali večja kot mejne vrednosti iz 8</w:t>
      </w:r>
      <w:r w:rsidR="00CC10A6">
        <w:rPr>
          <w:rFonts w:ascii="Arial" w:hAnsi="Arial" w:cs="Arial"/>
          <w:sz w:val="20"/>
          <w:szCs w:val="20"/>
        </w:rPr>
        <w:t>. člena</w:t>
      </w:r>
      <w:r w:rsidR="00CC58DF" w:rsidRPr="00CC58DF">
        <w:rPr>
          <w:rFonts w:ascii="Arial" w:hAnsi="Arial" w:cs="Arial"/>
          <w:sz w:val="20"/>
          <w:szCs w:val="20"/>
        </w:rPr>
        <w:t xml:space="preserve"> Direktive 2014/23/EU, 4</w:t>
      </w:r>
      <w:r w:rsidR="00CC10A6">
        <w:rPr>
          <w:rFonts w:ascii="Arial" w:hAnsi="Arial" w:cs="Arial"/>
          <w:sz w:val="20"/>
          <w:szCs w:val="20"/>
        </w:rPr>
        <w:t>. člena</w:t>
      </w:r>
      <w:r w:rsidR="00CC58DF" w:rsidRPr="00CC58DF">
        <w:rPr>
          <w:rFonts w:ascii="Arial" w:hAnsi="Arial" w:cs="Arial"/>
          <w:sz w:val="20"/>
          <w:szCs w:val="20"/>
        </w:rPr>
        <w:t xml:space="preserve"> Direktive 2014/24/EU in 15</w:t>
      </w:r>
      <w:r w:rsidR="00CC10A6">
        <w:rPr>
          <w:rFonts w:ascii="Arial" w:hAnsi="Arial" w:cs="Arial"/>
          <w:sz w:val="20"/>
          <w:szCs w:val="20"/>
        </w:rPr>
        <w:t>. člena</w:t>
      </w:r>
      <w:r w:rsidR="00CC58DF" w:rsidRPr="00CC58DF">
        <w:rPr>
          <w:rFonts w:ascii="Arial" w:hAnsi="Arial" w:cs="Arial"/>
          <w:sz w:val="20"/>
          <w:szCs w:val="20"/>
        </w:rPr>
        <w:t xml:space="preserve"> Direktive 2014/25/EU, kupujejo le izdelke, storitve, stavbe in gradbena dela z visoko energetsko učinkovitostjo v skladu z zahtevami iz Priloge IV k tej direktivi, razen če je to tehnično neizvedljivo.</w:t>
      </w:r>
      <w:r w:rsidR="00CC58DF">
        <w:rPr>
          <w:rFonts w:ascii="Arial" w:hAnsi="Arial" w:cs="Arial"/>
          <w:sz w:val="20"/>
          <w:szCs w:val="20"/>
        </w:rPr>
        <w:t xml:space="preserve"> </w:t>
      </w:r>
      <w:r w:rsidR="00CC58DF" w:rsidRPr="00CC58DF">
        <w:rPr>
          <w:rFonts w:ascii="Arial" w:hAnsi="Arial" w:cs="Arial"/>
          <w:sz w:val="20"/>
          <w:szCs w:val="20"/>
        </w:rPr>
        <w:t>Države članice zagotovijo tudi, da javni naročniki in naročniki pri oddaji javnih naročil z vrednostjo, ki je enaka ali višja kot mejne vrednosti iz prvega pododstavka, uporabijo načelo „energetska učinkovitost na prvem mestu“ v skladu s 3</w:t>
      </w:r>
      <w:r w:rsidR="00CC10A6">
        <w:rPr>
          <w:rFonts w:ascii="Arial" w:hAnsi="Arial" w:cs="Arial"/>
          <w:sz w:val="20"/>
          <w:szCs w:val="20"/>
        </w:rPr>
        <w:t>. členom</w:t>
      </w:r>
      <w:r w:rsidR="00CC58DF" w:rsidRPr="00CC58DF">
        <w:rPr>
          <w:rFonts w:ascii="Arial" w:hAnsi="Arial" w:cs="Arial"/>
          <w:sz w:val="20"/>
          <w:szCs w:val="20"/>
        </w:rPr>
        <w:t>, tudi pri tistih javnih naročilih in koncesijah, za katere v Prilogi IV niso navedene posebne zahteve.</w:t>
      </w:r>
      <w:r w:rsidR="00CC58DF">
        <w:rPr>
          <w:rFonts w:ascii="Arial" w:hAnsi="Arial" w:cs="Arial"/>
          <w:sz w:val="20"/>
          <w:szCs w:val="20"/>
        </w:rPr>
        <w:t xml:space="preserve">« </w:t>
      </w:r>
    </w:p>
    <w:tbl>
      <w:tblPr>
        <w:tblW w:w="5008" w:type="pct"/>
        <w:shd w:val="clear" w:color="auto" w:fill="FFFFFF"/>
        <w:tblLayout w:type="fixed"/>
        <w:tblCellMar>
          <w:left w:w="0" w:type="dxa"/>
          <w:right w:w="0" w:type="dxa"/>
        </w:tblCellMar>
        <w:tblLook w:val="04A0" w:firstRow="1" w:lastRow="0" w:firstColumn="1" w:lastColumn="0" w:noHBand="0" w:noVBand="1"/>
      </w:tblPr>
      <w:tblGrid>
        <w:gridCol w:w="9020"/>
        <w:gridCol w:w="20"/>
      </w:tblGrid>
      <w:tr w:rsidR="00A8767E" w:rsidRPr="00A8767E" w14:paraId="36201FA2" w14:textId="77777777" w:rsidTr="00533200">
        <w:tc>
          <w:tcPr>
            <w:tcW w:w="4989" w:type="pct"/>
            <w:shd w:val="clear" w:color="auto" w:fill="FFFFFF"/>
            <w:hideMark/>
          </w:tcPr>
          <w:p w14:paraId="5547A2A7" w14:textId="77777777" w:rsidR="00A8767E" w:rsidRDefault="00CC58DF" w:rsidP="00A8767E">
            <w:pPr>
              <w:jc w:val="both"/>
              <w:rPr>
                <w:rFonts w:ascii="Arial" w:hAnsi="Arial" w:cs="Arial"/>
                <w:sz w:val="20"/>
                <w:szCs w:val="20"/>
              </w:rPr>
            </w:pPr>
            <w:r>
              <w:rPr>
                <w:rFonts w:ascii="Arial" w:hAnsi="Arial" w:cs="Arial"/>
                <w:sz w:val="20"/>
                <w:szCs w:val="20"/>
              </w:rPr>
              <w:t xml:space="preserve">V Prilogi IV </w:t>
            </w:r>
            <w:r w:rsidRPr="00A856F8">
              <w:rPr>
                <w:rFonts w:ascii="Arial" w:hAnsi="Arial" w:cs="Arial"/>
                <w:sz w:val="20"/>
                <w:szCs w:val="20"/>
              </w:rPr>
              <w:t>Direktiv</w:t>
            </w:r>
            <w:r>
              <w:rPr>
                <w:rFonts w:ascii="Arial" w:hAnsi="Arial" w:cs="Arial"/>
                <w:sz w:val="20"/>
                <w:szCs w:val="20"/>
              </w:rPr>
              <w:t xml:space="preserve">e </w:t>
            </w:r>
            <w:r w:rsidRPr="00A856F8">
              <w:rPr>
                <w:rFonts w:ascii="Arial" w:hAnsi="Arial" w:cs="Arial"/>
                <w:sz w:val="20"/>
                <w:szCs w:val="20"/>
              </w:rPr>
              <w:t>2012/27/EU</w:t>
            </w:r>
            <w:r>
              <w:rPr>
                <w:rFonts w:ascii="Arial" w:hAnsi="Arial" w:cs="Arial"/>
                <w:sz w:val="20"/>
                <w:szCs w:val="20"/>
              </w:rPr>
              <w:t xml:space="preserve"> so navedene </w:t>
            </w:r>
            <w:r w:rsidRPr="00A8767E">
              <w:rPr>
                <w:rFonts w:ascii="Arial" w:hAnsi="Arial" w:cs="Arial"/>
                <w:sz w:val="20"/>
                <w:szCs w:val="20"/>
              </w:rPr>
              <w:t>zahteve glede energetske učinkovitosti za javno naročanje</w:t>
            </w:r>
            <w:r>
              <w:rPr>
                <w:rFonts w:ascii="Arial" w:hAnsi="Arial" w:cs="Arial"/>
                <w:sz w:val="20"/>
                <w:szCs w:val="20"/>
              </w:rPr>
              <w:t xml:space="preserve">. Med drugim je v alineji c) navedena zahteva, da si v </w:t>
            </w:r>
            <w:r w:rsidR="00A8767E" w:rsidRPr="00A8767E">
              <w:rPr>
                <w:rFonts w:ascii="Arial" w:hAnsi="Arial" w:cs="Arial"/>
                <w:sz w:val="20"/>
                <w:szCs w:val="20"/>
              </w:rPr>
              <w:t>postopkih javnega naročanja za javna naročila in koncesije javni naročniki in naročniki ob nakupu izdelkov, storitev, stavb in gradbenih del</w:t>
            </w:r>
            <w:r>
              <w:rPr>
                <w:rFonts w:ascii="Arial" w:hAnsi="Arial" w:cs="Arial"/>
                <w:sz w:val="20"/>
                <w:szCs w:val="20"/>
              </w:rPr>
              <w:t xml:space="preserve">, </w:t>
            </w:r>
            <w:r w:rsidRPr="00A8767E">
              <w:rPr>
                <w:rFonts w:ascii="Arial" w:hAnsi="Arial" w:cs="Arial"/>
                <w:b/>
                <w:bCs/>
                <w:sz w:val="20"/>
                <w:szCs w:val="20"/>
              </w:rPr>
              <w:t>prizadevajo kupovati samo izdelke in storitve, ki upoštevajo</w:t>
            </w:r>
            <w:r w:rsidRPr="00A8767E">
              <w:rPr>
                <w:rFonts w:ascii="Arial" w:hAnsi="Arial" w:cs="Arial"/>
                <w:sz w:val="20"/>
                <w:szCs w:val="20"/>
              </w:rPr>
              <w:t xml:space="preserve"> </w:t>
            </w:r>
            <w:r w:rsidRPr="00A8767E">
              <w:rPr>
                <w:rFonts w:ascii="Arial" w:hAnsi="Arial" w:cs="Arial"/>
                <w:b/>
                <w:bCs/>
                <w:sz w:val="20"/>
                <w:szCs w:val="20"/>
              </w:rPr>
              <w:t>vsaj tehnične specifikacije, določene na „osnovni“ ravni v upoštevnih merilih Unije za zelena javna naročila ali obstoječih enakovrednih nacionalnih merilih, med drugim tudi za podatkovne centre, strežniške prostore in storitve v oblaku</w:t>
            </w:r>
            <w:r w:rsidRPr="00A8767E">
              <w:rPr>
                <w:rFonts w:ascii="Arial" w:hAnsi="Arial" w:cs="Arial"/>
                <w:sz w:val="20"/>
                <w:szCs w:val="20"/>
              </w:rPr>
              <w:t>, cestno razsvetljavo in semaforje ter računalnike, monitorje, tablične računalnike in pametne telefone</w:t>
            </w:r>
            <w:r>
              <w:rPr>
                <w:rFonts w:ascii="Arial" w:hAnsi="Arial" w:cs="Arial"/>
                <w:sz w:val="20"/>
                <w:szCs w:val="20"/>
              </w:rPr>
              <w:t xml:space="preserve">, </w:t>
            </w:r>
            <w:r w:rsidRPr="00CC58DF">
              <w:rPr>
                <w:rFonts w:ascii="Arial" w:hAnsi="Arial" w:cs="Arial"/>
                <w:sz w:val="20"/>
                <w:szCs w:val="20"/>
              </w:rPr>
              <w:t>kadar za izdelek ali storitev veljajo merila Unije za zelena javna naročila ali obstoječa enakovredna nacionalna merila, pomembna za energetsko učinkovitost izdelka ali storitve</w:t>
            </w:r>
            <w:r>
              <w:rPr>
                <w:rFonts w:ascii="Arial" w:hAnsi="Arial" w:cs="Arial"/>
                <w:sz w:val="20"/>
                <w:szCs w:val="20"/>
              </w:rPr>
              <w:t>.</w:t>
            </w:r>
          </w:p>
          <w:p w14:paraId="5E38ED00" w14:textId="1DBFD9E7" w:rsidR="00460639" w:rsidRPr="00181217" w:rsidRDefault="006A4ECE" w:rsidP="00460639">
            <w:pPr>
              <w:spacing w:after="240"/>
              <w:jc w:val="both"/>
              <w:rPr>
                <w:rFonts w:ascii="Arial" w:hAnsi="Arial" w:cs="Arial"/>
                <w:color w:val="EE0000"/>
                <w:sz w:val="20"/>
                <w:szCs w:val="20"/>
              </w:rPr>
            </w:pPr>
            <w:r>
              <w:rPr>
                <w:rFonts w:ascii="Arial" w:hAnsi="Arial" w:cs="Arial"/>
                <w:sz w:val="20"/>
                <w:szCs w:val="20"/>
              </w:rPr>
              <w:t>Zaradi</w:t>
            </w:r>
            <w:r w:rsidR="00460639">
              <w:rPr>
                <w:rFonts w:ascii="Arial" w:hAnsi="Arial" w:cs="Arial"/>
                <w:sz w:val="20"/>
                <w:szCs w:val="20"/>
              </w:rPr>
              <w:t xml:space="preserve"> sprememb področne zakonodaje in kot rezultat strokovnega posvetovanja, je bila sprejeta odločitev, da se v slovenske primere vključijo </w:t>
            </w:r>
            <w:r w:rsidR="00460639" w:rsidRPr="00460639">
              <w:rPr>
                <w:rFonts w:ascii="Arial" w:hAnsi="Arial" w:cs="Arial"/>
                <w:i/>
                <w:iCs/>
                <w:sz w:val="20"/>
                <w:szCs w:val="20"/>
              </w:rPr>
              <w:t>vse</w:t>
            </w:r>
            <w:r w:rsidR="00460639">
              <w:rPr>
                <w:rFonts w:ascii="Arial" w:hAnsi="Arial" w:cs="Arial"/>
                <w:sz w:val="20"/>
                <w:szCs w:val="20"/>
              </w:rPr>
              <w:t xml:space="preserve"> zahteve iz Meril EU tako na osnovnem kot na zahtevnejšem (celovitem) nivoju, pri čemer pa so bile izvedene določene prilagoditve oz. je v opombah opozorjeno na posebnosti razmer v Sloveniji.</w:t>
            </w:r>
            <w:r w:rsidR="00BB12A5">
              <w:rPr>
                <w:rFonts w:ascii="Arial" w:hAnsi="Arial" w:cs="Arial"/>
                <w:sz w:val="20"/>
                <w:szCs w:val="20"/>
              </w:rPr>
              <w:t xml:space="preserve"> </w:t>
            </w:r>
            <w:r w:rsidR="00BB12A5" w:rsidRPr="006973B6">
              <w:rPr>
                <w:rFonts w:ascii="Arial" w:hAnsi="Arial" w:cs="Arial"/>
                <w:color w:val="000000" w:themeColor="text1"/>
                <w:sz w:val="20"/>
                <w:szCs w:val="20"/>
              </w:rPr>
              <w:t xml:space="preserve">Obvezni cilji iz Uredbe o </w:t>
            </w:r>
            <w:r w:rsidR="00053CB2">
              <w:rPr>
                <w:rFonts w:ascii="Arial" w:hAnsi="Arial" w:cs="Arial"/>
                <w:color w:val="000000" w:themeColor="text1"/>
                <w:sz w:val="20"/>
                <w:szCs w:val="20"/>
              </w:rPr>
              <w:t>ZeJN</w:t>
            </w:r>
            <w:r w:rsidR="00BB12A5" w:rsidRPr="006973B6">
              <w:rPr>
                <w:rFonts w:ascii="Arial" w:hAnsi="Arial" w:cs="Arial"/>
                <w:color w:val="000000" w:themeColor="text1"/>
                <w:sz w:val="20"/>
                <w:szCs w:val="20"/>
              </w:rPr>
              <w:t xml:space="preserve"> so označeni </w:t>
            </w:r>
            <w:r w:rsidR="00066A39" w:rsidRPr="006973B6">
              <w:rPr>
                <w:rFonts w:ascii="Arial" w:hAnsi="Arial" w:cs="Arial"/>
                <w:color w:val="000000" w:themeColor="text1"/>
                <w:sz w:val="20"/>
                <w:szCs w:val="20"/>
              </w:rPr>
              <w:t>z</w:t>
            </w:r>
            <w:r w:rsidR="00EF5C71" w:rsidRPr="006973B6">
              <w:rPr>
                <w:rFonts w:ascii="Arial" w:hAnsi="Arial" w:cs="Arial"/>
                <w:color w:val="000000" w:themeColor="text1"/>
                <w:sz w:val="20"/>
                <w:szCs w:val="20"/>
              </w:rPr>
              <w:t xml:space="preserve"> </w:t>
            </w:r>
            <w:r w:rsidR="00EF5C71" w:rsidRPr="00181217">
              <w:rPr>
                <w:rFonts w:ascii="Arial" w:hAnsi="Arial" w:cs="Arial"/>
                <w:color w:val="EE0000"/>
                <w:sz w:val="20"/>
                <w:szCs w:val="20"/>
              </w:rPr>
              <w:t>rdečo</w:t>
            </w:r>
            <w:r w:rsidR="00BB12A5" w:rsidRPr="00181217">
              <w:rPr>
                <w:rFonts w:ascii="Arial" w:hAnsi="Arial" w:cs="Arial"/>
                <w:color w:val="EE0000"/>
                <w:sz w:val="20"/>
                <w:szCs w:val="20"/>
              </w:rPr>
              <w:t xml:space="preserve"> </w:t>
            </w:r>
            <w:r w:rsidR="00BB12A5" w:rsidRPr="006973B6">
              <w:rPr>
                <w:rFonts w:ascii="Arial" w:hAnsi="Arial" w:cs="Arial"/>
                <w:color w:val="000000" w:themeColor="text1"/>
                <w:sz w:val="20"/>
                <w:szCs w:val="20"/>
              </w:rPr>
              <w:t>pisavo</w:t>
            </w:r>
            <w:r w:rsidR="006973B6">
              <w:rPr>
                <w:rFonts w:ascii="Arial" w:hAnsi="Arial" w:cs="Arial"/>
                <w:color w:val="000000" w:themeColor="text1"/>
                <w:sz w:val="20"/>
                <w:szCs w:val="20"/>
              </w:rPr>
              <w:t>, ostale primere okoljskih zahtev in meril vključujejo naročniki prostovoljno.</w:t>
            </w:r>
          </w:p>
          <w:p w14:paraId="63582369" w14:textId="7E41D866" w:rsidR="009D6863" w:rsidRPr="009D6863" w:rsidRDefault="009D6863" w:rsidP="005859C5">
            <w:pPr>
              <w:spacing w:after="0"/>
              <w:jc w:val="both"/>
              <w:rPr>
                <w:rFonts w:ascii="Arial" w:hAnsi="Arial" w:cs="Arial"/>
                <w:sz w:val="20"/>
                <w:szCs w:val="20"/>
              </w:rPr>
            </w:pPr>
            <w:r>
              <w:rPr>
                <w:rFonts w:ascii="Arial" w:hAnsi="Arial" w:cs="Arial"/>
                <w:sz w:val="20"/>
                <w:szCs w:val="20"/>
              </w:rPr>
              <w:t>Zahteve</w:t>
            </w:r>
            <w:r w:rsidRPr="009D6863">
              <w:rPr>
                <w:rFonts w:ascii="Arial" w:hAnsi="Arial" w:cs="Arial"/>
                <w:sz w:val="20"/>
                <w:szCs w:val="20"/>
              </w:rPr>
              <w:t xml:space="preserve"> so razdeljen</w:t>
            </w:r>
            <w:r>
              <w:rPr>
                <w:rFonts w:ascii="Arial" w:hAnsi="Arial" w:cs="Arial"/>
                <w:sz w:val="20"/>
                <w:szCs w:val="20"/>
              </w:rPr>
              <w:t>e</w:t>
            </w:r>
            <w:r w:rsidRPr="009D6863">
              <w:rPr>
                <w:rFonts w:ascii="Arial" w:hAnsi="Arial" w:cs="Arial"/>
                <w:sz w:val="20"/>
                <w:szCs w:val="20"/>
              </w:rPr>
              <w:t xml:space="preserve"> na </w:t>
            </w:r>
            <w:r>
              <w:rPr>
                <w:rFonts w:ascii="Arial" w:hAnsi="Arial" w:cs="Arial"/>
                <w:sz w:val="20"/>
                <w:szCs w:val="20"/>
              </w:rPr>
              <w:t>pogoje za ugotavljanje sposobnosti</w:t>
            </w:r>
            <w:r w:rsidRPr="009D6863">
              <w:rPr>
                <w:rFonts w:ascii="Arial" w:hAnsi="Arial" w:cs="Arial"/>
                <w:sz w:val="20"/>
                <w:szCs w:val="20"/>
              </w:rPr>
              <w:t xml:space="preserve">, tehnične specifikacije, merila za oddajo naročila in </w:t>
            </w:r>
            <w:r>
              <w:rPr>
                <w:rFonts w:ascii="Arial" w:hAnsi="Arial" w:cs="Arial"/>
                <w:sz w:val="20"/>
                <w:szCs w:val="20"/>
              </w:rPr>
              <w:t>pogodbena</w:t>
            </w:r>
            <w:r w:rsidRPr="009D6863">
              <w:rPr>
                <w:rFonts w:ascii="Arial" w:hAnsi="Arial" w:cs="Arial"/>
                <w:sz w:val="20"/>
                <w:szCs w:val="20"/>
              </w:rPr>
              <w:t xml:space="preserve"> </w:t>
            </w:r>
            <w:r>
              <w:rPr>
                <w:rFonts w:ascii="Arial" w:hAnsi="Arial" w:cs="Arial"/>
                <w:sz w:val="20"/>
                <w:szCs w:val="20"/>
              </w:rPr>
              <w:t>določila</w:t>
            </w:r>
            <w:r w:rsidRPr="009D6863">
              <w:rPr>
                <w:rFonts w:ascii="Arial" w:hAnsi="Arial" w:cs="Arial"/>
                <w:sz w:val="20"/>
                <w:szCs w:val="20"/>
              </w:rPr>
              <w:t xml:space="preserve">. Obstajata dve vrsti </w:t>
            </w:r>
            <w:r>
              <w:rPr>
                <w:rFonts w:ascii="Arial" w:hAnsi="Arial" w:cs="Arial"/>
                <w:sz w:val="20"/>
                <w:szCs w:val="20"/>
              </w:rPr>
              <w:t>zahtev</w:t>
            </w:r>
            <w:r w:rsidRPr="009D6863">
              <w:rPr>
                <w:rFonts w:ascii="Arial" w:hAnsi="Arial" w:cs="Arial"/>
                <w:sz w:val="20"/>
                <w:szCs w:val="20"/>
              </w:rPr>
              <w:t>:</w:t>
            </w:r>
          </w:p>
          <w:p w14:paraId="44FBD644" w14:textId="1CDD4645" w:rsidR="009D6863" w:rsidRPr="00294B02" w:rsidRDefault="009D6863" w:rsidP="005859C5">
            <w:pPr>
              <w:pStyle w:val="Odstavekseznama"/>
              <w:numPr>
                <w:ilvl w:val="0"/>
                <w:numId w:val="28"/>
              </w:numPr>
              <w:spacing w:after="0"/>
              <w:jc w:val="both"/>
              <w:rPr>
                <w:rFonts w:ascii="Arial" w:hAnsi="Arial" w:cs="Arial"/>
                <w:sz w:val="20"/>
                <w:szCs w:val="20"/>
              </w:rPr>
            </w:pPr>
            <w:r w:rsidRPr="005859C5">
              <w:rPr>
                <w:rFonts w:ascii="Arial" w:hAnsi="Arial" w:cs="Arial"/>
                <w:sz w:val="20"/>
                <w:szCs w:val="20"/>
              </w:rPr>
              <w:t>osnovn</w:t>
            </w:r>
            <w:r w:rsidR="005859C5" w:rsidRPr="005859C5">
              <w:rPr>
                <w:rFonts w:ascii="Arial" w:hAnsi="Arial" w:cs="Arial"/>
                <w:sz w:val="20"/>
                <w:szCs w:val="20"/>
              </w:rPr>
              <w:t>i</w:t>
            </w:r>
            <w:r w:rsidRPr="005859C5">
              <w:rPr>
                <w:rFonts w:ascii="Arial" w:hAnsi="Arial" w:cs="Arial"/>
                <w:sz w:val="20"/>
                <w:szCs w:val="20"/>
              </w:rPr>
              <w:t xml:space="preserve"> </w:t>
            </w:r>
            <w:r w:rsidR="005859C5" w:rsidRPr="005859C5">
              <w:rPr>
                <w:rFonts w:ascii="Arial" w:hAnsi="Arial" w:cs="Arial"/>
                <w:sz w:val="20"/>
                <w:szCs w:val="20"/>
              </w:rPr>
              <w:t>nivo</w:t>
            </w:r>
            <w:r w:rsidR="005859C5">
              <w:rPr>
                <w:rFonts w:ascii="Arial" w:hAnsi="Arial" w:cs="Arial"/>
                <w:sz w:val="20"/>
                <w:szCs w:val="20"/>
              </w:rPr>
              <w:t>:</w:t>
            </w:r>
            <w:r w:rsidRPr="005859C5">
              <w:rPr>
                <w:rFonts w:ascii="Arial" w:hAnsi="Arial" w:cs="Arial"/>
                <w:sz w:val="20"/>
                <w:szCs w:val="20"/>
              </w:rPr>
              <w:t xml:space="preserve"> </w:t>
            </w:r>
            <w:r w:rsidR="005859C5">
              <w:rPr>
                <w:rFonts w:ascii="Arial" w:hAnsi="Arial" w:cs="Arial"/>
                <w:sz w:val="20"/>
                <w:szCs w:val="20"/>
              </w:rPr>
              <w:t xml:space="preserve">zahteve so </w:t>
            </w:r>
            <w:r w:rsidRPr="005859C5">
              <w:rPr>
                <w:rFonts w:ascii="Arial" w:hAnsi="Arial" w:cs="Arial"/>
                <w:sz w:val="20"/>
                <w:szCs w:val="20"/>
              </w:rPr>
              <w:t>zasnovan</w:t>
            </w:r>
            <w:r w:rsidR="005859C5">
              <w:rPr>
                <w:rFonts w:ascii="Arial" w:hAnsi="Arial" w:cs="Arial"/>
                <w:sz w:val="20"/>
                <w:szCs w:val="20"/>
              </w:rPr>
              <w:t>e</w:t>
            </w:r>
            <w:r w:rsidRPr="005859C5">
              <w:rPr>
                <w:rFonts w:ascii="Arial" w:hAnsi="Arial" w:cs="Arial"/>
                <w:sz w:val="20"/>
                <w:szCs w:val="20"/>
              </w:rPr>
              <w:t xml:space="preserve"> tako, da omogočajo preprosto uporabo zelenih javnih naročil, osredotočajo se na ključna področja okoljske učinkovitosti izdelka, njihov cilj pa je </w:t>
            </w:r>
            <w:r w:rsidRPr="00294B02">
              <w:rPr>
                <w:rFonts w:ascii="Arial" w:hAnsi="Arial" w:cs="Arial"/>
                <w:sz w:val="20"/>
                <w:szCs w:val="20"/>
              </w:rPr>
              <w:t>stroške omejiti na najnižji možni ravni;</w:t>
            </w:r>
          </w:p>
          <w:p w14:paraId="55C6F96D" w14:textId="701094F0" w:rsidR="005859C5" w:rsidRDefault="005859C5" w:rsidP="001A0779">
            <w:pPr>
              <w:pStyle w:val="Odstavekseznama"/>
              <w:numPr>
                <w:ilvl w:val="0"/>
                <w:numId w:val="28"/>
              </w:numPr>
              <w:spacing w:after="0"/>
              <w:jc w:val="both"/>
              <w:rPr>
                <w:rFonts w:ascii="Arial" w:hAnsi="Arial" w:cs="Arial"/>
                <w:sz w:val="20"/>
                <w:szCs w:val="20"/>
              </w:rPr>
            </w:pPr>
            <w:r w:rsidRPr="008167DC">
              <w:rPr>
                <w:rFonts w:ascii="Arial" w:hAnsi="Arial" w:cs="Arial"/>
                <w:sz w:val="20"/>
                <w:szCs w:val="20"/>
              </w:rPr>
              <w:t>zahtevnejši (c</w:t>
            </w:r>
            <w:r w:rsidR="009D6863" w:rsidRPr="008167DC">
              <w:rPr>
                <w:rFonts w:ascii="Arial" w:hAnsi="Arial" w:cs="Arial"/>
                <w:sz w:val="20"/>
                <w:szCs w:val="20"/>
              </w:rPr>
              <w:t>elovit</w:t>
            </w:r>
            <w:r w:rsidRPr="008167DC">
              <w:rPr>
                <w:rFonts w:ascii="Arial" w:hAnsi="Arial" w:cs="Arial"/>
                <w:sz w:val="20"/>
                <w:szCs w:val="20"/>
              </w:rPr>
              <w:t>)</w:t>
            </w:r>
            <w:r w:rsidR="009D6863" w:rsidRPr="008167DC">
              <w:rPr>
                <w:rFonts w:ascii="Arial" w:hAnsi="Arial" w:cs="Arial"/>
                <w:sz w:val="20"/>
                <w:szCs w:val="20"/>
              </w:rPr>
              <w:t xml:space="preserve"> </w:t>
            </w:r>
            <w:r w:rsidRPr="008167DC">
              <w:rPr>
                <w:rFonts w:ascii="Arial" w:hAnsi="Arial" w:cs="Arial"/>
                <w:sz w:val="20"/>
                <w:szCs w:val="20"/>
              </w:rPr>
              <w:t>nivo:</w:t>
            </w:r>
            <w:r w:rsidR="009D6863" w:rsidRPr="008167DC">
              <w:rPr>
                <w:rFonts w:ascii="Arial" w:hAnsi="Arial" w:cs="Arial"/>
                <w:sz w:val="20"/>
                <w:szCs w:val="20"/>
              </w:rPr>
              <w:t xml:space="preserve"> </w:t>
            </w:r>
            <w:r w:rsidRPr="008167DC">
              <w:rPr>
                <w:rFonts w:ascii="Arial" w:hAnsi="Arial" w:cs="Arial"/>
                <w:sz w:val="20"/>
                <w:szCs w:val="20"/>
              </w:rPr>
              <w:t xml:space="preserve">zahteve </w:t>
            </w:r>
            <w:r w:rsidR="009D6863" w:rsidRPr="008167DC">
              <w:rPr>
                <w:rFonts w:ascii="Arial" w:hAnsi="Arial" w:cs="Arial"/>
                <w:sz w:val="20"/>
                <w:szCs w:val="20"/>
              </w:rPr>
              <w:t>upošteva</w:t>
            </w:r>
            <w:r w:rsidRPr="008167DC">
              <w:rPr>
                <w:rFonts w:ascii="Arial" w:hAnsi="Arial" w:cs="Arial"/>
                <w:sz w:val="20"/>
                <w:szCs w:val="20"/>
              </w:rPr>
              <w:t>jo</w:t>
            </w:r>
            <w:r w:rsidR="009D6863" w:rsidRPr="008167DC">
              <w:rPr>
                <w:rFonts w:ascii="Arial" w:hAnsi="Arial" w:cs="Arial"/>
                <w:sz w:val="20"/>
                <w:szCs w:val="20"/>
              </w:rPr>
              <w:t xml:space="preserve"> več vidikov </w:t>
            </w:r>
            <w:r w:rsidRPr="008167DC">
              <w:rPr>
                <w:rFonts w:ascii="Arial" w:hAnsi="Arial" w:cs="Arial"/>
                <w:sz w:val="20"/>
                <w:szCs w:val="20"/>
              </w:rPr>
              <w:t>oz.</w:t>
            </w:r>
            <w:r w:rsidR="009D6863" w:rsidRPr="008167DC">
              <w:rPr>
                <w:rFonts w:ascii="Arial" w:hAnsi="Arial" w:cs="Arial"/>
                <w:sz w:val="20"/>
                <w:szCs w:val="20"/>
              </w:rPr>
              <w:t xml:space="preserve"> višj</w:t>
            </w:r>
            <w:r w:rsidRPr="008167DC">
              <w:rPr>
                <w:rFonts w:ascii="Arial" w:hAnsi="Arial" w:cs="Arial"/>
                <w:sz w:val="20"/>
                <w:szCs w:val="20"/>
              </w:rPr>
              <w:t>o</w:t>
            </w:r>
            <w:r w:rsidR="009D6863" w:rsidRPr="008167DC">
              <w:rPr>
                <w:rFonts w:ascii="Arial" w:hAnsi="Arial" w:cs="Arial"/>
                <w:sz w:val="20"/>
                <w:szCs w:val="20"/>
              </w:rPr>
              <w:t xml:space="preserve"> rav</w:t>
            </w:r>
            <w:r w:rsidRPr="008167DC">
              <w:rPr>
                <w:rFonts w:ascii="Arial" w:hAnsi="Arial" w:cs="Arial"/>
                <w:sz w:val="20"/>
                <w:szCs w:val="20"/>
              </w:rPr>
              <w:t>e</w:t>
            </w:r>
            <w:r w:rsidR="009D6863" w:rsidRPr="008167DC">
              <w:rPr>
                <w:rFonts w:ascii="Arial" w:hAnsi="Arial" w:cs="Arial"/>
                <w:sz w:val="20"/>
                <w:szCs w:val="20"/>
              </w:rPr>
              <w:t>n okoljske učinkovitosti, uporabljal</w:t>
            </w:r>
            <w:r w:rsidRPr="008167DC">
              <w:rPr>
                <w:rFonts w:ascii="Arial" w:hAnsi="Arial" w:cs="Arial"/>
                <w:sz w:val="20"/>
                <w:szCs w:val="20"/>
              </w:rPr>
              <w:t>i</w:t>
            </w:r>
            <w:r w:rsidR="009D6863" w:rsidRPr="008167DC">
              <w:rPr>
                <w:rFonts w:ascii="Arial" w:hAnsi="Arial" w:cs="Arial"/>
                <w:sz w:val="20"/>
                <w:szCs w:val="20"/>
              </w:rPr>
              <w:t xml:space="preserve"> pa naj bi</w:t>
            </w:r>
            <w:r w:rsidRPr="008167DC">
              <w:rPr>
                <w:rFonts w:ascii="Arial" w:hAnsi="Arial" w:cs="Arial"/>
                <w:sz w:val="20"/>
                <w:szCs w:val="20"/>
              </w:rPr>
              <w:t xml:space="preserve"> jih</w:t>
            </w:r>
            <w:r w:rsidR="009D6863" w:rsidRPr="008167DC">
              <w:rPr>
                <w:rFonts w:ascii="Arial" w:hAnsi="Arial" w:cs="Arial"/>
                <w:sz w:val="20"/>
                <w:szCs w:val="20"/>
              </w:rPr>
              <w:t xml:space="preserve"> organi, ki želijo narediti korak naprej pri podpiranju ciljev na področju okolja in inovacij.</w:t>
            </w:r>
          </w:p>
          <w:p w14:paraId="208D4C12" w14:textId="77777777" w:rsidR="00D37FB9" w:rsidRPr="008167DC" w:rsidRDefault="00D37FB9" w:rsidP="008167DC">
            <w:pPr>
              <w:spacing w:after="0"/>
              <w:jc w:val="both"/>
              <w:rPr>
                <w:rFonts w:ascii="Arial" w:hAnsi="Arial" w:cs="Arial"/>
                <w:sz w:val="20"/>
                <w:szCs w:val="20"/>
              </w:rPr>
            </w:pPr>
          </w:p>
          <w:p w14:paraId="3B7817A2" w14:textId="77777777" w:rsidR="00460639" w:rsidRPr="00460639" w:rsidRDefault="00460639" w:rsidP="00460639">
            <w:pPr>
              <w:pStyle w:val="Odstavekseznama"/>
              <w:numPr>
                <w:ilvl w:val="0"/>
                <w:numId w:val="21"/>
              </w:numPr>
              <w:jc w:val="both"/>
              <w:rPr>
                <w:rFonts w:ascii="Arial" w:eastAsia="Arial" w:hAnsi="Arial" w:cs="Arial"/>
                <w:b/>
                <w:vanish/>
                <w:color w:val="385522"/>
                <w:spacing w:val="1"/>
                <w:kern w:val="0"/>
                <w:sz w:val="20"/>
                <w:szCs w:val="20"/>
                <w14:ligatures w14:val="none"/>
              </w:rPr>
            </w:pPr>
          </w:p>
          <w:p w14:paraId="79FD1142" w14:textId="77777777" w:rsidR="00460639" w:rsidRPr="00460639" w:rsidRDefault="00460639" w:rsidP="00460639">
            <w:pPr>
              <w:pStyle w:val="Odstavekseznama"/>
              <w:numPr>
                <w:ilvl w:val="0"/>
                <w:numId w:val="21"/>
              </w:numPr>
              <w:jc w:val="both"/>
              <w:rPr>
                <w:rFonts w:ascii="Arial" w:eastAsia="Arial" w:hAnsi="Arial" w:cs="Arial"/>
                <w:b/>
                <w:vanish/>
                <w:color w:val="385522"/>
                <w:spacing w:val="1"/>
                <w:kern w:val="0"/>
                <w:sz w:val="20"/>
                <w:szCs w:val="20"/>
                <w14:ligatures w14:val="none"/>
              </w:rPr>
            </w:pPr>
          </w:p>
          <w:p w14:paraId="25257BE8" w14:textId="77777777" w:rsidR="00460639" w:rsidRPr="00460639" w:rsidRDefault="00460639" w:rsidP="00460639">
            <w:pPr>
              <w:pStyle w:val="Odstavekseznama"/>
              <w:numPr>
                <w:ilvl w:val="0"/>
                <w:numId w:val="21"/>
              </w:numPr>
              <w:jc w:val="both"/>
              <w:rPr>
                <w:rFonts w:ascii="Arial" w:eastAsia="Arial" w:hAnsi="Arial" w:cs="Arial"/>
                <w:b/>
                <w:vanish/>
                <w:color w:val="385522"/>
                <w:spacing w:val="1"/>
                <w:kern w:val="0"/>
                <w:sz w:val="20"/>
                <w:szCs w:val="20"/>
                <w14:ligatures w14:val="none"/>
              </w:rPr>
            </w:pPr>
          </w:p>
          <w:p w14:paraId="2265B11E" w14:textId="77777777" w:rsidR="00460639" w:rsidRPr="00460639" w:rsidRDefault="00460639" w:rsidP="00460639">
            <w:pPr>
              <w:pStyle w:val="Odstavekseznama"/>
              <w:numPr>
                <w:ilvl w:val="0"/>
                <w:numId w:val="21"/>
              </w:numPr>
              <w:jc w:val="both"/>
              <w:rPr>
                <w:rFonts w:ascii="Arial" w:eastAsia="Arial" w:hAnsi="Arial" w:cs="Arial"/>
                <w:b/>
                <w:vanish/>
                <w:color w:val="385522"/>
                <w:spacing w:val="1"/>
                <w:kern w:val="0"/>
                <w:sz w:val="20"/>
                <w:szCs w:val="20"/>
                <w14:ligatures w14:val="none"/>
              </w:rPr>
            </w:pPr>
          </w:p>
          <w:p w14:paraId="23090F03" w14:textId="77777777" w:rsidR="00460639" w:rsidRPr="00460639" w:rsidRDefault="00460639" w:rsidP="00460639">
            <w:pPr>
              <w:pStyle w:val="Odstavekseznama"/>
              <w:numPr>
                <w:ilvl w:val="0"/>
                <w:numId w:val="21"/>
              </w:numPr>
              <w:jc w:val="both"/>
              <w:rPr>
                <w:rFonts w:ascii="Arial" w:eastAsia="Arial" w:hAnsi="Arial" w:cs="Arial"/>
                <w:b/>
                <w:vanish/>
                <w:color w:val="385522"/>
                <w:spacing w:val="1"/>
                <w:kern w:val="0"/>
                <w:sz w:val="20"/>
                <w:szCs w:val="20"/>
                <w14:ligatures w14:val="none"/>
              </w:rPr>
            </w:pPr>
          </w:p>
          <w:p w14:paraId="584586EA" w14:textId="1192794B" w:rsidR="00FC2795" w:rsidRPr="00A8767E" w:rsidRDefault="00FC2795" w:rsidP="008167DC">
            <w:pPr>
              <w:jc w:val="both"/>
              <w:rPr>
                <w:rFonts w:ascii="Arial" w:hAnsi="Arial" w:cs="Arial"/>
                <w:sz w:val="20"/>
                <w:szCs w:val="20"/>
              </w:rPr>
            </w:pPr>
          </w:p>
        </w:tc>
        <w:tc>
          <w:tcPr>
            <w:tcW w:w="11" w:type="pct"/>
            <w:shd w:val="clear" w:color="auto" w:fill="FFFFFF"/>
            <w:hideMark/>
          </w:tcPr>
          <w:p w14:paraId="7E55A176" w14:textId="20AEB2FF" w:rsidR="00A8767E" w:rsidRPr="00A8767E" w:rsidRDefault="00A8767E" w:rsidP="00A8767E">
            <w:pPr>
              <w:jc w:val="both"/>
              <w:rPr>
                <w:rFonts w:ascii="Arial" w:hAnsi="Arial" w:cs="Arial"/>
                <w:sz w:val="20"/>
                <w:szCs w:val="20"/>
              </w:rPr>
            </w:pPr>
          </w:p>
        </w:tc>
      </w:tr>
    </w:tbl>
    <w:p w14:paraId="75AC82A1" w14:textId="0105C8D7" w:rsidR="00C93E9C" w:rsidRPr="00D37FB9" w:rsidRDefault="00A61C00" w:rsidP="00D37FB9">
      <w:pPr>
        <w:pStyle w:val="Odstavekseznama"/>
        <w:numPr>
          <w:ilvl w:val="0"/>
          <w:numId w:val="21"/>
        </w:numPr>
        <w:rPr>
          <w:rFonts w:ascii="Arial" w:eastAsia="Arial" w:hAnsi="Arial" w:cs="Arial"/>
          <w:b/>
          <w:color w:val="385522"/>
          <w:spacing w:val="1"/>
          <w:kern w:val="0"/>
          <w:sz w:val="20"/>
          <w:szCs w:val="20"/>
          <w14:ligatures w14:val="none"/>
        </w:rPr>
      </w:pPr>
      <w:r w:rsidRPr="00D37FB9">
        <w:rPr>
          <w:rFonts w:ascii="Arial" w:eastAsia="Arial" w:hAnsi="Arial" w:cs="Arial"/>
          <w:b/>
          <w:color w:val="385522"/>
          <w:spacing w:val="1"/>
          <w:kern w:val="0"/>
          <w:sz w:val="20"/>
          <w:szCs w:val="20"/>
          <w14:ligatures w14:val="none"/>
        </w:rPr>
        <w:t>Okoljske zahteve in merila</w:t>
      </w:r>
    </w:p>
    <w:tbl>
      <w:tblPr>
        <w:tblStyle w:val="Tabelamrea"/>
        <w:tblW w:w="0" w:type="auto"/>
        <w:tblLook w:val="04A0" w:firstRow="1" w:lastRow="0" w:firstColumn="1" w:lastColumn="0" w:noHBand="0" w:noVBand="1"/>
        <w:tblCaption w:val="Tabela - pogoji za ugotavljanje sposobnosti - PS"/>
        <w:tblDescription w:val="Tabela vsebuje pogoje za ugotavljanje sposobnosti v postopkih javnega naročila za podatkovne center, strežniške prostore in storitve v oblaku. Deli se na osovni nivo in zahtevnejši nivo. "/>
      </w:tblPr>
      <w:tblGrid>
        <w:gridCol w:w="601"/>
        <w:gridCol w:w="24"/>
        <w:gridCol w:w="3883"/>
        <w:gridCol w:w="140"/>
        <w:gridCol w:w="124"/>
        <w:gridCol w:w="4244"/>
      </w:tblGrid>
      <w:tr w:rsidR="000B4D0A" w14:paraId="3277FED0" w14:textId="77777777" w:rsidTr="00F74F99">
        <w:tc>
          <w:tcPr>
            <w:tcW w:w="4508" w:type="dxa"/>
            <w:gridSpan w:val="3"/>
            <w:shd w:val="clear" w:color="auto" w:fill="9BBA58"/>
          </w:tcPr>
          <w:p w14:paraId="4E553728" w14:textId="57639EC4" w:rsidR="000B4D0A" w:rsidRPr="00C93E9C" w:rsidRDefault="000B4D0A" w:rsidP="00C93E9C">
            <w:pPr>
              <w:jc w:val="both"/>
              <w:rPr>
                <w:rFonts w:ascii="Arial" w:eastAsia="Arial" w:hAnsi="Arial" w:cs="Arial"/>
                <w:b/>
                <w:kern w:val="0"/>
                <w:sz w:val="20"/>
                <w:szCs w:val="20"/>
                <w14:ligatures w14:val="none"/>
              </w:rPr>
            </w:pPr>
            <w:bookmarkStart w:id="1" w:name="_Hlk184818940"/>
            <w:r w:rsidRPr="00C93E9C">
              <w:rPr>
                <w:rFonts w:ascii="Arial" w:eastAsia="Arial" w:hAnsi="Arial" w:cs="Arial"/>
                <w:b/>
                <w:kern w:val="0"/>
                <w:sz w:val="20"/>
                <w:szCs w:val="20"/>
                <w14:ligatures w14:val="none"/>
              </w:rPr>
              <w:t>Pogoji za ugotavljanje sposobnosti</w:t>
            </w:r>
            <w:r>
              <w:rPr>
                <w:rFonts w:ascii="Arial" w:eastAsia="Arial" w:hAnsi="Arial" w:cs="Arial"/>
                <w:b/>
                <w:kern w:val="0"/>
                <w:sz w:val="20"/>
                <w:szCs w:val="20"/>
                <w14:ligatures w14:val="none"/>
              </w:rPr>
              <w:t xml:space="preserve"> (PS)</w:t>
            </w:r>
          </w:p>
        </w:tc>
        <w:tc>
          <w:tcPr>
            <w:tcW w:w="4508" w:type="dxa"/>
            <w:gridSpan w:val="3"/>
            <w:shd w:val="clear" w:color="auto" w:fill="9BBA58"/>
          </w:tcPr>
          <w:p w14:paraId="3631E055" w14:textId="77777777" w:rsidR="000B4D0A" w:rsidRPr="00C93E9C" w:rsidRDefault="000B4D0A" w:rsidP="00C93E9C">
            <w:pPr>
              <w:jc w:val="both"/>
              <w:rPr>
                <w:rFonts w:ascii="Arial" w:eastAsia="Arial" w:hAnsi="Arial" w:cs="Arial"/>
                <w:b/>
                <w:kern w:val="0"/>
                <w:sz w:val="20"/>
                <w:szCs w:val="20"/>
                <w14:ligatures w14:val="none"/>
              </w:rPr>
            </w:pPr>
          </w:p>
        </w:tc>
      </w:tr>
      <w:tr w:rsidR="00C93E9C" w14:paraId="56860D1D" w14:textId="77777777" w:rsidTr="00B4722E">
        <w:tc>
          <w:tcPr>
            <w:tcW w:w="601" w:type="dxa"/>
          </w:tcPr>
          <w:p w14:paraId="1A4FF4B4" w14:textId="77777777" w:rsidR="00C93E9C" w:rsidRDefault="00C93E9C" w:rsidP="00C93E9C">
            <w:pPr>
              <w:jc w:val="both"/>
              <w:rPr>
                <w:rFonts w:ascii="Arial" w:eastAsia="Arial" w:hAnsi="Arial" w:cs="Arial"/>
                <w:b/>
                <w:color w:val="385522"/>
                <w:spacing w:val="1"/>
                <w:kern w:val="0"/>
                <w:sz w:val="20"/>
                <w:szCs w:val="20"/>
                <w14:ligatures w14:val="none"/>
              </w:rPr>
            </w:pPr>
          </w:p>
        </w:tc>
        <w:tc>
          <w:tcPr>
            <w:tcW w:w="4047" w:type="dxa"/>
            <w:gridSpan w:val="3"/>
            <w:shd w:val="clear" w:color="auto" w:fill="C5E0B3" w:themeFill="accent6" w:themeFillTint="66"/>
          </w:tcPr>
          <w:p w14:paraId="086B4E2C" w14:textId="633FF879" w:rsidR="00C93E9C" w:rsidRDefault="00C93E9C" w:rsidP="00C93E9C">
            <w:pPr>
              <w:jc w:val="both"/>
              <w:rPr>
                <w:rFonts w:ascii="Arial" w:eastAsia="Arial" w:hAnsi="Arial" w:cs="Arial"/>
                <w:b/>
                <w:color w:val="385522"/>
                <w:spacing w:val="1"/>
                <w:kern w:val="0"/>
                <w:sz w:val="20"/>
                <w:szCs w:val="20"/>
                <w14:ligatures w14:val="none"/>
              </w:rPr>
            </w:pPr>
            <w:r w:rsidRPr="00C93E9C">
              <w:rPr>
                <w:rFonts w:ascii="Arial" w:eastAsia="Arial" w:hAnsi="Arial" w:cs="Arial"/>
                <w:b/>
                <w:kern w:val="0"/>
                <w:sz w:val="20"/>
                <w:szCs w:val="20"/>
                <w14:ligatures w14:val="none"/>
              </w:rPr>
              <w:t>Osnovni nivo</w:t>
            </w:r>
          </w:p>
        </w:tc>
        <w:tc>
          <w:tcPr>
            <w:tcW w:w="4368" w:type="dxa"/>
            <w:gridSpan w:val="2"/>
            <w:shd w:val="clear" w:color="auto" w:fill="C5E0B3" w:themeFill="accent6" w:themeFillTint="66"/>
          </w:tcPr>
          <w:p w14:paraId="17A2AAFB" w14:textId="77D4E68B" w:rsidR="00C93E9C" w:rsidRPr="00C93E9C" w:rsidRDefault="00C93E9C" w:rsidP="00C93E9C">
            <w:pPr>
              <w:jc w:val="both"/>
              <w:rPr>
                <w:rFonts w:ascii="Arial" w:eastAsia="Arial" w:hAnsi="Arial" w:cs="Arial"/>
                <w:b/>
                <w:kern w:val="0"/>
                <w:sz w:val="20"/>
                <w:szCs w:val="20"/>
                <w14:ligatures w14:val="none"/>
              </w:rPr>
            </w:pPr>
            <w:r w:rsidRPr="00C93E9C">
              <w:rPr>
                <w:rFonts w:ascii="Arial" w:eastAsia="Arial" w:hAnsi="Arial" w:cs="Arial"/>
                <w:b/>
                <w:kern w:val="0"/>
                <w:sz w:val="20"/>
                <w:szCs w:val="20"/>
                <w14:ligatures w14:val="none"/>
              </w:rPr>
              <w:t>Zahtevnejši nivo</w:t>
            </w:r>
          </w:p>
        </w:tc>
      </w:tr>
      <w:tr w:rsidR="003B03FB" w14:paraId="3A3D229E" w14:textId="77777777" w:rsidTr="00B4722E">
        <w:tc>
          <w:tcPr>
            <w:tcW w:w="601" w:type="dxa"/>
          </w:tcPr>
          <w:p w14:paraId="3B918D8E" w14:textId="77777777" w:rsidR="003B03FB" w:rsidRDefault="003B03FB" w:rsidP="00C93E9C">
            <w:pPr>
              <w:jc w:val="both"/>
              <w:rPr>
                <w:rFonts w:ascii="Arial" w:eastAsia="Arial" w:hAnsi="Arial" w:cs="Arial"/>
                <w:b/>
                <w:color w:val="385522"/>
                <w:spacing w:val="1"/>
                <w:kern w:val="0"/>
                <w:sz w:val="20"/>
                <w:szCs w:val="20"/>
                <w14:ligatures w14:val="none"/>
              </w:rPr>
            </w:pPr>
          </w:p>
        </w:tc>
        <w:tc>
          <w:tcPr>
            <w:tcW w:w="8415" w:type="dxa"/>
            <w:gridSpan w:val="5"/>
            <w:shd w:val="clear" w:color="auto" w:fill="9BBA58"/>
          </w:tcPr>
          <w:p w14:paraId="4F1CABB3" w14:textId="77777777" w:rsidR="003B03FB" w:rsidRPr="006D6BA0" w:rsidRDefault="003B03FB" w:rsidP="003B03FB">
            <w:pPr>
              <w:jc w:val="both"/>
              <w:rPr>
                <w:rFonts w:ascii="Arial" w:hAnsi="Arial" w:cs="Arial"/>
                <w:b/>
                <w:bCs/>
                <w:sz w:val="20"/>
                <w:szCs w:val="20"/>
              </w:rPr>
            </w:pPr>
            <w:r>
              <w:rPr>
                <w:rFonts w:ascii="Arial" w:hAnsi="Arial" w:cs="Arial"/>
                <w:b/>
                <w:bCs/>
                <w:sz w:val="20"/>
                <w:szCs w:val="20"/>
              </w:rPr>
              <w:t xml:space="preserve">Predmet naročila: </w:t>
            </w:r>
          </w:p>
          <w:p w14:paraId="19F3D7EF" w14:textId="77777777" w:rsidR="003B03FB" w:rsidRPr="00010818" w:rsidRDefault="003B03FB" w:rsidP="003B03FB">
            <w:pPr>
              <w:pStyle w:val="Default"/>
              <w:numPr>
                <w:ilvl w:val="0"/>
                <w:numId w:val="1"/>
              </w:numPr>
              <w:jc w:val="both"/>
              <w:rPr>
                <w:rFonts w:ascii="Arial" w:hAnsi="Arial" w:cs="Arial"/>
                <w:b/>
                <w:bCs/>
                <w:color w:val="auto"/>
                <w:kern w:val="2"/>
                <w:sz w:val="20"/>
                <w:szCs w:val="20"/>
              </w:rPr>
            </w:pPr>
            <w:r w:rsidRPr="00010818">
              <w:rPr>
                <w:rFonts w:ascii="Arial" w:hAnsi="Arial" w:cs="Arial"/>
                <w:b/>
                <w:bCs/>
                <w:color w:val="auto"/>
                <w:kern w:val="2"/>
                <w:sz w:val="20"/>
                <w:szCs w:val="20"/>
              </w:rPr>
              <w:t xml:space="preserve">nakup storitev za virtualizacijo ali konsolidacijo IT </w:t>
            </w:r>
          </w:p>
          <w:p w14:paraId="3AAFA080" w14:textId="77777777" w:rsidR="003B03FB" w:rsidRPr="00B246CC" w:rsidRDefault="003B03FB" w:rsidP="003B03FB">
            <w:pPr>
              <w:pStyle w:val="Odstavekseznama"/>
              <w:numPr>
                <w:ilvl w:val="0"/>
                <w:numId w:val="1"/>
              </w:numPr>
              <w:jc w:val="both"/>
              <w:rPr>
                <w:rFonts w:ascii="Arial" w:hAnsi="Arial" w:cs="Arial"/>
                <w:b/>
                <w:bCs/>
                <w:sz w:val="20"/>
                <w:szCs w:val="20"/>
              </w:rPr>
            </w:pPr>
            <w:r w:rsidRPr="00B246CC">
              <w:rPr>
                <w:rFonts w:ascii="Arial" w:hAnsi="Arial" w:cs="Arial"/>
                <w:b/>
                <w:bCs/>
                <w:sz w:val="20"/>
                <w:szCs w:val="20"/>
              </w:rPr>
              <w:t xml:space="preserve">nakup storitev upravljanja in vzdrževanja podjetniškega podatkovnega centra ali strežniške sobe </w:t>
            </w:r>
          </w:p>
          <w:p w14:paraId="71969E20" w14:textId="77777777" w:rsidR="003B03FB" w:rsidRPr="00C93E9C" w:rsidRDefault="003B03FB" w:rsidP="00C93E9C">
            <w:pPr>
              <w:jc w:val="both"/>
              <w:rPr>
                <w:rFonts w:ascii="Arial" w:eastAsia="Arial" w:hAnsi="Arial" w:cs="Arial"/>
                <w:b/>
                <w:kern w:val="0"/>
                <w:sz w:val="20"/>
                <w:szCs w:val="20"/>
                <w14:ligatures w14:val="none"/>
              </w:rPr>
            </w:pPr>
          </w:p>
        </w:tc>
      </w:tr>
      <w:tr w:rsidR="00C93E9C" w14:paraId="4C70283C" w14:textId="77777777" w:rsidTr="00B4722E">
        <w:tc>
          <w:tcPr>
            <w:tcW w:w="601" w:type="dxa"/>
          </w:tcPr>
          <w:p w14:paraId="6FB1F8A2" w14:textId="243C8CC3" w:rsidR="00C93E9C" w:rsidRPr="00EE4AEF" w:rsidRDefault="003B03FB" w:rsidP="00C93E9C">
            <w:pPr>
              <w:jc w:val="both"/>
              <w:rPr>
                <w:rFonts w:ascii="Arial" w:eastAsia="Arial" w:hAnsi="Arial" w:cs="Arial"/>
                <w:bCs/>
                <w:color w:val="385522"/>
                <w:spacing w:val="1"/>
                <w:kern w:val="0"/>
                <w:sz w:val="20"/>
                <w:szCs w:val="20"/>
                <w14:ligatures w14:val="none"/>
              </w:rPr>
            </w:pPr>
            <w:r>
              <w:rPr>
                <w:rFonts w:ascii="Arial" w:eastAsia="Arial" w:hAnsi="Arial" w:cs="Arial"/>
                <w:bCs/>
                <w:spacing w:val="1"/>
                <w:kern w:val="0"/>
                <w:sz w:val="20"/>
                <w:szCs w:val="20"/>
                <w14:ligatures w14:val="none"/>
              </w:rPr>
              <w:t>PS</w:t>
            </w:r>
            <w:r w:rsidR="00EE4AEF" w:rsidRPr="00EE4AEF">
              <w:rPr>
                <w:rFonts w:ascii="Arial" w:eastAsia="Arial" w:hAnsi="Arial" w:cs="Arial"/>
                <w:bCs/>
                <w:spacing w:val="1"/>
                <w:kern w:val="0"/>
                <w:sz w:val="20"/>
                <w:szCs w:val="20"/>
                <w14:ligatures w14:val="none"/>
              </w:rPr>
              <w:t>1</w:t>
            </w:r>
          </w:p>
        </w:tc>
        <w:tc>
          <w:tcPr>
            <w:tcW w:w="8415" w:type="dxa"/>
            <w:gridSpan w:val="5"/>
          </w:tcPr>
          <w:p w14:paraId="4253BFAA" w14:textId="77777777" w:rsidR="00C93E9C" w:rsidRDefault="00C93E9C" w:rsidP="00C93E9C">
            <w:pPr>
              <w:jc w:val="both"/>
              <w:rPr>
                <w:rFonts w:ascii="Arial" w:hAnsi="Arial" w:cs="Arial"/>
                <w:b/>
                <w:bCs/>
                <w:sz w:val="20"/>
                <w:szCs w:val="20"/>
              </w:rPr>
            </w:pPr>
            <w:r>
              <w:rPr>
                <w:rFonts w:ascii="Arial" w:hAnsi="Arial" w:cs="Arial"/>
                <w:b/>
                <w:bCs/>
                <w:sz w:val="20"/>
                <w:szCs w:val="20"/>
              </w:rPr>
              <w:t>Izkoriščenost strežnikov</w:t>
            </w:r>
            <w:r w:rsidRPr="006D6BA0">
              <w:rPr>
                <w:rFonts w:ascii="Arial" w:hAnsi="Arial" w:cs="Arial"/>
                <w:b/>
                <w:bCs/>
                <w:sz w:val="20"/>
                <w:szCs w:val="20"/>
              </w:rPr>
              <w:t xml:space="preserve"> – </w:t>
            </w:r>
            <w:r w:rsidRPr="00463490">
              <w:rPr>
                <w:rFonts w:ascii="Arial" w:hAnsi="Arial" w:cs="Arial"/>
                <w:b/>
                <w:bCs/>
                <w:i/>
                <w:iCs/>
                <w:sz w:val="20"/>
                <w:szCs w:val="20"/>
              </w:rPr>
              <w:t>Osnovni in zahtevnejši nivo (se vključi, ko podatkovne centre upravlja tretja oseba)</w:t>
            </w:r>
          </w:p>
          <w:p w14:paraId="62D97F2F" w14:textId="77777777" w:rsidR="00C93E9C" w:rsidRPr="00DC45D3" w:rsidRDefault="00C93E9C" w:rsidP="00C93E9C">
            <w:pPr>
              <w:jc w:val="both"/>
              <w:rPr>
                <w:rFonts w:ascii="Arial" w:hAnsi="Arial" w:cs="Arial"/>
                <w:b/>
                <w:bCs/>
                <w:sz w:val="12"/>
                <w:szCs w:val="12"/>
              </w:rPr>
            </w:pPr>
          </w:p>
          <w:p w14:paraId="4CF12523" w14:textId="03B96268" w:rsidR="00C93E9C" w:rsidRPr="00853340" w:rsidRDefault="00C93E9C" w:rsidP="00C93E9C">
            <w:pPr>
              <w:jc w:val="both"/>
              <w:rPr>
                <w:rFonts w:ascii="Arial" w:hAnsi="Arial" w:cs="Arial"/>
                <w:sz w:val="20"/>
                <w:szCs w:val="20"/>
              </w:rPr>
            </w:pPr>
            <w:r w:rsidRPr="006D6BA0">
              <w:rPr>
                <w:rFonts w:ascii="Arial" w:hAnsi="Arial" w:cs="Arial"/>
                <w:sz w:val="20"/>
                <w:szCs w:val="20"/>
              </w:rPr>
              <w:t xml:space="preserve">Ponudnik </w:t>
            </w:r>
            <w:r w:rsidR="0079499B">
              <w:rPr>
                <w:rFonts w:ascii="Arial" w:hAnsi="Arial" w:cs="Arial"/>
                <w:sz w:val="20"/>
                <w:szCs w:val="20"/>
              </w:rPr>
              <w:t xml:space="preserve">oz. ključno osebje </w:t>
            </w:r>
            <w:r w:rsidRPr="006D6BA0">
              <w:rPr>
                <w:rFonts w:ascii="Arial" w:hAnsi="Arial" w:cs="Arial"/>
                <w:sz w:val="20"/>
                <w:szCs w:val="20"/>
              </w:rPr>
              <w:t>mora imeti izkušnje z optimizacijo uporabe strežnikov in virtualizacijo IT storitev. To mora vključevati storitve virtualizacije strežnikov, orodja za upravljanje izkoriščenosti in programsko opremo</w:t>
            </w:r>
            <w:r>
              <w:rPr>
                <w:rFonts w:ascii="Arial" w:hAnsi="Arial" w:cs="Arial"/>
                <w:sz w:val="20"/>
                <w:szCs w:val="20"/>
              </w:rPr>
              <w:t xml:space="preserve"> za upravljanje</w:t>
            </w:r>
            <w:r>
              <w:rPr>
                <w:rStyle w:val="Sprotnaopomba-sklic"/>
                <w:rFonts w:ascii="Arial" w:hAnsi="Arial" w:cs="Arial"/>
                <w:sz w:val="20"/>
                <w:szCs w:val="20"/>
              </w:rPr>
              <w:footnoteReference w:id="8"/>
            </w:r>
            <w:r w:rsidRPr="006D6BA0">
              <w:rPr>
                <w:rFonts w:ascii="Arial" w:hAnsi="Arial" w:cs="Arial"/>
                <w:sz w:val="20"/>
                <w:szCs w:val="20"/>
              </w:rPr>
              <w:t xml:space="preserve"> ter konsolidacijo IT virov v podatkovnih centrih.</w:t>
            </w:r>
          </w:p>
          <w:p w14:paraId="5A2A7B3E" w14:textId="77777777" w:rsidR="00C93E9C" w:rsidRPr="00DC45D3" w:rsidRDefault="00C93E9C" w:rsidP="00C93E9C">
            <w:pPr>
              <w:jc w:val="both"/>
              <w:rPr>
                <w:rFonts w:ascii="Arial" w:hAnsi="Arial" w:cs="Arial"/>
                <w:sz w:val="12"/>
                <w:szCs w:val="12"/>
              </w:rPr>
            </w:pPr>
          </w:p>
          <w:p w14:paraId="29316240" w14:textId="77777777" w:rsidR="00C93E9C" w:rsidRPr="008D2809" w:rsidRDefault="00C93E9C" w:rsidP="00C93E9C">
            <w:pPr>
              <w:jc w:val="both"/>
              <w:rPr>
                <w:rFonts w:ascii="Arial" w:hAnsi="Arial" w:cs="Arial"/>
                <w:b/>
                <w:bCs/>
                <w:sz w:val="20"/>
                <w:szCs w:val="20"/>
              </w:rPr>
            </w:pPr>
            <w:r w:rsidRPr="008D2809">
              <w:rPr>
                <w:rFonts w:ascii="Arial" w:hAnsi="Arial" w:cs="Arial"/>
                <w:b/>
                <w:bCs/>
                <w:sz w:val="20"/>
                <w:szCs w:val="20"/>
              </w:rPr>
              <w:t xml:space="preserve">Preverjanje: </w:t>
            </w:r>
          </w:p>
          <w:p w14:paraId="669304A5" w14:textId="621A5999" w:rsidR="00C93E9C" w:rsidRPr="00853340" w:rsidRDefault="00C93E9C" w:rsidP="00C93E9C">
            <w:pPr>
              <w:jc w:val="both"/>
              <w:rPr>
                <w:rFonts w:ascii="Arial" w:hAnsi="Arial" w:cs="Arial"/>
                <w:sz w:val="20"/>
                <w:szCs w:val="20"/>
              </w:rPr>
            </w:pPr>
            <w:r w:rsidRPr="00853340">
              <w:rPr>
                <w:rFonts w:ascii="Arial" w:hAnsi="Arial" w:cs="Arial"/>
                <w:sz w:val="20"/>
                <w:szCs w:val="20"/>
              </w:rPr>
              <w:lastRenderedPageBreak/>
              <w:t>Ponudniki morajo zagotoviti dokazila o prejšnjih projektih s podobno delovno obremenitvijo, da so dosegli, ohranili in izboljšali izkoriščenost IT opreme. To vključuje opise metod</w:t>
            </w:r>
            <w:r>
              <w:rPr>
                <w:rFonts w:ascii="Arial" w:hAnsi="Arial" w:cs="Arial"/>
                <w:sz w:val="20"/>
                <w:szCs w:val="20"/>
              </w:rPr>
              <w:t xml:space="preserve">, </w:t>
            </w:r>
            <w:r w:rsidRPr="00853340">
              <w:rPr>
                <w:rFonts w:ascii="Arial" w:hAnsi="Arial" w:cs="Arial"/>
                <w:sz w:val="20"/>
                <w:szCs w:val="20"/>
              </w:rPr>
              <w:t xml:space="preserve">uporabljenih za optimizacijo izkoriščenosti. Sprejemljiva dokazila vključujejo informacije in reference, povezane z ustreznimi pogodbami v zadnjih </w:t>
            </w:r>
            <w:r>
              <w:rPr>
                <w:rFonts w:ascii="Arial" w:hAnsi="Arial" w:cs="Arial"/>
                <w:sz w:val="20"/>
                <w:szCs w:val="20"/>
              </w:rPr>
              <w:t>5</w:t>
            </w:r>
            <w:r w:rsidRPr="00853340">
              <w:rPr>
                <w:rFonts w:ascii="Arial" w:hAnsi="Arial" w:cs="Arial"/>
                <w:sz w:val="20"/>
                <w:szCs w:val="20"/>
              </w:rPr>
              <w:t xml:space="preserve"> letih, v katerih so bili izvedeni zgoraj navedeni elementi. Ta dokazila se lahko nanašajo na ustrezne pogodbe ali ključne osebe, ki bodo vključene v zagotavljanje storitve. To mora biti podprto tudi z življenjepisi osebja, ki bo delalo na projektu, in njihovimi ustreznimi projektnimi izkušnjami.</w:t>
            </w:r>
          </w:p>
          <w:p w14:paraId="1E9B71F9" w14:textId="77777777" w:rsidR="00C93E9C" w:rsidRDefault="00C93E9C" w:rsidP="00C93E9C">
            <w:pPr>
              <w:jc w:val="both"/>
              <w:rPr>
                <w:rFonts w:ascii="Arial" w:eastAsia="Arial" w:hAnsi="Arial" w:cs="Arial"/>
                <w:b/>
                <w:color w:val="385522"/>
                <w:spacing w:val="1"/>
                <w:kern w:val="0"/>
                <w:sz w:val="20"/>
                <w:szCs w:val="20"/>
                <w14:ligatures w14:val="none"/>
              </w:rPr>
            </w:pPr>
          </w:p>
        </w:tc>
      </w:tr>
      <w:tr w:rsidR="00C93E9C" w14:paraId="2967EE94" w14:textId="77777777" w:rsidTr="00B4722E">
        <w:tc>
          <w:tcPr>
            <w:tcW w:w="601" w:type="dxa"/>
          </w:tcPr>
          <w:p w14:paraId="05C46A48" w14:textId="080B3142" w:rsidR="00C93E9C" w:rsidRPr="00EE4AEF" w:rsidRDefault="00C93E9C" w:rsidP="00C93E9C">
            <w:pPr>
              <w:jc w:val="both"/>
              <w:rPr>
                <w:rFonts w:ascii="Arial" w:eastAsia="Arial" w:hAnsi="Arial" w:cs="Arial"/>
                <w:bCs/>
                <w:color w:val="385522"/>
                <w:spacing w:val="1"/>
                <w:kern w:val="0"/>
                <w:sz w:val="20"/>
                <w:szCs w:val="20"/>
                <w14:ligatures w14:val="none"/>
              </w:rPr>
            </w:pPr>
          </w:p>
        </w:tc>
        <w:tc>
          <w:tcPr>
            <w:tcW w:w="8415" w:type="dxa"/>
            <w:gridSpan w:val="5"/>
            <w:shd w:val="clear" w:color="auto" w:fill="9BBA58"/>
          </w:tcPr>
          <w:p w14:paraId="5AE100C7" w14:textId="77777777" w:rsidR="0039646B" w:rsidRPr="0039646B" w:rsidRDefault="0039646B" w:rsidP="0039646B">
            <w:pPr>
              <w:jc w:val="both"/>
              <w:rPr>
                <w:rFonts w:ascii="Arial" w:hAnsi="Arial" w:cs="Arial"/>
                <w:b/>
                <w:bCs/>
                <w:sz w:val="20"/>
                <w:szCs w:val="20"/>
              </w:rPr>
            </w:pPr>
            <w:r w:rsidRPr="0039646B">
              <w:rPr>
                <w:rFonts w:ascii="Arial" w:hAnsi="Arial" w:cs="Arial"/>
                <w:b/>
                <w:bCs/>
                <w:sz w:val="20"/>
                <w:szCs w:val="20"/>
              </w:rPr>
              <w:t xml:space="preserve">Predmet naročila: </w:t>
            </w:r>
          </w:p>
          <w:p w14:paraId="04E7B43A" w14:textId="77777777" w:rsidR="0039646B" w:rsidRPr="0039646B" w:rsidRDefault="0039646B" w:rsidP="0039646B">
            <w:pPr>
              <w:numPr>
                <w:ilvl w:val="0"/>
                <w:numId w:val="1"/>
              </w:numPr>
              <w:jc w:val="both"/>
              <w:rPr>
                <w:rFonts w:ascii="Arial" w:hAnsi="Arial" w:cs="Arial"/>
                <w:b/>
                <w:bCs/>
                <w:sz w:val="20"/>
                <w:szCs w:val="20"/>
              </w:rPr>
            </w:pPr>
            <w:r w:rsidRPr="0039646B">
              <w:rPr>
                <w:rFonts w:ascii="Arial" w:hAnsi="Arial" w:cs="Arial"/>
                <w:b/>
                <w:bCs/>
                <w:sz w:val="20"/>
                <w:szCs w:val="20"/>
              </w:rPr>
              <w:t xml:space="preserve">izgradnja novega podatkovnega centra </w:t>
            </w:r>
          </w:p>
          <w:p w14:paraId="47F9D80E" w14:textId="77777777" w:rsidR="0039646B" w:rsidRPr="0039646B" w:rsidRDefault="0039646B" w:rsidP="0039646B">
            <w:pPr>
              <w:numPr>
                <w:ilvl w:val="0"/>
                <w:numId w:val="1"/>
              </w:numPr>
              <w:jc w:val="both"/>
              <w:rPr>
                <w:rFonts w:ascii="Arial" w:hAnsi="Arial" w:cs="Arial"/>
                <w:b/>
                <w:bCs/>
                <w:sz w:val="20"/>
                <w:szCs w:val="20"/>
              </w:rPr>
            </w:pPr>
            <w:r w:rsidRPr="0039646B">
              <w:rPr>
                <w:rFonts w:ascii="Arial" w:hAnsi="Arial" w:cs="Arial"/>
                <w:b/>
                <w:bCs/>
                <w:sz w:val="20"/>
                <w:szCs w:val="20"/>
              </w:rPr>
              <w:t xml:space="preserve">razširitev obstoječe naprave z infrastrukturo novega podatkovnega centra in  strežniške sobe </w:t>
            </w:r>
          </w:p>
          <w:p w14:paraId="56E279C2" w14:textId="77777777" w:rsidR="0039646B" w:rsidRPr="0039646B" w:rsidRDefault="0039646B" w:rsidP="0039646B">
            <w:pPr>
              <w:numPr>
                <w:ilvl w:val="0"/>
                <w:numId w:val="1"/>
              </w:numPr>
              <w:jc w:val="both"/>
              <w:rPr>
                <w:rFonts w:ascii="Arial" w:hAnsi="Arial" w:cs="Arial"/>
                <w:b/>
                <w:bCs/>
                <w:sz w:val="20"/>
                <w:szCs w:val="20"/>
              </w:rPr>
            </w:pPr>
            <w:r w:rsidRPr="0039646B">
              <w:rPr>
                <w:rFonts w:ascii="Arial" w:hAnsi="Arial" w:cs="Arial"/>
                <w:b/>
                <w:bCs/>
                <w:sz w:val="20"/>
                <w:szCs w:val="20"/>
              </w:rPr>
              <w:t xml:space="preserve">nakup konsolidacijskih storitev za obstoječe strežniške sobe, porazdeljene v novem podatkovnem centru </w:t>
            </w:r>
          </w:p>
          <w:p w14:paraId="4965FE2A" w14:textId="77777777" w:rsidR="0039646B" w:rsidRPr="0039646B" w:rsidRDefault="0039646B" w:rsidP="0039646B">
            <w:pPr>
              <w:numPr>
                <w:ilvl w:val="0"/>
                <w:numId w:val="1"/>
              </w:numPr>
              <w:jc w:val="both"/>
              <w:rPr>
                <w:rFonts w:ascii="Arial" w:hAnsi="Arial" w:cs="Arial"/>
                <w:b/>
                <w:bCs/>
                <w:sz w:val="20"/>
                <w:szCs w:val="20"/>
              </w:rPr>
            </w:pPr>
            <w:r w:rsidRPr="0039646B">
              <w:rPr>
                <w:rFonts w:ascii="Arial" w:hAnsi="Arial" w:cs="Arial"/>
                <w:b/>
                <w:bCs/>
                <w:sz w:val="20"/>
                <w:szCs w:val="20"/>
              </w:rPr>
              <w:t xml:space="preserve">nakup storitev upravljanja in vzdrževanja podjetniškega podatkovnega centra ali strežniške sobe </w:t>
            </w:r>
          </w:p>
          <w:p w14:paraId="0C4AB755" w14:textId="77777777" w:rsidR="00C93E9C" w:rsidRDefault="00C93E9C" w:rsidP="0039646B">
            <w:pPr>
              <w:jc w:val="both"/>
              <w:rPr>
                <w:rFonts w:ascii="Arial" w:eastAsia="Arial" w:hAnsi="Arial" w:cs="Arial"/>
                <w:b/>
                <w:color w:val="385522"/>
                <w:spacing w:val="1"/>
                <w:kern w:val="0"/>
                <w:sz w:val="20"/>
                <w:szCs w:val="20"/>
                <w14:ligatures w14:val="none"/>
              </w:rPr>
            </w:pPr>
          </w:p>
        </w:tc>
      </w:tr>
      <w:tr w:rsidR="0039646B" w14:paraId="16CC0FBF" w14:textId="77777777" w:rsidTr="00B4722E">
        <w:trPr>
          <w:trHeight w:val="5312"/>
        </w:trPr>
        <w:tc>
          <w:tcPr>
            <w:tcW w:w="601" w:type="dxa"/>
          </w:tcPr>
          <w:p w14:paraId="2FD6B2F0" w14:textId="733BB9AF" w:rsidR="0039646B" w:rsidRDefault="0039646B" w:rsidP="00C93E9C">
            <w:pPr>
              <w:jc w:val="both"/>
              <w:rPr>
                <w:rFonts w:ascii="Arial" w:eastAsia="Arial" w:hAnsi="Arial" w:cs="Arial"/>
                <w:bCs/>
                <w:color w:val="385522"/>
                <w:spacing w:val="1"/>
                <w:kern w:val="0"/>
                <w:sz w:val="20"/>
                <w:szCs w:val="20"/>
                <w14:ligatures w14:val="none"/>
              </w:rPr>
            </w:pPr>
            <w:r w:rsidRPr="0039646B">
              <w:rPr>
                <w:rFonts w:ascii="Arial" w:eastAsia="Arial" w:hAnsi="Arial" w:cs="Arial"/>
                <w:bCs/>
                <w:spacing w:val="1"/>
                <w:kern w:val="0"/>
                <w:sz w:val="20"/>
                <w:szCs w:val="20"/>
                <w14:ligatures w14:val="none"/>
              </w:rPr>
              <w:t>PS</w:t>
            </w:r>
            <w:r w:rsidR="00C103FD">
              <w:rPr>
                <w:rFonts w:ascii="Arial" w:eastAsia="Arial" w:hAnsi="Arial" w:cs="Arial"/>
                <w:bCs/>
                <w:spacing w:val="1"/>
                <w:kern w:val="0"/>
                <w:sz w:val="20"/>
                <w:szCs w:val="20"/>
                <w14:ligatures w14:val="none"/>
              </w:rPr>
              <w:t>2</w:t>
            </w:r>
          </w:p>
        </w:tc>
        <w:tc>
          <w:tcPr>
            <w:tcW w:w="8415" w:type="dxa"/>
            <w:gridSpan w:val="5"/>
          </w:tcPr>
          <w:p w14:paraId="2644B7C9" w14:textId="77777777" w:rsidR="0039646B" w:rsidRPr="0039646B" w:rsidRDefault="0039646B" w:rsidP="0039646B">
            <w:pPr>
              <w:jc w:val="both"/>
              <w:rPr>
                <w:rFonts w:ascii="Arial" w:hAnsi="Arial" w:cs="Arial"/>
                <w:b/>
                <w:bCs/>
                <w:i/>
                <w:iCs/>
                <w:sz w:val="20"/>
                <w:szCs w:val="20"/>
              </w:rPr>
            </w:pPr>
            <w:r w:rsidRPr="0039646B">
              <w:rPr>
                <w:rFonts w:ascii="Arial" w:hAnsi="Arial" w:cs="Arial"/>
                <w:b/>
                <w:bCs/>
                <w:sz w:val="20"/>
                <w:szCs w:val="20"/>
              </w:rPr>
              <w:t xml:space="preserve">Upravljanje energije za hlajenje – </w:t>
            </w:r>
            <w:r w:rsidRPr="0039646B">
              <w:rPr>
                <w:rFonts w:ascii="Arial" w:hAnsi="Arial" w:cs="Arial"/>
                <w:b/>
                <w:bCs/>
                <w:i/>
                <w:iCs/>
                <w:sz w:val="20"/>
                <w:szCs w:val="20"/>
              </w:rPr>
              <w:t>Osnovni in zahtevnejši nivo (se vključi, ko podatkovne centre upravlja tretja oseba)</w:t>
            </w:r>
          </w:p>
          <w:p w14:paraId="60B5132B" w14:textId="77777777" w:rsidR="0039646B" w:rsidRPr="00DC45D3" w:rsidRDefault="0039646B" w:rsidP="0039646B">
            <w:pPr>
              <w:jc w:val="both"/>
              <w:rPr>
                <w:rFonts w:ascii="Arial" w:hAnsi="Arial" w:cs="Arial"/>
                <w:b/>
                <w:bCs/>
                <w:sz w:val="12"/>
                <w:szCs w:val="12"/>
              </w:rPr>
            </w:pPr>
          </w:p>
          <w:p w14:paraId="1DAD4139" w14:textId="036ADB6F" w:rsidR="0039646B" w:rsidRPr="0039646B" w:rsidRDefault="0039646B" w:rsidP="0039646B">
            <w:pPr>
              <w:jc w:val="both"/>
              <w:rPr>
                <w:rFonts w:ascii="Arial" w:hAnsi="Arial" w:cs="Arial"/>
                <w:sz w:val="20"/>
                <w:szCs w:val="20"/>
              </w:rPr>
            </w:pPr>
            <w:r w:rsidRPr="0039646B">
              <w:rPr>
                <w:rFonts w:ascii="Arial" w:hAnsi="Arial" w:cs="Arial"/>
                <w:sz w:val="20"/>
                <w:szCs w:val="20"/>
              </w:rPr>
              <w:t xml:space="preserve">Ponudnik oz. ključno osebje mora imeti ustrezne kompetence in izkušnje pri zmanjševanju porabe energije za hlajenje, prepoznavanju priložnosti za zmanjšanje porabe energije ter za uporabo preostale odpadne toplote (npr. za ogrevanje sosednjih stavb ali priključitev na daljinsko ogrevanje). Ponudniki morajo še posebej zagotoviti informacije o: (i) Zmožnostih in spretnostih organizacije ponudnika in morebitnih izvajalcev za uspešno prepoznavanje in izvajanje ukrepov za zmanjšanje porabe energije in ponovno uporabo energije in (ii) Operativnih izkušnjah pri uporabi sistemov za spremljanje in programske opreme za obveščanje o strategijah zmanjševanja porabe energije, s posebnim poudarkom na najboljših praksah v okviru </w:t>
            </w:r>
            <w:hyperlink r:id="rId11" w:history="1">
              <w:r w:rsidRPr="0039646B">
                <w:rPr>
                  <w:rStyle w:val="Hiperpovezava"/>
                  <w:rFonts w:ascii="Arial" w:hAnsi="Arial" w:cs="Arial"/>
                  <w:sz w:val="20"/>
                  <w:szCs w:val="20"/>
                </w:rPr>
                <w:t>Kodeksa ravnanja EU / EN 50600 TR99-1 glede »upravljanja hlajenja« in »nastavitev temperature in vlažnosti«.</w:t>
              </w:r>
            </w:hyperlink>
          </w:p>
          <w:p w14:paraId="1AABF110" w14:textId="77777777" w:rsidR="0039646B" w:rsidRPr="00DC45D3" w:rsidRDefault="0039646B" w:rsidP="0039646B">
            <w:pPr>
              <w:jc w:val="both"/>
              <w:rPr>
                <w:rFonts w:ascii="Arial" w:hAnsi="Arial" w:cs="Arial"/>
                <w:sz w:val="12"/>
                <w:szCs w:val="12"/>
              </w:rPr>
            </w:pPr>
          </w:p>
          <w:p w14:paraId="514BC5FB" w14:textId="77777777" w:rsidR="0039646B" w:rsidRPr="0039646B" w:rsidRDefault="0039646B" w:rsidP="0039646B">
            <w:pPr>
              <w:jc w:val="both"/>
              <w:rPr>
                <w:rFonts w:ascii="Arial" w:hAnsi="Arial" w:cs="Arial"/>
                <w:b/>
                <w:bCs/>
                <w:sz w:val="20"/>
                <w:szCs w:val="20"/>
              </w:rPr>
            </w:pPr>
            <w:r w:rsidRPr="0039646B">
              <w:rPr>
                <w:rFonts w:ascii="Arial" w:hAnsi="Arial" w:cs="Arial"/>
                <w:b/>
                <w:bCs/>
                <w:sz w:val="20"/>
                <w:szCs w:val="20"/>
              </w:rPr>
              <w:t xml:space="preserve">Preverjanje: </w:t>
            </w:r>
          </w:p>
          <w:p w14:paraId="5A9B6705" w14:textId="0CC8898E" w:rsidR="0039646B" w:rsidRPr="00D451E0" w:rsidRDefault="0039646B" w:rsidP="00BF71D9">
            <w:pPr>
              <w:jc w:val="both"/>
              <w:rPr>
                <w:rFonts w:ascii="Arial" w:hAnsi="Arial" w:cs="Arial"/>
                <w:b/>
                <w:bCs/>
                <w:sz w:val="20"/>
                <w:szCs w:val="20"/>
              </w:rPr>
            </w:pPr>
            <w:r w:rsidRPr="0039646B">
              <w:rPr>
                <w:rFonts w:ascii="Arial" w:hAnsi="Arial" w:cs="Arial"/>
                <w:sz w:val="20"/>
                <w:szCs w:val="20"/>
              </w:rPr>
              <w:t xml:space="preserve">Ponudnik mora predložiti dokaze iz prejšnjih projektov podatkovnih centrov s podobnimi značilnostmi, povezane z ustreznimi pogodbami v zadnjih 5 letih, ki dokazujejo, kako je zmanjšal ali minimiziral porabo energije za hlajenje. Dokazi morajo biti v obliki informacij in referenc za specifične podatkovne centre, ki so bili servisirani v zadnjih </w:t>
            </w:r>
            <w:r w:rsidR="00463490">
              <w:rPr>
                <w:rFonts w:ascii="Arial" w:hAnsi="Arial" w:cs="Arial"/>
                <w:sz w:val="20"/>
                <w:szCs w:val="20"/>
              </w:rPr>
              <w:t>pet (</w:t>
            </w:r>
            <w:r w:rsidRPr="0039646B">
              <w:rPr>
                <w:rFonts w:ascii="Arial" w:hAnsi="Arial" w:cs="Arial"/>
                <w:sz w:val="20"/>
                <w:szCs w:val="20"/>
              </w:rPr>
              <w:t>5</w:t>
            </w:r>
            <w:r w:rsidR="00463490">
              <w:rPr>
                <w:rFonts w:ascii="Arial" w:hAnsi="Arial" w:cs="Arial"/>
                <w:sz w:val="20"/>
                <w:szCs w:val="20"/>
              </w:rPr>
              <w:t>)</w:t>
            </w:r>
            <w:r w:rsidRPr="0039646B">
              <w:rPr>
                <w:rFonts w:ascii="Arial" w:hAnsi="Arial" w:cs="Arial"/>
                <w:sz w:val="20"/>
                <w:szCs w:val="20"/>
              </w:rPr>
              <w:t xml:space="preserve"> letih. Ti dokazi se lahko nanašajo bodisi na ustrezne pogodbe bodisi na ključne osebje, ki bo sodelovalo pri zagotavljanju storitve.</w:t>
            </w:r>
          </w:p>
        </w:tc>
      </w:tr>
      <w:bookmarkEnd w:id="1"/>
      <w:tr w:rsidR="00B4722E" w14:paraId="1BEA4AB1" w14:textId="77777777" w:rsidTr="0072234E">
        <w:tc>
          <w:tcPr>
            <w:tcW w:w="9016" w:type="dxa"/>
            <w:gridSpan w:val="6"/>
            <w:shd w:val="clear" w:color="auto" w:fill="9BBA58"/>
          </w:tcPr>
          <w:p w14:paraId="3BDCAD1F" w14:textId="28499618" w:rsidR="00B4722E" w:rsidRPr="00C93E9C" w:rsidRDefault="00B4722E" w:rsidP="00545CF0">
            <w:pPr>
              <w:jc w:val="both"/>
              <w:rPr>
                <w:rFonts w:ascii="Arial" w:eastAsia="Arial" w:hAnsi="Arial" w:cs="Arial"/>
                <w:b/>
                <w:kern w:val="0"/>
                <w:sz w:val="20"/>
                <w:szCs w:val="20"/>
                <w14:ligatures w14:val="none"/>
              </w:rPr>
            </w:pPr>
            <w:r>
              <w:rPr>
                <w:rFonts w:ascii="Arial" w:eastAsia="Arial" w:hAnsi="Arial" w:cs="Arial"/>
                <w:b/>
                <w:kern w:val="0"/>
                <w:sz w:val="20"/>
                <w:szCs w:val="20"/>
                <w14:ligatures w14:val="none"/>
              </w:rPr>
              <w:t>Tehnične specifikacije (TS)</w:t>
            </w:r>
          </w:p>
        </w:tc>
      </w:tr>
      <w:tr w:rsidR="00C83435" w14:paraId="3B4A6723" w14:textId="77777777" w:rsidTr="00B4722E">
        <w:tc>
          <w:tcPr>
            <w:tcW w:w="625" w:type="dxa"/>
            <w:gridSpan w:val="2"/>
          </w:tcPr>
          <w:p w14:paraId="7DA72FCF" w14:textId="77777777" w:rsidR="00EE4AEF" w:rsidRDefault="00EE4AEF" w:rsidP="00545CF0">
            <w:pPr>
              <w:jc w:val="both"/>
              <w:rPr>
                <w:rFonts w:ascii="Arial" w:eastAsia="Arial" w:hAnsi="Arial" w:cs="Arial"/>
                <w:b/>
                <w:color w:val="385522"/>
                <w:spacing w:val="1"/>
                <w:kern w:val="0"/>
                <w:sz w:val="20"/>
                <w:szCs w:val="20"/>
                <w14:ligatures w14:val="none"/>
              </w:rPr>
            </w:pPr>
          </w:p>
        </w:tc>
        <w:tc>
          <w:tcPr>
            <w:tcW w:w="4147" w:type="dxa"/>
            <w:gridSpan w:val="3"/>
            <w:shd w:val="clear" w:color="auto" w:fill="C5E0B3" w:themeFill="accent6" w:themeFillTint="66"/>
          </w:tcPr>
          <w:p w14:paraId="11E21AE1" w14:textId="77777777" w:rsidR="00EE4AEF" w:rsidRDefault="00EE4AEF" w:rsidP="00545CF0">
            <w:pPr>
              <w:jc w:val="both"/>
              <w:rPr>
                <w:rFonts w:ascii="Arial" w:eastAsia="Arial" w:hAnsi="Arial" w:cs="Arial"/>
                <w:b/>
                <w:color w:val="385522"/>
                <w:spacing w:val="1"/>
                <w:kern w:val="0"/>
                <w:sz w:val="20"/>
                <w:szCs w:val="20"/>
                <w14:ligatures w14:val="none"/>
              </w:rPr>
            </w:pPr>
            <w:r w:rsidRPr="00C93E9C">
              <w:rPr>
                <w:rFonts w:ascii="Arial" w:eastAsia="Arial" w:hAnsi="Arial" w:cs="Arial"/>
                <w:b/>
                <w:kern w:val="0"/>
                <w:sz w:val="20"/>
                <w:szCs w:val="20"/>
                <w14:ligatures w14:val="none"/>
              </w:rPr>
              <w:t>Osnovni nivo</w:t>
            </w:r>
          </w:p>
        </w:tc>
        <w:tc>
          <w:tcPr>
            <w:tcW w:w="4244" w:type="dxa"/>
            <w:shd w:val="clear" w:color="auto" w:fill="C5E0B3" w:themeFill="accent6" w:themeFillTint="66"/>
          </w:tcPr>
          <w:p w14:paraId="2A2DD4D3" w14:textId="77777777" w:rsidR="00EE4AEF" w:rsidRPr="00C93E9C" w:rsidRDefault="00EE4AEF" w:rsidP="00545CF0">
            <w:pPr>
              <w:jc w:val="both"/>
              <w:rPr>
                <w:rFonts w:ascii="Arial" w:eastAsia="Arial" w:hAnsi="Arial" w:cs="Arial"/>
                <w:b/>
                <w:kern w:val="0"/>
                <w:sz w:val="20"/>
                <w:szCs w:val="20"/>
                <w14:ligatures w14:val="none"/>
              </w:rPr>
            </w:pPr>
            <w:r w:rsidRPr="00C93E9C">
              <w:rPr>
                <w:rFonts w:ascii="Arial" w:eastAsia="Arial" w:hAnsi="Arial" w:cs="Arial"/>
                <w:b/>
                <w:kern w:val="0"/>
                <w:sz w:val="20"/>
                <w:szCs w:val="20"/>
                <w14:ligatures w14:val="none"/>
              </w:rPr>
              <w:t>Zahtevnejši nivo</w:t>
            </w:r>
          </w:p>
        </w:tc>
      </w:tr>
      <w:tr w:rsidR="0079499B" w14:paraId="74B2D2FE" w14:textId="77777777" w:rsidTr="00B4722E">
        <w:tc>
          <w:tcPr>
            <w:tcW w:w="625" w:type="dxa"/>
            <w:gridSpan w:val="2"/>
          </w:tcPr>
          <w:p w14:paraId="64F996F3" w14:textId="77777777" w:rsidR="0079499B" w:rsidRDefault="0079499B" w:rsidP="00545CF0">
            <w:pPr>
              <w:jc w:val="both"/>
              <w:rPr>
                <w:rFonts w:ascii="Arial" w:eastAsia="Arial" w:hAnsi="Arial" w:cs="Arial"/>
                <w:b/>
                <w:color w:val="385522"/>
                <w:spacing w:val="1"/>
                <w:kern w:val="0"/>
                <w:sz w:val="20"/>
                <w:szCs w:val="20"/>
                <w14:ligatures w14:val="none"/>
              </w:rPr>
            </w:pPr>
          </w:p>
        </w:tc>
        <w:tc>
          <w:tcPr>
            <w:tcW w:w="8391" w:type="dxa"/>
            <w:gridSpan w:val="4"/>
            <w:shd w:val="clear" w:color="auto" w:fill="9BBA58"/>
          </w:tcPr>
          <w:p w14:paraId="1748F317" w14:textId="77777777" w:rsidR="0079499B" w:rsidRPr="006339CE" w:rsidRDefault="0079499B" w:rsidP="0079499B">
            <w:pPr>
              <w:pStyle w:val="Default"/>
              <w:jc w:val="both"/>
              <w:rPr>
                <w:rFonts w:ascii="Arial" w:hAnsi="Arial" w:cs="Arial"/>
                <w:b/>
                <w:bCs/>
                <w:color w:val="auto"/>
                <w:kern w:val="2"/>
                <w:sz w:val="20"/>
                <w:szCs w:val="20"/>
              </w:rPr>
            </w:pPr>
            <w:r w:rsidRPr="006339CE">
              <w:rPr>
                <w:rFonts w:ascii="Arial" w:hAnsi="Arial" w:cs="Arial"/>
                <w:b/>
                <w:bCs/>
                <w:color w:val="auto"/>
                <w:kern w:val="2"/>
                <w:sz w:val="20"/>
                <w:szCs w:val="20"/>
              </w:rPr>
              <w:t xml:space="preserve">Predmet naročila: </w:t>
            </w:r>
          </w:p>
          <w:p w14:paraId="47752900" w14:textId="0DC5948D" w:rsidR="0079499B" w:rsidRPr="00463490" w:rsidRDefault="0079499B" w:rsidP="00463490">
            <w:pPr>
              <w:pStyle w:val="Default"/>
              <w:numPr>
                <w:ilvl w:val="0"/>
                <w:numId w:val="1"/>
              </w:numPr>
              <w:jc w:val="both"/>
              <w:rPr>
                <w:rFonts w:ascii="Arial" w:hAnsi="Arial" w:cs="Arial"/>
                <w:b/>
                <w:bCs/>
                <w:sz w:val="20"/>
                <w:szCs w:val="20"/>
              </w:rPr>
            </w:pPr>
            <w:r w:rsidRPr="006339CE">
              <w:rPr>
                <w:rFonts w:ascii="Arial" w:hAnsi="Arial" w:cs="Arial"/>
                <w:b/>
                <w:bCs/>
                <w:color w:val="auto"/>
                <w:kern w:val="2"/>
                <w:sz w:val="20"/>
                <w:szCs w:val="20"/>
              </w:rPr>
              <w:t xml:space="preserve">nakup opreme IT z manjšim vplivom na okolje </w:t>
            </w:r>
          </w:p>
        </w:tc>
      </w:tr>
      <w:tr w:rsidR="00C83435" w14:paraId="2D4717D4" w14:textId="77777777" w:rsidTr="00B4722E">
        <w:tc>
          <w:tcPr>
            <w:tcW w:w="625" w:type="dxa"/>
            <w:gridSpan w:val="2"/>
          </w:tcPr>
          <w:p w14:paraId="3063844E" w14:textId="70124527" w:rsidR="00C83435" w:rsidRPr="00EE4AEF" w:rsidRDefault="00EB58BD" w:rsidP="00545CF0">
            <w:pPr>
              <w:jc w:val="both"/>
              <w:rPr>
                <w:rFonts w:ascii="Arial" w:eastAsia="Arial" w:hAnsi="Arial" w:cs="Arial"/>
                <w:bCs/>
                <w:color w:val="385522"/>
                <w:spacing w:val="1"/>
                <w:kern w:val="0"/>
                <w:sz w:val="20"/>
                <w:szCs w:val="20"/>
                <w14:ligatures w14:val="none"/>
              </w:rPr>
            </w:pPr>
            <w:r>
              <w:rPr>
                <w:rFonts w:ascii="Arial" w:eastAsia="Arial" w:hAnsi="Arial" w:cs="Arial"/>
                <w:bCs/>
                <w:spacing w:val="1"/>
                <w:kern w:val="0"/>
                <w:sz w:val="20"/>
                <w:szCs w:val="20"/>
                <w14:ligatures w14:val="none"/>
              </w:rPr>
              <w:t>TS</w:t>
            </w:r>
            <w:r w:rsidR="00C83435" w:rsidRPr="00EE4AEF">
              <w:rPr>
                <w:rFonts w:ascii="Arial" w:eastAsia="Arial" w:hAnsi="Arial" w:cs="Arial"/>
                <w:bCs/>
                <w:spacing w:val="1"/>
                <w:kern w:val="0"/>
                <w:sz w:val="20"/>
                <w:szCs w:val="20"/>
                <w14:ligatures w14:val="none"/>
              </w:rPr>
              <w:t>1</w:t>
            </w:r>
          </w:p>
        </w:tc>
        <w:tc>
          <w:tcPr>
            <w:tcW w:w="4147" w:type="dxa"/>
            <w:gridSpan w:val="3"/>
          </w:tcPr>
          <w:p w14:paraId="68DBD6B7" w14:textId="77777777" w:rsidR="00C83435" w:rsidRDefault="00C83435" w:rsidP="00C83435">
            <w:pPr>
              <w:spacing w:after="160" w:line="259" w:lineRule="auto"/>
              <w:jc w:val="both"/>
              <w:rPr>
                <w:rFonts w:ascii="Arial" w:hAnsi="Arial" w:cs="Arial"/>
                <w:b/>
                <w:bCs/>
                <w:sz w:val="20"/>
                <w:szCs w:val="20"/>
              </w:rPr>
            </w:pPr>
            <w:r w:rsidRPr="00853340">
              <w:rPr>
                <w:rFonts w:ascii="Arial" w:hAnsi="Arial" w:cs="Arial"/>
                <w:b/>
                <w:bCs/>
                <w:sz w:val="20"/>
                <w:szCs w:val="20"/>
              </w:rPr>
              <w:t xml:space="preserve">Učinkovitost aktivnega stanja strežnika – </w:t>
            </w:r>
            <w:r w:rsidRPr="00463490">
              <w:rPr>
                <w:rFonts w:ascii="Arial" w:hAnsi="Arial" w:cs="Arial"/>
                <w:b/>
                <w:bCs/>
                <w:i/>
                <w:iCs/>
                <w:sz w:val="20"/>
                <w:szCs w:val="20"/>
              </w:rPr>
              <w:t>Osnovni nivo</w:t>
            </w:r>
          </w:p>
          <w:p w14:paraId="7B30D142" w14:textId="77777777" w:rsidR="00C83435" w:rsidRPr="00853340" w:rsidRDefault="00C83435" w:rsidP="00C83435">
            <w:pPr>
              <w:spacing w:after="160" w:line="259" w:lineRule="auto"/>
              <w:jc w:val="both"/>
              <w:rPr>
                <w:rFonts w:ascii="Arial" w:hAnsi="Arial" w:cs="Arial"/>
                <w:sz w:val="20"/>
                <w:szCs w:val="20"/>
              </w:rPr>
            </w:pPr>
            <w:r w:rsidRPr="00853340">
              <w:rPr>
                <w:rFonts w:ascii="Arial" w:hAnsi="Arial" w:cs="Arial"/>
                <w:sz w:val="20"/>
                <w:szCs w:val="20"/>
              </w:rPr>
              <w:t>Za vsak model strežnika, nameščen v podatkovnem centru, mora biti izračunana ocena učinkovitosti v aktivnem stanju (EffACTIVE) večja ali enaka minimalnim pragom učinkovitosti aktivnega stanja, kot je navedeno spodaj.</w:t>
            </w:r>
          </w:p>
          <w:p w14:paraId="1AD8CDCF" w14:textId="77777777" w:rsidR="00C83435" w:rsidRPr="00D451E0" w:rsidRDefault="00C83435" w:rsidP="00C83435">
            <w:pPr>
              <w:spacing w:after="160" w:line="259" w:lineRule="auto"/>
              <w:jc w:val="center"/>
              <w:rPr>
                <w:rFonts w:ascii="Arial" w:hAnsi="Arial" w:cs="Arial"/>
                <w:sz w:val="20"/>
                <w:szCs w:val="20"/>
              </w:rPr>
            </w:pPr>
            <w:r>
              <w:rPr>
                <w:noProof/>
              </w:rPr>
              <w:lastRenderedPageBreak/>
              <w:drawing>
                <wp:inline distT="0" distB="0" distL="0" distR="0" wp14:anchorId="18E1FC28" wp14:editId="6C9FDF38">
                  <wp:extent cx="2487930" cy="2000250"/>
                  <wp:effectExtent l="0" t="0" r="7620" b="0"/>
                  <wp:docPr id="2118252061" name="Slika 1" descr="Slika prikazuje učinkovitost aktivnega stanja strežnika - osnovni niv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252061" name="Slika 1" descr="Slika prikazuje učinkovitost aktivnega stanja strežnika - osnovni nivo. "/>
                          <pic:cNvPicPr/>
                        </pic:nvPicPr>
                        <pic:blipFill>
                          <a:blip r:embed="rId12"/>
                          <a:stretch>
                            <a:fillRect/>
                          </a:stretch>
                        </pic:blipFill>
                        <pic:spPr>
                          <a:xfrm>
                            <a:off x="0" y="0"/>
                            <a:ext cx="2497424" cy="2007883"/>
                          </a:xfrm>
                          <a:prstGeom prst="rect">
                            <a:avLst/>
                          </a:prstGeom>
                        </pic:spPr>
                      </pic:pic>
                    </a:graphicData>
                  </a:graphic>
                </wp:inline>
              </w:drawing>
            </w:r>
          </w:p>
          <w:p w14:paraId="0A5C495B" w14:textId="77777777" w:rsidR="00C83435" w:rsidRDefault="00C83435" w:rsidP="00C83435">
            <w:pPr>
              <w:spacing w:line="259" w:lineRule="auto"/>
              <w:jc w:val="both"/>
              <w:rPr>
                <w:rFonts w:ascii="Arial" w:hAnsi="Arial" w:cs="Arial"/>
                <w:sz w:val="20"/>
                <w:szCs w:val="20"/>
              </w:rPr>
            </w:pPr>
            <w:r w:rsidRPr="008D2809">
              <w:rPr>
                <w:rFonts w:ascii="Arial" w:hAnsi="Arial" w:cs="Arial"/>
                <w:b/>
                <w:bCs/>
                <w:sz w:val="20"/>
                <w:szCs w:val="20"/>
              </w:rPr>
              <w:t>Prev</w:t>
            </w:r>
            <w:r>
              <w:rPr>
                <w:rFonts w:ascii="Arial" w:hAnsi="Arial" w:cs="Arial"/>
                <w:b/>
                <w:bCs/>
                <w:sz w:val="20"/>
                <w:szCs w:val="20"/>
              </w:rPr>
              <w:t>e</w:t>
            </w:r>
            <w:r w:rsidRPr="008D2809">
              <w:rPr>
                <w:rFonts w:ascii="Arial" w:hAnsi="Arial" w:cs="Arial"/>
                <w:b/>
                <w:bCs/>
                <w:sz w:val="20"/>
                <w:szCs w:val="20"/>
              </w:rPr>
              <w:t>rjanje</w:t>
            </w:r>
            <w:r>
              <w:rPr>
                <w:rFonts w:ascii="Arial" w:hAnsi="Arial" w:cs="Arial"/>
                <w:b/>
                <w:bCs/>
                <w:sz w:val="20"/>
                <w:szCs w:val="20"/>
              </w:rPr>
              <w:t>:</w:t>
            </w:r>
          </w:p>
          <w:p w14:paraId="1581746B" w14:textId="028EC7B1" w:rsidR="00C83435" w:rsidRDefault="00C83435" w:rsidP="00C83435">
            <w:pPr>
              <w:jc w:val="both"/>
              <w:rPr>
                <w:rFonts w:ascii="Arial" w:hAnsi="Arial" w:cs="Arial"/>
                <w:sz w:val="20"/>
                <w:szCs w:val="20"/>
              </w:rPr>
            </w:pPr>
            <w:r w:rsidRPr="002C7FE1">
              <w:rPr>
                <w:rFonts w:ascii="Arial" w:hAnsi="Arial" w:cs="Arial"/>
                <w:sz w:val="20"/>
                <w:szCs w:val="20"/>
              </w:rPr>
              <w:t>Ponudnik mora skladno z metodologijo merjenja iz standarda EN 303470 zagotoviti izračun učinkovitosti v</w:t>
            </w:r>
            <w:r>
              <w:rPr>
                <w:rFonts w:ascii="Arial" w:hAnsi="Arial" w:cs="Arial"/>
                <w:sz w:val="20"/>
                <w:szCs w:val="20"/>
              </w:rPr>
              <w:t xml:space="preserve"> </w:t>
            </w:r>
            <w:r w:rsidRPr="002C7FE1">
              <w:rPr>
                <w:rFonts w:ascii="Arial" w:hAnsi="Arial" w:cs="Arial"/>
                <w:sz w:val="20"/>
                <w:szCs w:val="20"/>
              </w:rPr>
              <w:t>aktivnem stanju za vsak model str</w:t>
            </w:r>
            <w:r w:rsidR="00066A39">
              <w:rPr>
                <w:rFonts w:ascii="Arial" w:hAnsi="Arial" w:cs="Arial"/>
                <w:sz w:val="20"/>
                <w:szCs w:val="20"/>
              </w:rPr>
              <w:t>e</w:t>
            </w:r>
            <w:r w:rsidRPr="002C7FE1">
              <w:rPr>
                <w:rFonts w:ascii="Arial" w:hAnsi="Arial" w:cs="Arial"/>
                <w:sz w:val="20"/>
                <w:szCs w:val="20"/>
              </w:rPr>
              <w:t>žnika. Če za uporabo predlaga drugačne konfiguracije modelov strežnikov,</w:t>
            </w:r>
            <w:r>
              <w:rPr>
                <w:rFonts w:ascii="Arial" w:hAnsi="Arial" w:cs="Arial"/>
                <w:sz w:val="20"/>
                <w:szCs w:val="20"/>
              </w:rPr>
              <w:t xml:space="preserve"> </w:t>
            </w:r>
            <w:r w:rsidRPr="002C7FE1">
              <w:rPr>
                <w:rFonts w:ascii="Arial" w:hAnsi="Arial" w:cs="Arial"/>
                <w:sz w:val="20"/>
                <w:szCs w:val="20"/>
              </w:rPr>
              <w:t>mora opredeliti preverjeno zmogljivost visoke in nizke konfiguracije. Kot preverjanje lahko veljajo tudi</w:t>
            </w:r>
            <w:r>
              <w:rPr>
                <w:rFonts w:ascii="Arial" w:hAnsi="Arial" w:cs="Arial"/>
                <w:sz w:val="20"/>
                <w:szCs w:val="20"/>
              </w:rPr>
              <w:t xml:space="preserve"> </w:t>
            </w:r>
            <w:r w:rsidRPr="002C7FE1">
              <w:rPr>
                <w:rFonts w:ascii="Arial" w:hAnsi="Arial" w:cs="Arial"/>
                <w:sz w:val="20"/>
                <w:szCs w:val="20"/>
              </w:rPr>
              <w:t>rezultati preskusa modela z nastavljeno konfiguracijo, ki se bo uporabila.</w:t>
            </w:r>
            <w:r>
              <w:rPr>
                <w:rFonts w:ascii="Arial" w:hAnsi="Arial" w:cs="Arial"/>
                <w:sz w:val="20"/>
                <w:szCs w:val="20"/>
              </w:rPr>
              <w:t xml:space="preserve"> </w:t>
            </w:r>
            <w:r w:rsidRPr="002C7FE1">
              <w:rPr>
                <w:rFonts w:ascii="Arial" w:hAnsi="Arial" w:cs="Arial"/>
                <w:sz w:val="20"/>
                <w:szCs w:val="20"/>
              </w:rPr>
              <w:t>Za preverjanje se lahko uporabijo rezultati preskusa, ki se je izvedel v skladu z enakovrednimi preskusnimi</w:t>
            </w:r>
            <w:r>
              <w:rPr>
                <w:rFonts w:ascii="Arial" w:hAnsi="Arial" w:cs="Arial"/>
                <w:sz w:val="20"/>
                <w:szCs w:val="20"/>
              </w:rPr>
              <w:t xml:space="preserve"> </w:t>
            </w:r>
            <w:r w:rsidRPr="002C7FE1">
              <w:rPr>
                <w:rFonts w:ascii="Arial" w:hAnsi="Arial" w:cs="Arial"/>
                <w:sz w:val="20"/>
                <w:szCs w:val="20"/>
              </w:rPr>
              <w:t>standardi, da bi pridobili oznako ali kvalifikacijo CE.</w:t>
            </w:r>
          </w:p>
          <w:p w14:paraId="0B1CBD63" w14:textId="77777777" w:rsidR="0030567A" w:rsidRDefault="0030567A" w:rsidP="00C83435">
            <w:pPr>
              <w:jc w:val="both"/>
              <w:rPr>
                <w:rFonts w:ascii="Arial" w:hAnsi="Arial" w:cs="Arial"/>
                <w:sz w:val="20"/>
                <w:szCs w:val="20"/>
              </w:rPr>
            </w:pPr>
          </w:p>
          <w:p w14:paraId="503C0D6C" w14:textId="77777777" w:rsidR="0030567A" w:rsidRPr="00F05A29" w:rsidRDefault="0030567A" w:rsidP="0030567A">
            <w:pPr>
              <w:jc w:val="both"/>
              <w:rPr>
                <w:rFonts w:ascii="Arial" w:hAnsi="Arial" w:cs="Arial"/>
                <w:b/>
                <w:bCs/>
                <w:sz w:val="20"/>
                <w:szCs w:val="20"/>
              </w:rPr>
            </w:pPr>
            <w:r w:rsidRPr="00F05A29">
              <w:rPr>
                <w:rFonts w:ascii="Arial" w:hAnsi="Arial" w:cs="Arial"/>
                <w:b/>
                <w:bCs/>
                <w:sz w:val="20"/>
                <w:szCs w:val="20"/>
              </w:rPr>
              <w:t>Priporočilo:</w:t>
            </w:r>
          </w:p>
          <w:p w14:paraId="72F44D73" w14:textId="3474479A" w:rsidR="0030567A" w:rsidRPr="00B47EA9" w:rsidRDefault="0030567A" w:rsidP="00B26D44">
            <w:pPr>
              <w:jc w:val="both"/>
              <w:rPr>
                <w:rFonts w:ascii="Arial" w:hAnsi="Arial" w:cs="Arial"/>
                <w:sz w:val="20"/>
                <w:szCs w:val="20"/>
              </w:rPr>
            </w:pPr>
            <w:r w:rsidRPr="00F05A29">
              <w:rPr>
                <w:rFonts w:ascii="Arial" w:hAnsi="Arial" w:cs="Arial"/>
                <w:sz w:val="20"/>
                <w:szCs w:val="20"/>
              </w:rPr>
              <w:t>Naročnikom se priporoča izvedba strokovnega dialoga pred uporabo te zahteve.</w:t>
            </w:r>
            <w:r>
              <w:rPr>
                <w:rFonts w:ascii="Arial" w:hAnsi="Arial" w:cs="Arial"/>
                <w:sz w:val="20"/>
                <w:szCs w:val="20"/>
              </w:rPr>
              <w:t xml:space="preserve"> V času priprave predmetnih Primerov (september 2025) je bilo namreč ugotovljeno, da </w:t>
            </w:r>
            <w:r w:rsidR="005D6F37">
              <w:rPr>
                <w:rFonts w:ascii="Arial" w:hAnsi="Arial" w:cs="Arial"/>
                <w:sz w:val="20"/>
                <w:szCs w:val="20"/>
              </w:rPr>
              <w:t>poglavitni proizvajalci</w:t>
            </w:r>
            <w:r w:rsidR="008C7B4B">
              <w:rPr>
                <w:rFonts w:ascii="Arial" w:hAnsi="Arial" w:cs="Arial"/>
                <w:sz w:val="20"/>
                <w:szCs w:val="20"/>
              </w:rPr>
              <w:t xml:space="preserve"> morebitnih</w:t>
            </w:r>
            <w:r w:rsidR="005D6F37">
              <w:rPr>
                <w:rFonts w:ascii="Arial" w:hAnsi="Arial" w:cs="Arial"/>
                <w:sz w:val="20"/>
                <w:szCs w:val="20"/>
              </w:rPr>
              <w:t xml:space="preserve"> ustreznih dokazil še n</w:t>
            </w:r>
            <w:r w:rsidR="008C7B4B">
              <w:rPr>
                <w:rFonts w:ascii="Arial" w:hAnsi="Arial" w:cs="Arial"/>
                <w:sz w:val="20"/>
                <w:szCs w:val="20"/>
              </w:rPr>
              <w:t>e bi</w:t>
            </w:r>
            <w:r w:rsidR="005D6F37">
              <w:rPr>
                <w:rFonts w:ascii="Arial" w:hAnsi="Arial" w:cs="Arial"/>
                <w:sz w:val="20"/>
                <w:szCs w:val="20"/>
              </w:rPr>
              <w:t xml:space="preserve"> uspeli zagotoviti. </w:t>
            </w:r>
            <w:r w:rsidR="00F141B8">
              <w:rPr>
                <w:rFonts w:ascii="Arial" w:hAnsi="Arial" w:cs="Arial"/>
                <w:sz w:val="20"/>
                <w:szCs w:val="20"/>
              </w:rPr>
              <w:t>V času prilagoditvenega obdobja (</w:t>
            </w:r>
            <w:r w:rsidR="00B26D44">
              <w:rPr>
                <w:rFonts w:ascii="Arial" w:hAnsi="Arial" w:cs="Arial"/>
                <w:sz w:val="20"/>
                <w:szCs w:val="20"/>
              </w:rPr>
              <w:t xml:space="preserve">priporočamo do </w:t>
            </w:r>
            <w:r w:rsidR="008C7B4B">
              <w:rPr>
                <w:rFonts w:ascii="Arial" w:hAnsi="Arial" w:cs="Arial"/>
                <w:sz w:val="20"/>
                <w:szCs w:val="20"/>
              </w:rPr>
              <w:t xml:space="preserve">cca. </w:t>
            </w:r>
            <w:r w:rsidR="00B26D44">
              <w:rPr>
                <w:rFonts w:ascii="Arial" w:hAnsi="Arial" w:cs="Arial"/>
                <w:sz w:val="20"/>
                <w:szCs w:val="20"/>
              </w:rPr>
              <w:t>5 let</w:t>
            </w:r>
            <w:r w:rsidR="00F141B8">
              <w:rPr>
                <w:rFonts w:ascii="Arial" w:hAnsi="Arial" w:cs="Arial"/>
                <w:sz w:val="20"/>
                <w:szCs w:val="20"/>
              </w:rPr>
              <w:t xml:space="preserve">) naročnikom </w:t>
            </w:r>
            <w:r w:rsidR="004F06F1">
              <w:rPr>
                <w:rFonts w:ascii="Arial" w:hAnsi="Arial" w:cs="Arial"/>
                <w:sz w:val="20"/>
                <w:szCs w:val="20"/>
              </w:rPr>
              <w:t>svetujemo</w:t>
            </w:r>
            <w:r w:rsidR="00F141B8">
              <w:rPr>
                <w:rFonts w:ascii="Arial" w:hAnsi="Arial" w:cs="Arial"/>
                <w:sz w:val="20"/>
                <w:szCs w:val="20"/>
              </w:rPr>
              <w:t xml:space="preserve">, da kot ustrezno dokazilo </w:t>
            </w:r>
            <w:r w:rsidR="00217B8F">
              <w:rPr>
                <w:rFonts w:ascii="Arial" w:hAnsi="Arial" w:cs="Arial"/>
                <w:sz w:val="20"/>
                <w:szCs w:val="20"/>
              </w:rPr>
              <w:t>dopuščajo tudi okoljski znak tipa I</w:t>
            </w:r>
            <w:r w:rsidR="00B25B9F">
              <w:rPr>
                <w:rFonts w:ascii="Arial" w:hAnsi="Arial" w:cs="Arial"/>
                <w:sz w:val="20"/>
                <w:szCs w:val="20"/>
              </w:rPr>
              <w:t xml:space="preserve"> ali Energy Star</w:t>
            </w:r>
            <w:r w:rsidR="00217B8F">
              <w:rPr>
                <w:rFonts w:ascii="Arial" w:hAnsi="Arial" w:cs="Arial"/>
                <w:sz w:val="20"/>
                <w:szCs w:val="20"/>
              </w:rPr>
              <w:t>.</w:t>
            </w:r>
          </w:p>
        </w:tc>
        <w:tc>
          <w:tcPr>
            <w:tcW w:w="4244" w:type="dxa"/>
          </w:tcPr>
          <w:p w14:paraId="17D9F91E" w14:textId="77777777" w:rsidR="00C83435" w:rsidRDefault="00C83435" w:rsidP="00C83435">
            <w:pPr>
              <w:spacing w:after="160" w:line="259" w:lineRule="auto"/>
              <w:jc w:val="both"/>
              <w:rPr>
                <w:rFonts w:ascii="Arial" w:hAnsi="Arial" w:cs="Arial"/>
                <w:b/>
                <w:bCs/>
                <w:sz w:val="20"/>
                <w:szCs w:val="20"/>
              </w:rPr>
            </w:pPr>
            <w:r w:rsidRPr="00853340">
              <w:rPr>
                <w:rFonts w:ascii="Arial" w:hAnsi="Arial" w:cs="Arial"/>
                <w:b/>
                <w:bCs/>
                <w:sz w:val="20"/>
                <w:szCs w:val="20"/>
              </w:rPr>
              <w:lastRenderedPageBreak/>
              <w:t xml:space="preserve">Učinkovitost aktivnega stanja strežnika – </w:t>
            </w:r>
            <w:r w:rsidRPr="00463490">
              <w:rPr>
                <w:rFonts w:ascii="Arial" w:hAnsi="Arial" w:cs="Arial"/>
                <w:b/>
                <w:bCs/>
                <w:i/>
                <w:iCs/>
                <w:sz w:val="20"/>
                <w:szCs w:val="20"/>
              </w:rPr>
              <w:t>Zahtevnejši nivo</w:t>
            </w:r>
          </w:p>
          <w:p w14:paraId="0D03B7A2" w14:textId="77777777" w:rsidR="00C83435" w:rsidRDefault="00C83435" w:rsidP="00C83435">
            <w:pPr>
              <w:jc w:val="both"/>
              <w:rPr>
                <w:rFonts w:ascii="Arial" w:hAnsi="Arial" w:cs="Arial"/>
                <w:sz w:val="20"/>
                <w:szCs w:val="20"/>
              </w:rPr>
            </w:pPr>
            <w:r w:rsidRPr="00D451E0">
              <w:rPr>
                <w:rFonts w:ascii="Arial" w:hAnsi="Arial" w:cs="Arial"/>
                <w:sz w:val="20"/>
                <w:szCs w:val="20"/>
              </w:rPr>
              <w:t>Za vsak model strežnika, nameščen v podatkovnem centru, mora biti izračunana ocena učinkovitosti v aktivnem stanju (EffACTIVE) večja ali enaka minimalnim pragom učinkovitosti aktivnega stanja, kot je navedeno spodaj.</w:t>
            </w:r>
          </w:p>
          <w:p w14:paraId="64705E49" w14:textId="77777777" w:rsidR="00E06D40" w:rsidRPr="00D451E0" w:rsidRDefault="00E06D40" w:rsidP="00C83435">
            <w:pPr>
              <w:jc w:val="both"/>
              <w:rPr>
                <w:rFonts w:ascii="Arial" w:hAnsi="Arial" w:cs="Arial"/>
                <w:sz w:val="20"/>
                <w:szCs w:val="20"/>
              </w:rPr>
            </w:pPr>
          </w:p>
          <w:p w14:paraId="62A86FB5" w14:textId="77777777" w:rsidR="00C83435" w:rsidRPr="00853340" w:rsidRDefault="00C83435" w:rsidP="00C83435">
            <w:pPr>
              <w:jc w:val="center"/>
              <w:rPr>
                <w:rFonts w:ascii="Arial" w:hAnsi="Arial" w:cs="Arial"/>
                <w:sz w:val="20"/>
                <w:szCs w:val="20"/>
              </w:rPr>
            </w:pPr>
            <w:r>
              <w:rPr>
                <w:noProof/>
              </w:rPr>
              <w:lastRenderedPageBreak/>
              <w:drawing>
                <wp:inline distT="0" distB="0" distL="0" distR="0" wp14:anchorId="36778B58" wp14:editId="2BE25A80">
                  <wp:extent cx="2362200" cy="2091828"/>
                  <wp:effectExtent l="0" t="0" r="0" b="3810"/>
                  <wp:docPr id="1729474576" name="Slika 1" descr="Slika prikazuje učinkovitost aktivnega stanja strežnika - zahtevnejši niv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474576" name="Slika 1" descr="Slika prikazuje učinkovitost aktivnega stanja strežnika - zahtevnejši nivo. "/>
                          <pic:cNvPicPr/>
                        </pic:nvPicPr>
                        <pic:blipFill>
                          <a:blip r:embed="rId13"/>
                          <a:stretch>
                            <a:fillRect/>
                          </a:stretch>
                        </pic:blipFill>
                        <pic:spPr>
                          <a:xfrm>
                            <a:off x="0" y="0"/>
                            <a:ext cx="2368760" cy="2097637"/>
                          </a:xfrm>
                          <a:prstGeom prst="rect">
                            <a:avLst/>
                          </a:prstGeom>
                        </pic:spPr>
                      </pic:pic>
                    </a:graphicData>
                  </a:graphic>
                </wp:inline>
              </w:drawing>
            </w:r>
          </w:p>
          <w:p w14:paraId="55A2ECB8" w14:textId="77777777" w:rsidR="00BF71D9" w:rsidRDefault="00BF71D9" w:rsidP="00C83435">
            <w:pPr>
              <w:jc w:val="both"/>
              <w:rPr>
                <w:rFonts w:ascii="Arial" w:hAnsi="Arial" w:cs="Arial"/>
                <w:b/>
                <w:bCs/>
                <w:sz w:val="20"/>
                <w:szCs w:val="20"/>
              </w:rPr>
            </w:pPr>
          </w:p>
          <w:p w14:paraId="09C2AA08" w14:textId="1DBF7973" w:rsidR="00C83435" w:rsidRPr="008D2809" w:rsidRDefault="00C83435" w:rsidP="00C83435">
            <w:pPr>
              <w:jc w:val="both"/>
              <w:rPr>
                <w:rFonts w:ascii="Arial" w:hAnsi="Arial" w:cs="Arial"/>
                <w:b/>
                <w:bCs/>
                <w:sz w:val="20"/>
                <w:szCs w:val="20"/>
              </w:rPr>
            </w:pPr>
            <w:r w:rsidRPr="008D2809">
              <w:rPr>
                <w:rFonts w:ascii="Arial" w:hAnsi="Arial" w:cs="Arial"/>
                <w:b/>
                <w:bCs/>
                <w:sz w:val="20"/>
                <w:szCs w:val="20"/>
              </w:rPr>
              <w:t>Prev</w:t>
            </w:r>
            <w:r>
              <w:rPr>
                <w:rFonts w:ascii="Arial" w:hAnsi="Arial" w:cs="Arial"/>
                <w:b/>
                <w:bCs/>
                <w:sz w:val="20"/>
                <w:szCs w:val="20"/>
              </w:rPr>
              <w:t>e</w:t>
            </w:r>
            <w:r w:rsidRPr="008D2809">
              <w:rPr>
                <w:rFonts w:ascii="Arial" w:hAnsi="Arial" w:cs="Arial"/>
                <w:b/>
                <w:bCs/>
                <w:sz w:val="20"/>
                <w:szCs w:val="20"/>
              </w:rPr>
              <w:t>rjanje:</w:t>
            </w:r>
          </w:p>
          <w:p w14:paraId="09F26C78" w14:textId="072B2A2B" w:rsidR="00C83435" w:rsidRDefault="00C83435" w:rsidP="00C83435">
            <w:pPr>
              <w:jc w:val="both"/>
              <w:rPr>
                <w:rFonts w:ascii="Arial" w:hAnsi="Arial" w:cs="Arial"/>
                <w:sz w:val="20"/>
                <w:szCs w:val="20"/>
              </w:rPr>
            </w:pPr>
            <w:r w:rsidRPr="007C56B0">
              <w:rPr>
                <w:rFonts w:ascii="Arial" w:hAnsi="Arial" w:cs="Arial"/>
                <w:sz w:val="20"/>
                <w:szCs w:val="20"/>
              </w:rPr>
              <w:t>Ponudnik mora skladno z metodologijo merjenja iz standarda EN 303470 zagotoviti izračun</w:t>
            </w:r>
            <w:r>
              <w:rPr>
                <w:rFonts w:ascii="Arial" w:hAnsi="Arial" w:cs="Arial"/>
                <w:sz w:val="20"/>
                <w:szCs w:val="20"/>
              </w:rPr>
              <w:t xml:space="preserve"> </w:t>
            </w:r>
            <w:r w:rsidRPr="007C56B0">
              <w:rPr>
                <w:rFonts w:ascii="Arial" w:hAnsi="Arial" w:cs="Arial"/>
                <w:sz w:val="20"/>
                <w:szCs w:val="20"/>
              </w:rPr>
              <w:t>učinkovitosti v aktivnem stanju za vsak model str</w:t>
            </w:r>
            <w:r w:rsidR="00066A39">
              <w:rPr>
                <w:rFonts w:ascii="Arial" w:hAnsi="Arial" w:cs="Arial"/>
                <w:sz w:val="20"/>
                <w:szCs w:val="20"/>
              </w:rPr>
              <w:t>e</w:t>
            </w:r>
            <w:r w:rsidRPr="007C56B0">
              <w:rPr>
                <w:rFonts w:ascii="Arial" w:hAnsi="Arial" w:cs="Arial"/>
                <w:sz w:val="20"/>
                <w:szCs w:val="20"/>
              </w:rPr>
              <w:t>žnika. Če za uporabo predlaga drugačne</w:t>
            </w:r>
            <w:r>
              <w:rPr>
                <w:rFonts w:ascii="Arial" w:hAnsi="Arial" w:cs="Arial"/>
                <w:sz w:val="20"/>
                <w:szCs w:val="20"/>
              </w:rPr>
              <w:t xml:space="preserve"> </w:t>
            </w:r>
            <w:r w:rsidRPr="007C56B0">
              <w:rPr>
                <w:rFonts w:ascii="Arial" w:hAnsi="Arial" w:cs="Arial"/>
                <w:sz w:val="20"/>
                <w:szCs w:val="20"/>
              </w:rPr>
              <w:t>konfiguracije modelov strežnikov, mora opredeliti preverjeno zmogljivost visoke in nizke</w:t>
            </w:r>
            <w:r>
              <w:rPr>
                <w:rFonts w:ascii="Arial" w:hAnsi="Arial" w:cs="Arial"/>
                <w:sz w:val="20"/>
                <w:szCs w:val="20"/>
              </w:rPr>
              <w:t xml:space="preserve"> </w:t>
            </w:r>
            <w:r w:rsidRPr="007C56B0">
              <w:rPr>
                <w:rFonts w:ascii="Arial" w:hAnsi="Arial" w:cs="Arial"/>
                <w:sz w:val="20"/>
                <w:szCs w:val="20"/>
              </w:rPr>
              <w:t>konfiguracije. Kot preverjanje lahko veljajo tudi rezultati preskusa modela z nastavljeno</w:t>
            </w:r>
            <w:r>
              <w:rPr>
                <w:rFonts w:ascii="Arial" w:hAnsi="Arial" w:cs="Arial"/>
                <w:sz w:val="20"/>
                <w:szCs w:val="20"/>
              </w:rPr>
              <w:t xml:space="preserve"> </w:t>
            </w:r>
            <w:r w:rsidRPr="007C56B0">
              <w:rPr>
                <w:rFonts w:ascii="Arial" w:hAnsi="Arial" w:cs="Arial"/>
                <w:sz w:val="20"/>
                <w:szCs w:val="20"/>
              </w:rPr>
              <w:t>konfiguracijo, ki se bo uporabila.</w:t>
            </w:r>
            <w:r>
              <w:rPr>
                <w:rFonts w:ascii="Arial" w:hAnsi="Arial" w:cs="Arial"/>
                <w:sz w:val="20"/>
                <w:szCs w:val="20"/>
              </w:rPr>
              <w:t xml:space="preserve"> </w:t>
            </w:r>
            <w:r w:rsidRPr="007C56B0">
              <w:rPr>
                <w:rFonts w:ascii="Arial" w:hAnsi="Arial" w:cs="Arial"/>
                <w:sz w:val="20"/>
                <w:szCs w:val="20"/>
              </w:rPr>
              <w:t>Za preverjanje se lahko uporabijo rezultati preskusa, ki se je izvedel v skladu z enakovrednimi</w:t>
            </w:r>
            <w:r>
              <w:rPr>
                <w:rFonts w:ascii="Arial" w:hAnsi="Arial" w:cs="Arial"/>
                <w:sz w:val="20"/>
                <w:szCs w:val="20"/>
              </w:rPr>
              <w:t xml:space="preserve"> </w:t>
            </w:r>
            <w:r w:rsidRPr="007C56B0">
              <w:rPr>
                <w:rFonts w:ascii="Arial" w:hAnsi="Arial" w:cs="Arial"/>
                <w:sz w:val="20"/>
                <w:szCs w:val="20"/>
              </w:rPr>
              <w:t>preskusnimi standardi,</w:t>
            </w:r>
            <w:r w:rsidR="00E06D40">
              <w:rPr>
                <w:rFonts w:ascii="Arial" w:hAnsi="Arial" w:cs="Arial"/>
                <w:sz w:val="20"/>
                <w:szCs w:val="20"/>
              </w:rPr>
              <w:t xml:space="preserve"> </w:t>
            </w:r>
            <w:r w:rsidRPr="007C56B0">
              <w:rPr>
                <w:rFonts w:ascii="Arial" w:hAnsi="Arial" w:cs="Arial"/>
                <w:sz w:val="20"/>
                <w:szCs w:val="20"/>
              </w:rPr>
              <w:t>da bi pridobili oznako ali kvalifikacijo CE.</w:t>
            </w:r>
          </w:p>
          <w:p w14:paraId="62EC3EA3" w14:textId="77777777" w:rsidR="004F06F1" w:rsidRDefault="004F06F1" w:rsidP="00C83435">
            <w:pPr>
              <w:jc w:val="both"/>
              <w:rPr>
                <w:rFonts w:ascii="Arial" w:hAnsi="Arial" w:cs="Arial"/>
                <w:sz w:val="20"/>
                <w:szCs w:val="20"/>
              </w:rPr>
            </w:pPr>
          </w:p>
          <w:p w14:paraId="62F55EA9" w14:textId="77777777" w:rsidR="004F06F1" w:rsidRDefault="004F06F1" w:rsidP="00C83435">
            <w:pPr>
              <w:jc w:val="both"/>
              <w:rPr>
                <w:rFonts w:ascii="Arial" w:hAnsi="Arial" w:cs="Arial"/>
                <w:sz w:val="20"/>
                <w:szCs w:val="20"/>
              </w:rPr>
            </w:pPr>
          </w:p>
          <w:p w14:paraId="2BCC02AF" w14:textId="77777777" w:rsidR="004F06F1" w:rsidRPr="00F05A29" w:rsidRDefault="004F06F1" w:rsidP="004F06F1">
            <w:pPr>
              <w:jc w:val="both"/>
              <w:rPr>
                <w:rFonts w:ascii="Arial" w:hAnsi="Arial" w:cs="Arial"/>
                <w:b/>
                <w:bCs/>
                <w:sz w:val="20"/>
                <w:szCs w:val="20"/>
              </w:rPr>
            </w:pPr>
            <w:r w:rsidRPr="00F05A29">
              <w:rPr>
                <w:rFonts w:ascii="Arial" w:hAnsi="Arial" w:cs="Arial"/>
                <w:b/>
                <w:bCs/>
                <w:sz w:val="20"/>
                <w:szCs w:val="20"/>
              </w:rPr>
              <w:t>Priporočilo:</w:t>
            </w:r>
          </w:p>
          <w:p w14:paraId="147A276C" w14:textId="77B81EC9" w:rsidR="004F06F1" w:rsidRDefault="0021788B" w:rsidP="0021788B">
            <w:pPr>
              <w:jc w:val="both"/>
              <w:rPr>
                <w:rFonts w:ascii="Arial" w:eastAsia="Arial" w:hAnsi="Arial" w:cs="Arial"/>
                <w:b/>
                <w:color w:val="385522"/>
                <w:spacing w:val="1"/>
                <w:kern w:val="0"/>
                <w:sz w:val="20"/>
                <w:szCs w:val="20"/>
                <w14:ligatures w14:val="none"/>
              </w:rPr>
            </w:pPr>
            <w:r w:rsidRPr="00F05A29">
              <w:rPr>
                <w:rFonts w:ascii="Arial" w:hAnsi="Arial" w:cs="Arial"/>
                <w:sz w:val="20"/>
                <w:szCs w:val="20"/>
              </w:rPr>
              <w:t>Naročnikom se priporoča izvedba strokovnega dialoga pred uporabo te zahteve.</w:t>
            </w:r>
            <w:r>
              <w:rPr>
                <w:rFonts w:ascii="Arial" w:hAnsi="Arial" w:cs="Arial"/>
                <w:sz w:val="20"/>
                <w:szCs w:val="20"/>
              </w:rPr>
              <w:t xml:space="preserve"> V času priprave predmetnih Primerov (september 2025) je bilo namreč ugotovljeno, da poglavitni proizvajalci morebitnih ustreznih dokazil še ne bi uspeli zagotoviti. V času prilagoditvenega obdobja (priporočamo do cca. 5 let) naročnikom svetujemo, da kot ustrezno dokazilo dopuščajo tudi okoljski znak tipa I ali Energy Star.</w:t>
            </w:r>
          </w:p>
        </w:tc>
      </w:tr>
    </w:tbl>
    <w:p w14:paraId="516D74A9" w14:textId="77777777" w:rsidR="005A01B6" w:rsidRDefault="005A01B6"/>
    <w:tbl>
      <w:tblPr>
        <w:tblStyle w:val="Tabelamrea"/>
        <w:tblW w:w="0" w:type="auto"/>
        <w:tblLayout w:type="fixed"/>
        <w:tblLook w:val="04A0" w:firstRow="1" w:lastRow="0" w:firstColumn="1" w:lastColumn="0" w:noHBand="0" w:noVBand="1"/>
        <w:tblCaption w:val="Tabela - Tehnične specifikacije"/>
        <w:tblDescription w:val="Tabela vsebuje pogoje za tehnične specifikacije v postopkih javnega naročila za podatkovne center, strežniške prostore in storitve v oblaku. Deli se na osovni nivo in zahtevnejši nivo. "/>
      </w:tblPr>
      <w:tblGrid>
        <w:gridCol w:w="704"/>
        <w:gridCol w:w="4111"/>
        <w:gridCol w:w="4201"/>
      </w:tblGrid>
      <w:tr w:rsidR="00C51DAF" w14:paraId="40AA4010" w14:textId="77777777" w:rsidTr="00811306">
        <w:tc>
          <w:tcPr>
            <w:tcW w:w="704" w:type="dxa"/>
          </w:tcPr>
          <w:p w14:paraId="1A71CBB4" w14:textId="77777777" w:rsidR="00C51DAF" w:rsidRDefault="00C51DAF" w:rsidP="00545CF0">
            <w:pPr>
              <w:jc w:val="both"/>
              <w:rPr>
                <w:rFonts w:ascii="Arial" w:eastAsia="Arial" w:hAnsi="Arial" w:cs="Arial"/>
                <w:bCs/>
                <w:spacing w:val="1"/>
                <w:kern w:val="0"/>
                <w:sz w:val="20"/>
                <w:szCs w:val="20"/>
                <w14:ligatures w14:val="none"/>
              </w:rPr>
            </w:pPr>
          </w:p>
        </w:tc>
        <w:tc>
          <w:tcPr>
            <w:tcW w:w="8312" w:type="dxa"/>
            <w:gridSpan w:val="2"/>
            <w:shd w:val="clear" w:color="auto" w:fill="9BBA58"/>
          </w:tcPr>
          <w:p w14:paraId="735B6691" w14:textId="77777777" w:rsidR="00C51DAF" w:rsidRPr="00C51DAF" w:rsidRDefault="00C51DAF" w:rsidP="00C51DAF">
            <w:pPr>
              <w:jc w:val="both"/>
              <w:rPr>
                <w:rFonts w:ascii="Arial" w:hAnsi="Arial" w:cs="Arial"/>
                <w:b/>
                <w:bCs/>
                <w:sz w:val="20"/>
                <w:szCs w:val="20"/>
              </w:rPr>
            </w:pPr>
            <w:r w:rsidRPr="00C51DAF">
              <w:rPr>
                <w:rFonts w:ascii="Arial" w:hAnsi="Arial" w:cs="Arial"/>
                <w:b/>
                <w:bCs/>
                <w:sz w:val="20"/>
                <w:szCs w:val="20"/>
              </w:rPr>
              <w:t xml:space="preserve">Predmet naročila: </w:t>
            </w:r>
          </w:p>
          <w:p w14:paraId="1967DD87" w14:textId="464EA150" w:rsidR="00C51DAF" w:rsidRPr="00853340" w:rsidRDefault="00C51DAF" w:rsidP="005A01B6">
            <w:pPr>
              <w:numPr>
                <w:ilvl w:val="0"/>
                <w:numId w:val="1"/>
              </w:numPr>
              <w:jc w:val="both"/>
              <w:rPr>
                <w:rFonts w:ascii="Arial" w:hAnsi="Arial" w:cs="Arial"/>
                <w:b/>
                <w:bCs/>
                <w:sz w:val="20"/>
                <w:szCs w:val="20"/>
              </w:rPr>
            </w:pPr>
            <w:r w:rsidRPr="00C51DAF">
              <w:rPr>
                <w:rFonts w:ascii="Arial" w:hAnsi="Arial" w:cs="Arial"/>
                <w:b/>
                <w:bCs/>
                <w:sz w:val="20"/>
                <w:szCs w:val="20"/>
              </w:rPr>
              <w:t xml:space="preserve">nakup opreme IT z manjšim vplivom na okolje </w:t>
            </w:r>
          </w:p>
        </w:tc>
      </w:tr>
      <w:tr w:rsidR="00C83435" w14:paraId="71DA9A89" w14:textId="77777777" w:rsidTr="00C01CF4">
        <w:tc>
          <w:tcPr>
            <w:tcW w:w="704" w:type="dxa"/>
          </w:tcPr>
          <w:p w14:paraId="1B69DF55" w14:textId="0232C092" w:rsidR="00C83435" w:rsidRPr="00EE4AEF" w:rsidRDefault="00C51DAF" w:rsidP="00545CF0">
            <w:pPr>
              <w:jc w:val="both"/>
              <w:rPr>
                <w:rFonts w:ascii="Arial" w:eastAsia="Arial" w:hAnsi="Arial" w:cs="Arial"/>
                <w:bCs/>
                <w:color w:val="385522"/>
                <w:spacing w:val="1"/>
                <w:kern w:val="0"/>
                <w:sz w:val="20"/>
                <w:szCs w:val="20"/>
                <w14:ligatures w14:val="none"/>
              </w:rPr>
            </w:pPr>
            <w:r>
              <w:rPr>
                <w:rFonts w:ascii="Arial" w:eastAsia="Arial" w:hAnsi="Arial" w:cs="Arial"/>
                <w:bCs/>
                <w:spacing w:val="1"/>
                <w:kern w:val="0"/>
                <w:sz w:val="20"/>
                <w:szCs w:val="20"/>
                <w14:ligatures w14:val="none"/>
              </w:rPr>
              <w:t>TS2</w:t>
            </w:r>
          </w:p>
        </w:tc>
        <w:tc>
          <w:tcPr>
            <w:tcW w:w="4111" w:type="dxa"/>
          </w:tcPr>
          <w:p w14:paraId="2BCC6BF9" w14:textId="77777777" w:rsidR="00C83435" w:rsidRDefault="00C83435" w:rsidP="00C83435">
            <w:pPr>
              <w:jc w:val="both"/>
              <w:rPr>
                <w:rFonts w:ascii="Arial" w:hAnsi="Arial" w:cs="Arial"/>
                <w:b/>
                <w:bCs/>
                <w:sz w:val="20"/>
                <w:szCs w:val="20"/>
              </w:rPr>
            </w:pPr>
            <w:r>
              <w:rPr>
                <w:rFonts w:ascii="Arial" w:hAnsi="Arial" w:cs="Arial"/>
                <w:b/>
                <w:bCs/>
                <w:sz w:val="20"/>
                <w:szCs w:val="20"/>
              </w:rPr>
              <w:t>Območje delovanja IKT</w:t>
            </w:r>
            <w:r w:rsidRPr="00D451E0">
              <w:rPr>
                <w:rFonts w:ascii="Arial" w:hAnsi="Arial" w:cs="Arial"/>
                <w:b/>
                <w:bCs/>
                <w:sz w:val="20"/>
                <w:szCs w:val="20"/>
              </w:rPr>
              <w:t xml:space="preserve"> – temperatura in vla</w:t>
            </w:r>
            <w:r>
              <w:rPr>
                <w:rFonts w:ascii="Arial" w:hAnsi="Arial" w:cs="Arial"/>
                <w:b/>
                <w:bCs/>
                <w:sz w:val="20"/>
                <w:szCs w:val="20"/>
              </w:rPr>
              <w:t xml:space="preserve">ga </w:t>
            </w:r>
            <w:r w:rsidRPr="00D451E0">
              <w:rPr>
                <w:rFonts w:ascii="Arial" w:hAnsi="Arial" w:cs="Arial"/>
                <w:b/>
                <w:bCs/>
                <w:sz w:val="20"/>
                <w:szCs w:val="20"/>
              </w:rPr>
              <w:t xml:space="preserve">– </w:t>
            </w:r>
            <w:r w:rsidRPr="00C51DAF">
              <w:rPr>
                <w:rFonts w:ascii="Arial" w:hAnsi="Arial" w:cs="Arial"/>
                <w:b/>
                <w:bCs/>
                <w:i/>
                <w:iCs/>
                <w:sz w:val="20"/>
                <w:szCs w:val="20"/>
              </w:rPr>
              <w:t>Osnovni nivo</w:t>
            </w:r>
          </w:p>
          <w:p w14:paraId="5C5706F9" w14:textId="77777777" w:rsidR="00C83435" w:rsidRPr="005A01B6" w:rsidRDefault="00C83435" w:rsidP="00C83435">
            <w:pPr>
              <w:jc w:val="both"/>
              <w:rPr>
                <w:rFonts w:ascii="Arial" w:hAnsi="Arial" w:cs="Arial"/>
                <w:b/>
                <w:bCs/>
                <w:sz w:val="12"/>
                <w:szCs w:val="12"/>
              </w:rPr>
            </w:pPr>
          </w:p>
          <w:p w14:paraId="2A26654F" w14:textId="77777777" w:rsidR="00C83435" w:rsidRPr="003C2B42" w:rsidRDefault="00C83435" w:rsidP="00C83435">
            <w:pPr>
              <w:jc w:val="both"/>
              <w:rPr>
                <w:rFonts w:ascii="Arial" w:hAnsi="Arial" w:cs="Arial"/>
                <w:i/>
                <w:iCs/>
                <w:sz w:val="20"/>
                <w:szCs w:val="20"/>
              </w:rPr>
            </w:pPr>
            <w:r w:rsidRPr="003C2B42">
              <w:rPr>
                <w:rFonts w:ascii="Arial" w:hAnsi="Arial" w:cs="Arial"/>
                <w:i/>
                <w:iCs/>
                <w:sz w:val="20"/>
                <w:szCs w:val="20"/>
              </w:rPr>
              <w:t>Se uporabijo v primeru zračnega hlajenja in če je podatkovni center zasnovan za ekonomično in/ali prosto hlajenje. Veljavni razredi pogojev delovanja so opisani v Prilogi I Meril EU.</w:t>
            </w:r>
          </w:p>
          <w:p w14:paraId="1E094644" w14:textId="77777777" w:rsidR="00C83435" w:rsidRPr="005A01B6" w:rsidRDefault="00C83435" w:rsidP="00C83435">
            <w:pPr>
              <w:jc w:val="both"/>
              <w:rPr>
                <w:rFonts w:ascii="Arial" w:hAnsi="Arial" w:cs="Arial"/>
                <w:sz w:val="12"/>
                <w:szCs w:val="12"/>
              </w:rPr>
            </w:pPr>
          </w:p>
          <w:p w14:paraId="64D96BE1" w14:textId="77777777" w:rsidR="00C83435" w:rsidRPr="003D254F" w:rsidRDefault="00C83435" w:rsidP="00C83435">
            <w:pPr>
              <w:jc w:val="both"/>
              <w:rPr>
                <w:rFonts w:ascii="Arial" w:hAnsi="Arial" w:cs="Arial"/>
                <w:sz w:val="20"/>
                <w:szCs w:val="20"/>
              </w:rPr>
            </w:pPr>
            <w:r w:rsidRPr="003D254F">
              <w:rPr>
                <w:rFonts w:ascii="Arial" w:hAnsi="Arial" w:cs="Arial"/>
                <w:sz w:val="20"/>
                <w:szCs w:val="20"/>
              </w:rPr>
              <w:t xml:space="preserve">Strojna oprema IKT mora podpirati delovanje znotraj dovoljenega razpona vlažnosti in temperature pri suhem termometru razreda pogojev delovanja A2 v </w:t>
            </w:r>
            <w:r w:rsidRPr="003D254F">
              <w:rPr>
                <w:rFonts w:ascii="Arial" w:hAnsi="Arial" w:cs="Arial"/>
                <w:sz w:val="20"/>
                <w:szCs w:val="20"/>
              </w:rPr>
              <w:lastRenderedPageBreak/>
              <w:t xml:space="preserve">skladu z </w:t>
            </w:r>
            <w:hyperlink r:id="rId14" w:history="1">
              <w:r w:rsidRPr="003D254F">
                <w:rPr>
                  <w:rStyle w:val="Hiperpovezava"/>
                  <w:rFonts w:ascii="Arial" w:hAnsi="Arial" w:cs="Arial"/>
                  <w:sz w:val="20"/>
                  <w:szCs w:val="20"/>
                </w:rPr>
                <w:t>Uredbo o okoljsko primerni zasnovi (EU) 2019/424</w:t>
              </w:r>
            </w:hyperlink>
            <w:r w:rsidRPr="003D254F">
              <w:rPr>
                <w:rFonts w:ascii="Arial" w:hAnsi="Arial" w:cs="Arial"/>
                <w:sz w:val="20"/>
                <w:szCs w:val="20"/>
              </w:rPr>
              <w:t xml:space="preserve">, ALI skladno z </w:t>
            </w:r>
            <w:hyperlink r:id="rId15" w:history="1">
              <w:r w:rsidRPr="003D254F">
                <w:rPr>
                  <w:rStyle w:val="Hiperpovezava"/>
                  <w:rFonts w:ascii="Arial" w:hAnsi="Arial" w:cs="Arial"/>
                  <w:sz w:val="20"/>
                  <w:szCs w:val="20"/>
                </w:rPr>
                <w:t>ASHRAE Equipment Thermal Guidelines for Data Processing Environments 2021 (5th Edition)</w:t>
              </w:r>
            </w:hyperlink>
            <w:r w:rsidRPr="003D254F">
              <w:rPr>
                <w:rFonts w:ascii="Arial" w:hAnsi="Arial" w:cs="Arial"/>
                <w:sz w:val="20"/>
                <w:szCs w:val="20"/>
              </w:rPr>
              <w:t>, ki določa zahteve za okoljsko primerno zasnovo strežnikov in izdelkov za shranjevanje podatkov.</w:t>
            </w:r>
          </w:p>
          <w:p w14:paraId="040C7407" w14:textId="77777777" w:rsidR="00C83435" w:rsidRDefault="00C83435" w:rsidP="00C83435">
            <w:pPr>
              <w:jc w:val="both"/>
              <w:rPr>
                <w:rFonts w:ascii="Arial" w:hAnsi="Arial" w:cs="Arial"/>
                <w:sz w:val="20"/>
                <w:szCs w:val="20"/>
              </w:rPr>
            </w:pPr>
          </w:p>
          <w:p w14:paraId="6CCBE97C" w14:textId="77777777" w:rsidR="00C83435" w:rsidRDefault="00C83435" w:rsidP="00C83435">
            <w:pPr>
              <w:jc w:val="both"/>
              <w:rPr>
                <w:rFonts w:ascii="Arial" w:hAnsi="Arial" w:cs="Arial"/>
                <w:sz w:val="20"/>
                <w:szCs w:val="20"/>
              </w:rPr>
            </w:pPr>
            <w:r w:rsidRPr="00C55069">
              <w:rPr>
                <w:rFonts w:ascii="Arial" w:hAnsi="Arial" w:cs="Arial"/>
                <w:sz w:val="20"/>
                <w:szCs w:val="20"/>
              </w:rPr>
              <w:t>Preskusiti je treba, ali oprema deluje v dovoljenem razponu najmanj 16 obratovalnih ur (obratovanje na visoki</w:t>
            </w:r>
            <w:r>
              <w:rPr>
                <w:rFonts w:ascii="Arial" w:hAnsi="Arial" w:cs="Arial"/>
                <w:sz w:val="20"/>
                <w:szCs w:val="20"/>
              </w:rPr>
              <w:t xml:space="preserve"> </w:t>
            </w:r>
            <w:r w:rsidRPr="00C55069">
              <w:rPr>
                <w:rFonts w:ascii="Arial" w:hAnsi="Arial" w:cs="Arial"/>
                <w:sz w:val="20"/>
                <w:szCs w:val="20"/>
              </w:rPr>
              <w:t>temperaturi ni predvideno za neprekinjeno uporabo). Preskus mora biti zasnovan tako, da predstavlja realne</w:t>
            </w:r>
            <w:r>
              <w:rPr>
                <w:rFonts w:ascii="Arial" w:hAnsi="Arial" w:cs="Arial"/>
                <w:sz w:val="20"/>
                <w:szCs w:val="20"/>
              </w:rPr>
              <w:t xml:space="preserve"> </w:t>
            </w:r>
            <w:r w:rsidRPr="00C55069">
              <w:rPr>
                <w:rFonts w:ascii="Arial" w:hAnsi="Arial" w:cs="Arial"/>
                <w:sz w:val="20"/>
                <w:szCs w:val="20"/>
              </w:rPr>
              <w:t>pogoje delovanja (glej priložena pojasnila). V ta namen so lahko primerne tudi preskusne metode, ki navajajo</w:t>
            </w:r>
            <w:r>
              <w:rPr>
                <w:rFonts w:ascii="Arial" w:hAnsi="Arial" w:cs="Arial"/>
                <w:sz w:val="20"/>
                <w:szCs w:val="20"/>
              </w:rPr>
              <w:t xml:space="preserve"> </w:t>
            </w:r>
            <w:r w:rsidRPr="00C55069">
              <w:rPr>
                <w:rFonts w:ascii="Arial" w:hAnsi="Arial" w:cs="Arial"/>
                <w:sz w:val="20"/>
                <w:szCs w:val="20"/>
              </w:rPr>
              <w:t>evropski standardi o razredih pogojev delovanja za strežnike in so bile razvite kot odgovor na osnutek</w:t>
            </w:r>
            <w:r>
              <w:rPr>
                <w:rFonts w:ascii="Arial" w:hAnsi="Arial" w:cs="Arial"/>
                <w:sz w:val="20"/>
                <w:szCs w:val="20"/>
              </w:rPr>
              <w:t xml:space="preserve"> </w:t>
            </w:r>
            <w:r w:rsidRPr="00C55069">
              <w:rPr>
                <w:rFonts w:ascii="Arial" w:hAnsi="Arial" w:cs="Arial"/>
                <w:sz w:val="20"/>
                <w:szCs w:val="20"/>
              </w:rPr>
              <w:t xml:space="preserve">pooblastila za standardizacijo v okviru </w:t>
            </w:r>
            <w:hyperlink r:id="rId16" w:history="1">
              <w:r w:rsidRPr="00D451E0">
                <w:rPr>
                  <w:rStyle w:val="Hiperpovezava"/>
                  <w:rFonts w:ascii="Arial" w:hAnsi="Arial" w:cs="Arial"/>
                  <w:sz w:val="20"/>
                  <w:szCs w:val="20"/>
                </w:rPr>
                <w:t>Uredb</w:t>
              </w:r>
              <w:r>
                <w:rPr>
                  <w:rStyle w:val="Hiperpovezava"/>
                  <w:rFonts w:ascii="Arial" w:hAnsi="Arial" w:cs="Arial"/>
                  <w:sz w:val="20"/>
                  <w:szCs w:val="20"/>
                </w:rPr>
                <w:t>e</w:t>
              </w:r>
              <w:r w:rsidRPr="00D451E0">
                <w:rPr>
                  <w:rStyle w:val="Hiperpovezava"/>
                  <w:rFonts w:ascii="Arial" w:hAnsi="Arial" w:cs="Arial"/>
                  <w:sz w:val="20"/>
                  <w:szCs w:val="20"/>
                </w:rPr>
                <w:t xml:space="preserve"> o okoljsko primerni zasnovi (EU) 2019/424</w:t>
              </w:r>
            </w:hyperlink>
            <w:r w:rsidRPr="00C55069">
              <w:rPr>
                <w:rFonts w:ascii="Arial" w:hAnsi="Arial" w:cs="Arial"/>
                <w:sz w:val="20"/>
                <w:szCs w:val="20"/>
              </w:rPr>
              <w:t>.</w:t>
            </w:r>
            <w:r>
              <w:rPr>
                <w:rFonts w:ascii="Arial" w:hAnsi="Arial" w:cs="Arial"/>
                <w:sz w:val="20"/>
                <w:szCs w:val="20"/>
              </w:rPr>
              <w:t xml:space="preserve"> </w:t>
            </w:r>
            <w:r w:rsidRPr="00C55069">
              <w:rPr>
                <w:rFonts w:ascii="Arial" w:hAnsi="Arial" w:cs="Arial"/>
                <w:sz w:val="20"/>
                <w:szCs w:val="20"/>
              </w:rPr>
              <w:t>Za potrditev prihranka energije je treba navesti tudi porabo energije ventilatorja pri običajni in povišani</w:t>
            </w:r>
            <w:r>
              <w:rPr>
                <w:rFonts w:ascii="Arial" w:hAnsi="Arial" w:cs="Arial"/>
                <w:sz w:val="20"/>
                <w:szCs w:val="20"/>
              </w:rPr>
              <w:t xml:space="preserve"> </w:t>
            </w:r>
            <w:r w:rsidRPr="00C55069">
              <w:rPr>
                <w:rFonts w:ascii="Arial" w:hAnsi="Arial" w:cs="Arial"/>
                <w:sz w:val="20"/>
                <w:szCs w:val="20"/>
              </w:rPr>
              <w:t>vhodni temperaturi.</w:t>
            </w:r>
          </w:p>
          <w:p w14:paraId="65C93C0C" w14:textId="77777777" w:rsidR="00C83435" w:rsidRDefault="00C83435" w:rsidP="00C83435">
            <w:pPr>
              <w:jc w:val="both"/>
              <w:rPr>
                <w:rFonts w:ascii="Arial" w:hAnsi="Arial" w:cs="Arial"/>
                <w:sz w:val="20"/>
                <w:szCs w:val="20"/>
              </w:rPr>
            </w:pPr>
          </w:p>
          <w:p w14:paraId="741177E4" w14:textId="77777777" w:rsidR="00C83435" w:rsidRPr="005C473D" w:rsidRDefault="00C83435" w:rsidP="00C83435">
            <w:pPr>
              <w:jc w:val="both"/>
              <w:rPr>
                <w:rFonts w:ascii="Arial" w:hAnsi="Arial" w:cs="Arial"/>
                <w:i/>
                <w:iCs/>
                <w:sz w:val="20"/>
                <w:szCs w:val="20"/>
              </w:rPr>
            </w:pPr>
            <w:r w:rsidRPr="005C473D">
              <w:rPr>
                <w:rFonts w:ascii="Arial" w:hAnsi="Arial" w:cs="Arial"/>
                <w:i/>
                <w:iCs/>
                <w:sz w:val="20"/>
                <w:szCs w:val="20"/>
              </w:rPr>
              <w:t>Se uporabijo v primeru tekočinskega hlajenja.</w:t>
            </w:r>
          </w:p>
          <w:p w14:paraId="5D31565E" w14:textId="77777777" w:rsidR="00C83435" w:rsidRDefault="00C83435" w:rsidP="00C83435">
            <w:pPr>
              <w:jc w:val="both"/>
              <w:rPr>
                <w:rFonts w:ascii="Arial" w:hAnsi="Arial" w:cs="Arial"/>
                <w:sz w:val="20"/>
                <w:szCs w:val="20"/>
              </w:rPr>
            </w:pPr>
          </w:p>
          <w:p w14:paraId="48CB4DC2" w14:textId="77777777" w:rsidR="00C83435" w:rsidRDefault="00C83435" w:rsidP="00C83435">
            <w:pPr>
              <w:jc w:val="both"/>
              <w:rPr>
                <w:rFonts w:ascii="Arial" w:hAnsi="Arial" w:cs="Arial"/>
                <w:sz w:val="20"/>
                <w:szCs w:val="20"/>
              </w:rPr>
            </w:pPr>
            <w:r>
              <w:rPr>
                <w:rFonts w:ascii="Arial" w:hAnsi="Arial" w:cs="Arial"/>
                <w:sz w:val="20"/>
                <w:szCs w:val="20"/>
              </w:rPr>
              <w:t>S</w:t>
            </w:r>
            <w:r w:rsidRPr="00C55069">
              <w:rPr>
                <w:rFonts w:ascii="Arial" w:hAnsi="Arial" w:cs="Arial"/>
                <w:sz w:val="20"/>
                <w:szCs w:val="20"/>
              </w:rPr>
              <w:t>trojna oprema IKT mora podpirati delovanje znotraj temperaturnih območij, ki so v razpisu določeni za</w:t>
            </w:r>
            <w:r>
              <w:rPr>
                <w:rFonts w:ascii="Arial" w:hAnsi="Arial" w:cs="Arial"/>
                <w:sz w:val="20"/>
                <w:szCs w:val="20"/>
              </w:rPr>
              <w:t xml:space="preserve"> </w:t>
            </w:r>
            <w:r w:rsidRPr="00C55069">
              <w:rPr>
                <w:rFonts w:ascii="Arial" w:hAnsi="Arial" w:cs="Arial"/>
                <w:sz w:val="20"/>
                <w:szCs w:val="20"/>
              </w:rPr>
              <w:t>oskrbo naprave z vodo v zvezi z razredi W2 in W3 iz Priloge II</w:t>
            </w:r>
            <w:r>
              <w:rPr>
                <w:rFonts w:ascii="Arial" w:hAnsi="Arial" w:cs="Arial"/>
                <w:sz w:val="20"/>
                <w:szCs w:val="20"/>
              </w:rPr>
              <w:t xml:space="preserve"> Meril EU</w:t>
            </w:r>
            <w:r w:rsidRPr="00C55069">
              <w:rPr>
                <w:rFonts w:ascii="Arial" w:hAnsi="Arial" w:cs="Arial"/>
                <w:sz w:val="20"/>
                <w:szCs w:val="20"/>
              </w:rPr>
              <w:t>.</w:t>
            </w:r>
          </w:p>
          <w:p w14:paraId="3A72DDC0" w14:textId="77777777" w:rsidR="00C83435" w:rsidRDefault="00C83435" w:rsidP="00C83435">
            <w:pPr>
              <w:jc w:val="both"/>
              <w:rPr>
                <w:rFonts w:ascii="Arial" w:hAnsi="Arial" w:cs="Arial"/>
                <w:sz w:val="20"/>
                <w:szCs w:val="20"/>
              </w:rPr>
            </w:pPr>
          </w:p>
          <w:p w14:paraId="63B1D328" w14:textId="77777777" w:rsidR="00C83435" w:rsidRPr="00C55069" w:rsidRDefault="00C83435" w:rsidP="00C83435">
            <w:pPr>
              <w:jc w:val="both"/>
              <w:rPr>
                <w:rFonts w:ascii="Arial" w:hAnsi="Arial" w:cs="Arial"/>
                <w:b/>
                <w:bCs/>
                <w:sz w:val="20"/>
                <w:szCs w:val="20"/>
              </w:rPr>
            </w:pPr>
            <w:r w:rsidRPr="00C55069">
              <w:rPr>
                <w:rFonts w:ascii="Arial" w:hAnsi="Arial" w:cs="Arial"/>
                <w:b/>
                <w:bCs/>
                <w:sz w:val="20"/>
                <w:szCs w:val="20"/>
              </w:rPr>
              <w:t>Preverjanje:</w:t>
            </w:r>
          </w:p>
          <w:p w14:paraId="4E0A5D34" w14:textId="37FE9F84" w:rsidR="00C83435" w:rsidRDefault="00C83435" w:rsidP="00C83435">
            <w:pPr>
              <w:jc w:val="both"/>
              <w:rPr>
                <w:rFonts w:ascii="Arial" w:eastAsia="Arial" w:hAnsi="Arial" w:cs="Arial"/>
                <w:b/>
                <w:color w:val="385522"/>
                <w:spacing w:val="1"/>
                <w:kern w:val="0"/>
                <w:sz w:val="20"/>
                <w:szCs w:val="20"/>
                <w14:ligatures w14:val="none"/>
              </w:rPr>
            </w:pPr>
            <w:r w:rsidRPr="00107F8D">
              <w:rPr>
                <w:rFonts w:ascii="Arial" w:hAnsi="Arial" w:cs="Arial"/>
                <w:sz w:val="20"/>
                <w:szCs w:val="20"/>
              </w:rPr>
              <w:t>Ponudnik mora predložiti specifikacije in deklaracije proizvajalca za vsak kos opreme IKT.</w:t>
            </w:r>
            <w:r>
              <w:rPr>
                <w:rFonts w:ascii="Arial" w:hAnsi="Arial" w:cs="Arial"/>
                <w:sz w:val="20"/>
                <w:szCs w:val="20"/>
              </w:rPr>
              <w:t xml:space="preserve"> </w:t>
            </w:r>
            <w:r w:rsidRPr="00107F8D">
              <w:rPr>
                <w:rFonts w:ascii="Arial" w:hAnsi="Arial" w:cs="Arial"/>
                <w:sz w:val="20"/>
                <w:szCs w:val="20"/>
              </w:rPr>
              <w:t>Ponudnik mora izjaviti, da so bili za modele strežnikov izvedeni preskusi delovanja v dovoljenem razponu v</w:t>
            </w:r>
            <w:r>
              <w:rPr>
                <w:rFonts w:ascii="Arial" w:hAnsi="Arial" w:cs="Arial"/>
                <w:sz w:val="20"/>
                <w:szCs w:val="20"/>
              </w:rPr>
              <w:t xml:space="preserve"> </w:t>
            </w:r>
            <w:r w:rsidRPr="00107F8D">
              <w:rPr>
                <w:rFonts w:ascii="Arial" w:hAnsi="Arial" w:cs="Arial"/>
                <w:sz w:val="20"/>
                <w:szCs w:val="20"/>
              </w:rPr>
              <w:t>določenem obsegu ur v opredeljenem časovnem obdobju. Zagotoviti mora specifikacijo preskusa.</w:t>
            </w:r>
            <w:r>
              <w:rPr>
                <w:rFonts w:ascii="Arial" w:hAnsi="Arial" w:cs="Arial"/>
                <w:sz w:val="20"/>
                <w:szCs w:val="20"/>
              </w:rPr>
              <w:t xml:space="preserve"> </w:t>
            </w:r>
            <w:r w:rsidRPr="00107F8D">
              <w:rPr>
                <w:rFonts w:ascii="Arial" w:hAnsi="Arial" w:cs="Arial"/>
                <w:sz w:val="20"/>
                <w:szCs w:val="20"/>
              </w:rPr>
              <w:t>Za preverjanje se lahko uporabijo tudi informacije in rezultati preskusa, opravljenega za namen pridobitve</w:t>
            </w:r>
            <w:r>
              <w:rPr>
                <w:rFonts w:ascii="Arial" w:hAnsi="Arial" w:cs="Arial"/>
                <w:sz w:val="20"/>
                <w:szCs w:val="20"/>
              </w:rPr>
              <w:t xml:space="preserve"> </w:t>
            </w:r>
            <w:r w:rsidRPr="00107F8D">
              <w:rPr>
                <w:rFonts w:ascii="Arial" w:hAnsi="Arial" w:cs="Arial"/>
                <w:sz w:val="20"/>
                <w:szCs w:val="20"/>
              </w:rPr>
              <w:t>oznake CE.</w:t>
            </w:r>
          </w:p>
        </w:tc>
        <w:tc>
          <w:tcPr>
            <w:tcW w:w="4201" w:type="dxa"/>
          </w:tcPr>
          <w:p w14:paraId="799F5832" w14:textId="77777777" w:rsidR="00C83435" w:rsidRDefault="00C83435" w:rsidP="00C83435">
            <w:pPr>
              <w:jc w:val="both"/>
              <w:rPr>
                <w:rFonts w:ascii="Arial" w:hAnsi="Arial" w:cs="Arial"/>
                <w:b/>
                <w:bCs/>
                <w:sz w:val="20"/>
                <w:szCs w:val="20"/>
              </w:rPr>
            </w:pPr>
            <w:r w:rsidRPr="00D451E0">
              <w:rPr>
                <w:rFonts w:ascii="Arial" w:hAnsi="Arial" w:cs="Arial"/>
                <w:b/>
                <w:bCs/>
                <w:sz w:val="20"/>
                <w:szCs w:val="20"/>
              </w:rPr>
              <w:lastRenderedPageBreak/>
              <w:t>Obratovalno območje IKT – temperatura in vla</w:t>
            </w:r>
            <w:r>
              <w:rPr>
                <w:rFonts w:ascii="Arial" w:hAnsi="Arial" w:cs="Arial"/>
                <w:b/>
                <w:bCs/>
                <w:sz w:val="20"/>
                <w:szCs w:val="20"/>
              </w:rPr>
              <w:t xml:space="preserve">ga </w:t>
            </w:r>
            <w:r w:rsidRPr="00D451E0">
              <w:rPr>
                <w:rFonts w:ascii="Arial" w:hAnsi="Arial" w:cs="Arial"/>
                <w:b/>
                <w:bCs/>
                <w:sz w:val="20"/>
                <w:szCs w:val="20"/>
              </w:rPr>
              <w:t xml:space="preserve">– </w:t>
            </w:r>
            <w:r w:rsidRPr="00C51DAF">
              <w:rPr>
                <w:rFonts w:ascii="Arial" w:hAnsi="Arial" w:cs="Arial"/>
                <w:b/>
                <w:bCs/>
                <w:i/>
                <w:iCs/>
                <w:sz w:val="20"/>
                <w:szCs w:val="20"/>
              </w:rPr>
              <w:t>Zahtevnejši nivo</w:t>
            </w:r>
          </w:p>
          <w:p w14:paraId="71077BD5" w14:textId="77777777" w:rsidR="00C83435" w:rsidRPr="005A01B6" w:rsidRDefault="00C83435" w:rsidP="00C83435">
            <w:pPr>
              <w:jc w:val="both"/>
              <w:rPr>
                <w:rFonts w:ascii="Arial" w:hAnsi="Arial" w:cs="Arial"/>
                <w:b/>
                <w:bCs/>
                <w:sz w:val="12"/>
                <w:szCs w:val="12"/>
              </w:rPr>
            </w:pPr>
          </w:p>
          <w:p w14:paraId="04EF9745" w14:textId="77777777" w:rsidR="00C83435" w:rsidRPr="00107F8D" w:rsidRDefault="00C83435" w:rsidP="00C83435">
            <w:pPr>
              <w:jc w:val="both"/>
              <w:rPr>
                <w:rFonts w:ascii="Arial" w:hAnsi="Arial" w:cs="Arial"/>
                <w:i/>
                <w:iCs/>
                <w:sz w:val="20"/>
                <w:szCs w:val="20"/>
              </w:rPr>
            </w:pPr>
            <w:r w:rsidRPr="00107F8D">
              <w:rPr>
                <w:rFonts w:ascii="Arial" w:hAnsi="Arial" w:cs="Arial"/>
                <w:i/>
                <w:iCs/>
                <w:sz w:val="20"/>
                <w:szCs w:val="20"/>
              </w:rPr>
              <w:t>Se uporabijo v primeru zračnega hlajenja in če je podatkovni center zasnovan za ekonomično in/ali prosto hlajenje. Veljavni razredi pogojev delovanja so opisani v Prilogi I Meril EU.</w:t>
            </w:r>
          </w:p>
          <w:p w14:paraId="768AF666" w14:textId="77777777" w:rsidR="00C83435" w:rsidRDefault="00C83435" w:rsidP="00C83435">
            <w:pPr>
              <w:jc w:val="both"/>
              <w:rPr>
                <w:rFonts w:ascii="Arial" w:hAnsi="Arial" w:cs="Arial"/>
                <w:sz w:val="20"/>
                <w:szCs w:val="20"/>
              </w:rPr>
            </w:pPr>
          </w:p>
          <w:p w14:paraId="4C1B9A12" w14:textId="77777777" w:rsidR="00C83435" w:rsidRPr="00C55069" w:rsidRDefault="00C83435" w:rsidP="00C83435">
            <w:pPr>
              <w:jc w:val="both"/>
              <w:rPr>
                <w:rFonts w:ascii="Arial" w:hAnsi="Arial" w:cs="Arial"/>
                <w:sz w:val="20"/>
                <w:szCs w:val="20"/>
              </w:rPr>
            </w:pPr>
            <w:r w:rsidRPr="00C55069">
              <w:rPr>
                <w:rFonts w:ascii="Arial" w:hAnsi="Arial" w:cs="Arial"/>
                <w:sz w:val="20"/>
                <w:szCs w:val="20"/>
              </w:rPr>
              <w:t>Strojna oprema IKT mora podpirati delovanje znotraj dovoljenega razpona vlažnosti in temperature pri suhem</w:t>
            </w:r>
            <w:r>
              <w:rPr>
                <w:rFonts w:ascii="Arial" w:hAnsi="Arial" w:cs="Arial"/>
                <w:sz w:val="20"/>
                <w:szCs w:val="20"/>
              </w:rPr>
              <w:t xml:space="preserve"> </w:t>
            </w:r>
            <w:r w:rsidRPr="00C55069">
              <w:rPr>
                <w:rFonts w:ascii="Arial" w:hAnsi="Arial" w:cs="Arial"/>
                <w:sz w:val="20"/>
                <w:szCs w:val="20"/>
              </w:rPr>
              <w:t xml:space="preserve">termometru razreda pogojev </w:t>
            </w:r>
            <w:r>
              <w:rPr>
                <w:rFonts w:ascii="Arial" w:hAnsi="Arial" w:cs="Arial"/>
                <w:sz w:val="20"/>
                <w:szCs w:val="20"/>
              </w:rPr>
              <w:t xml:space="preserve">delovanja A3 </w:t>
            </w:r>
            <w:r w:rsidRPr="00D451E0">
              <w:rPr>
                <w:rFonts w:ascii="Arial" w:hAnsi="Arial" w:cs="Arial"/>
                <w:sz w:val="20"/>
                <w:szCs w:val="20"/>
              </w:rPr>
              <w:t xml:space="preserve">v skladu z </w:t>
            </w:r>
            <w:hyperlink r:id="rId17" w:history="1">
              <w:r w:rsidRPr="00D451E0">
                <w:rPr>
                  <w:rStyle w:val="Hiperpovezava"/>
                  <w:rFonts w:ascii="Arial" w:hAnsi="Arial" w:cs="Arial"/>
                  <w:sz w:val="20"/>
                  <w:szCs w:val="20"/>
                </w:rPr>
                <w:t xml:space="preserve">Uredbo o </w:t>
              </w:r>
              <w:r w:rsidRPr="00D451E0">
                <w:rPr>
                  <w:rStyle w:val="Hiperpovezava"/>
                  <w:rFonts w:ascii="Arial" w:hAnsi="Arial" w:cs="Arial"/>
                  <w:sz w:val="20"/>
                  <w:szCs w:val="20"/>
                </w:rPr>
                <w:lastRenderedPageBreak/>
                <w:t>okoljsko primerni zasnovi (EU) 2019/424</w:t>
              </w:r>
            </w:hyperlink>
            <w:r w:rsidRPr="00C55069">
              <w:rPr>
                <w:rFonts w:ascii="Arial" w:hAnsi="Arial" w:cs="Arial"/>
                <w:sz w:val="20"/>
                <w:szCs w:val="20"/>
              </w:rPr>
              <w:t>,</w:t>
            </w:r>
            <w:r>
              <w:rPr>
                <w:rFonts w:ascii="Arial" w:hAnsi="Arial" w:cs="Arial"/>
                <w:sz w:val="20"/>
                <w:szCs w:val="20"/>
              </w:rPr>
              <w:t xml:space="preserve"> </w:t>
            </w:r>
            <w:r w:rsidRPr="00AF1C25">
              <w:rPr>
                <w:rFonts w:ascii="Arial" w:hAnsi="Arial" w:cs="Arial"/>
                <w:sz w:val="20"/>
                <w:szCs w:val="20"/>
              </w:rPr>
              <w:t>ali</w:t>
            </w:r>
            <w:r>
              <w:rPr>
                <w:rFonts w:ascii="Arial" w:hAnsi="Arial" w:cs="Arial"/>
                <w:sz w:val="20"/>
                <w:szCs w:val="20"/>
              </w:rPr>
              <w:t xml:space="preserve"> </w:t>
            </w:r>
            <w:r w:rsidRPr="00107F8D">
              <w:rPr>
                <w:rFonts w:ascii="Arial" w:hAnsi="Arial" w:cs="Arial"/>
                <w:sz w:val="20"/>
                <w:szCs w:val="20"/>
              </w:rPr>
              <w:t>za zahtevnejše uporabnike skladno</w:t>
            </w:r>
            <w:r>
              <w:rPr>
                <w:rFonts w:ascii="Arial" w:hAnsi="Arial" w:cs="Arial"/>
                <w:sz w:val="20"/>
                <w:szCs w:val="20"/>
              </w:rPr>
              <w:t xml:space="preserve"> z</w:t>
            </w:r>
            <w:r w:rsidRPr="00AF1C25">
              <w:rPr>
                <w:rFonts w:ascii="Arial" w:hAnsi="Arial" w:cs="Arial"/>
                <w:sz w:val="20"/>
                <w:szCs w:val="20"/>
              </w:rPr>
              <w:t xml:space="preserve"> </w:t>
            </w:r>
            <w:hyperlink r:id="rId18" w:history="1">
              <w:r w:rsidRPr="001B33B0">
                <w:rPr>
                  <w:rStyle w:val="Hiperpovezava"/>
                  <w:rFonts w:ascii="Arial" w:hAnsi="Arial" w:cs="Arial"/>
                  <w:sz w:val="20"/>
                  <w:szCs w:val="20"/>
                </w:rPr>
                <w:t>A</w:t>
              </w:r>
              <w:r w:rsidRPr="001B33B0">
                <w:rPr>
                  <w:rStyle w:val="Hiperpovezava"/>
                </w:rPr>
                <w:t xml:space="preserve">SHRAE </w:t>
              </w:r>
              <w:r w:rsidRPr="001B33B0">
                <w:rPr>
                  <w:rStyle w:val="Hiperpovezava"/>
                  <w:rFonts w:ascii="Arial" w:hAnsi="Arial" w:cs="Arial"/>
                  <w:sz w:val="20"/>
                  <w:szCs w:val="20"/>
                </w:rPr>
                <w:t xml:space="preserve">Equipment Thermal Guidelines for Data Processing Environments </w:t>
              </w:r>
              <w:r w:rsidRPr="001B33B0">
                <w:rPr>
                  <w:rStyle w:val="Hiperpovezava"/>
                </w:rPr>
                <w:t>2021 (5th Edition)</w:t>
              </w:r>
            </w:hyperlink>
            <w:r w:rsidRPr="00AF1C25">
              <w:rPr>
                <w:rFonts w:ascii="Arial" w:hAnsi="Arial" w:cs="Arial"/>
                <w:sz w:val="20"/>
                <w:szCs w:val="20"/>
              </w:rPr>
              <w:t>,</w:t>
            </w:r>
            <w:r w:rsidRPr="00C55069">
              <w:rPr>
                <w:rFonts w:ascii="Arial" w:hAnsi="Arial" w:cs="Arial"/>
                <w:sz w:val="20"/>
                <w:szCs w:val="20"/>
              </w:rPr>
              <w:t xml:space="preserve"> ki</w:t>
            </w:r>
            <w:r>
              <w:rPr>
                <w:rFonts w:ascii="Arial" w:hAnsi="Arial" w:cs="Arial"/>
                <w:sz w:val="20"/>
                <w:szCs w:val="20"/>
              </w:rPr>
              <w:t xml:space="preserve"> </w:t>
            </w:r>
            <w:r w:rsidRPr="00C55069">
              <w:rPr>
                <w:rFonts w:ascii="Arial" w:hAnsi="Arial" w:cs="Arial"/>
                <w:sz w:val="20"/>
                <w:szCs w:val="20"/>
              </w:rPr>
              <w:t>določa zahteve za okoljsko primerno zasnovo strežnikov in izdelkov za shranjevanje podatkov.</w:t>
            </w:r>
          </w:p>
          <w:p w14:paraId="59F2777C" w14:textId="77777777" w:rsidR="00C83435" w:rsidRPr="00C55069" w:rsidRDefault="00C83435" w:rsidP="00C83435">
            <w:pPr>
              <w:jc w:val="both"/>
              <w:rPr>
                <w:rFonts w:ascii="Arial" w:hAnsi="Arial" w:cs="Arial"/>
                <w:sz w:val="20"/>
                <w:szCs w:val="20"/>
              </w:rPr>
            </w:pPr>
          </w:p>
          <w:p w14:paraId="45DEACCF" w14:textId="77777777" w:rsidR="00C83435" w:rsidRDefault="00C83435" w:rsidP="00C83435">
            <w:pPr>
              <w:jc w:val="both"/>
              <w:rPr>
                <w:rFonts w:ascii="Arial" w:hAnsi="Arial" w:cs="Arial"/>
                <w:sz w:val="20"/>
                <w:szCs w:val="20"/>
              </w:rPr>
            </w:pPr>
            <w:r w:rsidRPr="00C55069">
              <w:rPr>
                <w:rFonts w:ascii="Arial" w:hAnsi="Arial" w:cs="Arial"/>
                <w:sz w:val="20"/>
                <w:szCs w:val="20"/>
              </w:rPr>
              <w:t xml:space="preserve">Preskusiti je treba, ali oprema deluje v dovoljenem razponu najmanj </w:t>
            </w:r>
            <w:r>
              <w:rPr>
                <w:rFonts w:ascii="Arial" w:hAnsi="Arial" w:cs="Arial"/>
                <w:sz w:val="20"/>
                <w:szCs w:val="20"/>
              </w:rPr>
              <w:t>88</w:t>
            </w:r>
            <w:r w:rsidRPr="00C55069">
              <w:rPr>
                <w:rFonts w:ascii="Arial" w:hAnsi="Arial" w:cs="Arial"/>
                <w:sz w:val="20"/>
                <w:szCs w:val="20"/>
              </w:rPr>
              <w:t xml:space="preserve"> obratovalnih ur (obratovanje na visoki</w:t>
            </w:r>
            <w:r>
              <w:rPr>
                <w:rFonts w:ascii="Arial" w:hAnsi="Arial" w:cs="Arial"/>
                <w:sz w:val="20"/>
                <w:szCs w:val="20"/>
              </w:rPr>
              <w:t xml:space="preserve"> </w:t>
            </w:r>
            <w:r w:rsidRPr="00C55069">
              <w:rPr>
                <w:rFonts w:ascii="Arial" w:hAnsi="Arial" w:cs="Arial"/>
                <w:sz w:val="20"/>
                <w:szCs w:val="20"/>
              </w:rPr>
              <w:t>temperaturi ni predvideno za neprekinjeno uporabo). Preskus mora biti zasnovan tako, da predstavlja realne</w:t>
            </w:r>
            <w:r>
              <w:rPr>
                <w:rFonts w:ascii="Arial" w:hAnsi="Arial" w:cs="Arial"/>
                <w:sz w:val="20"/>
                <w:szCs w:val="20"/>
              </w:rPr>
              <w:t xml:space="preserve"> </w:t>
            </w:r>
            <w:r w:rsidRPr="00C55069">
              <w:rPr>
                <w:rFonts w:ascii="Arial" w:hAnsi="Arial" w:cs="Arial"/>
                <w:sz w:val="20"/>
                <w:szCs w:val="20"/>
              </w:rPr>
              <w:t>pogoje delovanja (</w:t>
            </w:r>
            <w:r>
              <w:rPr>
                <w:rFonts w:ascii="Arial" w:hAnsi="Arial" w:cs="Arial"/>
                <w:sz w:val="20"/>
                <w:szCs w:val="20"/>
              </w:rPr>
              <w:t>podrobneje</w:t>
            </w:r>
            <w:r w:rsidRPr="00C55069">
              <w:rPr>
                <w:rFonts w:ascii="Arial" w:hAnsi="Arial" w:cs="Arial"/>
                <w:sz w:val="20"/>
                <w:szCs w:val="20"/>
              </w:rPr>
              <w:t xml:space="preserve"> priložena pojasnila</w:t>
            </w:r>
            <w:r>
              <w:rPr>
                <w:rFonts w:ascii="Arial" w:hAnsi="Arial" w:cs="Arial"/>
                <w:sz w:val="20"/>
                <w:szCs w:val="20"/>
              </w:rPr>
              <w:t xml:space="preserve"> Meril EU</w:t>
            </w:r>
            <w:r w:rsidRPr="00C55069">
              <w:rPr>
                <w:rFonts w:ascii="Arial" w:hAnsi="Arial" w:cs="Arial"/>
                <w:sz w:val="20"/>
                <w:szCs w:val="20"/>
              </w:rPr>
              <w:t>). V ta namen so lahko primerne tudi preskusne metode, ki navajajo</w:t>
            </w:r>
            <w:r>
              <w:rPr>
                <w:rFonts w:ascii="Arial" w:hAnsi="Arial" w:cs="Arial"/>
                <w:sz w:val="20"/>
                <w:szCs w:val="20"/>
              </w:rPr>
              <w:t xml:space="preserve"> </w:t>
            </w:r>
            <w:r w:rsidRPr="00C55069">
              <w:rPr>
                <w:rFonts w:ascii="Arial" w:hAnsi="Arial" w:cs="Arial"/>
                <w:sz w:val="20"/>
                <w:szCs w:val="20"/>
              </w:rPr>
              <w:t>evropski standardi o razredih pogojev delovanja za strežnike in so bile razvite kot odgovor na osnutek</w:t>
            </w:r>
            <w:r>
              <w:rPr>
                <w:rFonts w:ascii="Arial" w:hAnsi="Arial" w:cs="Arial"/>
                <w:sz w:val="20"/>
                <w:szCs w:val="20"/>
              </w:rPr>
              <w:t xml:space="preserve"> </w:t>
            </w:r>
            <w:r w:rsidRPr="00C55069">
              <w:rPr>
                <w:rFonts w:ascii="Arial" w:hAnsi="Arial" w:cs="Arial"/>
                <w:sz w:val="20"/>
                <w:szCs w:val="20"/>
              </w:rPr>
              <w:t xml:space="preserve">pooblastila za standardizacijo v okviru </w:t>
            </w:r>
            <w:hyperlink r:id="rId19" w:history="1">
              <w:r w:rsidRPr="00D451E0">
                <w:rPr>
                  <w:rStyle w:val="Hiperpovezava"/>
                  <w:rFonts w:ascii="Arial" w:hAnsi="Arial" w:cs="Arial"/>
                  <w:sz w:val="20"/>
                  <w:szCs w:val="20"/>
                </w:rPr>
                <w:t>Uredb</w:t>
              </w:r>
              <w:r>
                <w:rPr>
                  <w:rStyle w:val="Hiperpovezava"/>
                  <w:rFonts w:ascii="Arial" w:hAnsi="Arial" w:cs="Arial"/>
                  <w:sz w:val="20"/>
                  <w:szCs w:val="20"/>
                </w:rPr>
                <w:t>e</w:t>
              </w:r>
              <w:r w:rsidRPr="00D451E0">
                <w:rPr>
                  <w:rStyle w:val="Hiperpovezava"/>
                  <w:rFonts w:ascii="Arial" w:hAnsi="Arial" w:cs="Arial"/>
                  <w:sz w:val="20"/>
                  <w:szCs w:val="20"/>
                </w:rPr>
                <w:t xml:space="preserve"> o okoljsko primerni zasnovi (EU) 2019/424</w:t>
              </w:r>
            </w:hyperlink>
            <w:r w:rsidRPr="00C55069">
              <w:rPr>
                <w:rFonts w:ascii="Arial" w:hAnsi="Arial" w:cs="Arial"/>
                <w:sz w:val="20"/>
                <w:szCs w:val="20"/>
              </w:rPr>
              <w:t>.</w:t>
            </w:r>
            <w:r>
              <w:rPr>
                <w:rFonts w:ascii="Arial" w:hAnsi="Arial" w:cs="Arial"/>
                <w:sz w:val="20"/>
                <w:szCs w:val="20"/>
              </w:rPr>
              <w:t xml:space="preserve"> </w:t>
            </w:r>
            <w:r w:rsidRPr="00C55069">
              <w:rPr>
                <w:rFonts w:ascii="Arial" w:hAnsi="Arial" w:cs="Arial"/>
                <w:sz w:val="20"/>
                <w:szCs w:val="20"/>
              </w:rPr>
              <w:t>Za potrditev prihranka energije je treba navesti tudi porabo energije ventilatorja pri običajni in povišani</w:t>
            </w:r>
            <w:r>
              <w:rPr>
                <w:rFonts w:ascii="Arial" w:hAnsi="Arial" w:cs="Arial"/>
                <w:sz w:val="20"/>
                <w:szCs w:val="20"/>
              </w:rPr>
              <w:t xml:space="preserve"> </w:t>
            </w:r>
            <w:r w:rsidRPr="00C55069">
              <w:rPr>
                <w:rFonts w:ascii="Arial" w:hAnsi="Arial" w:cs="Arial"/>
                <w:sz w:val="20"/>
                <w:szCs w:val="20"/>
              </w:rPr>
              <w:t>vhodni temperaturi.</w:t>
            </w:r>
            <w:r>
              <w:rPr>
                <w:rFonts w:ascii="Arial" w:hAnsi="Arial" w:cs="Arial"/>
                <w:sz w:val="20"/>
                <w:szCs w:val="20"/>
              </w:rPr>
              <w:t xml:space="preserve"> </w:t>
            </w:r>
          </w:p>
          <w:p w14:paraId="65639C08" w14:textId="77777777" w:rsidR="00811306" w:rsidRDefault="00811306" w:rsidP="00C83435">
            <w:pPr>
              <w:jc w:val="both"/>
              <w:rPr>
                <w:rFonts w:ascii="Arial" w:hAnsi="Arial" w:cs="Arial"/>
                <w:sz w:val="20"/>
                <w:szCs w:val="20"/>
              </w:rPr>
            </w:pPr>
          </w:p>
          <w:p w14:paraId="112BA8D8" w14:textId="77777777" w:rsidR="00C83435" w:rsidRPr="00107F8D" w:rsidRDefault="00C83435" w:rsidP="00C83435">
            <w:pPr>
              <w:jc w:val="both"/>
              <w:rPr>
                <w:rFonts w:ascii="Arial" w:hAnsi="Arial" w:cs="Arial"/>
                <w:i/>
                <w:iCs/>
                <w:sz w:val="20"/>
                <w:szCs w:val="20"/>
              </w:rPr>
            </w:pPr>
            <w:r w:rsidRPr="00107F8D">
              <w:rPr>
                <w:rFonts w:ascii="Arial" w:hAnsi="Arial" w:cs="Arial"/>
                <w:i/>
                <w:iCs/>
                <w:sz w:val="20"/>
                <w:szCs w:val="20"/>
              </w:rPr>
              <w:t xml:space="preserve">Se uporabijo v primeru tekočinskega hlajenja. </w:t>
            </w:r>
          </w:p>
          <w:p w14:paraId="7FF7F633" w14:textId="77777777" w:rsidR="00C51DAF" w:rsidRDefault="00C51DAF" w:rsidP="00C83435">
            <w:pPr>
              <w:jc w:val="both"/>
              <w:rPr>
                <w:rFonts w:ascii="Arial" w:hAnsi="Arial" w:cs="Arial"/>
                <w:sz w:val="20"/>
                <w:szCs w:val="20"/>
              </w:rPr>
            </w:pPr>
          </w:p>
          <w:p w14:paraId="39D8256A" w14:textId="77777777" w:rsidR="00C83435" w:rsidRDefault="00C83435" w:rsidP="00C83435">
            <w:pPr>
              <w:jc w:val="both"/>
              <w:rPr>
                <w:rFonts w:ascii="Arial" w:hAnsi="Arial" w:cs="Arial"/>
                <w:sz w:val="20"/>
                <w:szCs w:val="20"/>
              </w:rPr>
            </w:pPr>
            <w:r>
              <w:rPr>
                <w:rFonts w:ascii="Arial" w:hAnsi="Arial" w:cs="Arial"/>
                <w:sz w:val="20"/>
                <w:szCs w:val="20"/>
              </w:rPr>
              <w:t>S</w:t>
            </w:r>
            <w:r w:rsidRPr="00C55069">
              <w:rPr>
                <w:rFonts w:ascii="Arial" w:hAnsi="Arial" w:cs="Arial"/>
                <w:sz w:val="20"/>
                <w:szCs w:val="20"/>
              </w:rPr>
              <w:t>trojna oprema IKT mora podpirati delovanje znotraj temperaturnih območij, ki so v razpisu določeni za</w:t>
            </w:r>
            <w:r>
              <w:rPr>
                <w:rFonts w:ascii="Arial" w:hAnsi="Arial" w:cs="Arial"/>
                <w:sz w:val="20"/>
                <w:szCs w:val="20"/>
              </w:rPr>
              <w:t xml:space="preserve"> </w:t>
            </w:r>
            <w:r w:rsidRPr="00C55069">
              <w:rPr>
                <w:rFonts w:ascii="Arial" w:hAnsi="Arial" w:cs="Arial"/>
                <w:sz w:val="20"/>
                <w:szCs w:val="20"/>
              </w:rPr>
              <w:t>oskrbo naprave z vodo v zvezi z razredi W</w:t>
            </w:r>
            <w:r>
              <w:rPr>
                <w:rFonts w:ascii="Arial" w:hAnsi="Arial" w:cs="Arial"/>
                <w:sz w:val="20"/>
                <w:szCs w:val="20"/>
              </w:rPr>
              <w:t>4</w:t>
            </w:r>
            <w:r w:rsidRPr="00C55069">
              <w:rPr>
                <w:rFonts w:ascii="Arial" w:hAnsi="Arial" w:cs="Arial"/>
                <w:sz w:val="20"/>
                <w:szCs w:val="20"/>
              </w:rPr>
              <w:t xml:space="preserve"> in W</w:t>
            </w:r>
            <w:r>
              <w:rPr>
                <w:rFonts w:ascii="Arial" w:hAnsi="Arial" w:cs="Arial"/>
                <w:sz w:val="20"/>
                <w:szCs w:val="20"/>
              </w:rPr>
              <w:t>5</w:t>
            </w:r>
            <w:r w:rsidRPr="00C55069">
              <w:rPr>
                <w:rFonts w:ascii="Arial" w:hAnsi="Arial" w:cs="Arial"/>
                <w:sz w:val="20"/>
                <w:szCs w:val="20"/>
              </w:rPr>
              <w:t xml:space="preserve"> iz Priloge II</w:t>
            </w:r>
            <w:r>
              <w:rPr>
                <w:rFonts w:ascii="Arial" w:hAnsi="Arial" w:cs="Arial"/>
                <w:sz w:val="20"/>
                <w:szCs w:val="20"/>
              </w:rPr>
              <w:t xml:space="preserve"> Meril EU</w:t>
            </w:r>
            <w:r w:rsidRPr="00C55069">
              <w:rPr>
                <w:rFonts w:ascii="Arial" w:hAnsi="Arial" w:cs="Arial"/>
                <w:sz w:val="20"/>
                <w:szCs w:val="20"/>
              </w:rPr>
              <w:t>.</w:t>
            </w:r>
          </w:p>
          <w:p w14:paraId="67ABDB00" w14:textId="77777777" w:rsidR="00C51DAF" w:rsidRDefault="00C51DAF" w:rsidP="00C83435">
            <w:pPr>
              <w:jc w:val="both"/>
              <w:rPr>
                <w:rFonts w:ascii="Arial" w:hAnsi="Arial" w:cs="Arial"/>
                <w:sz w:val="20"/>
                <w:szCs w:val="20"/>
              </w:rPr>
            </w:pPr>
          </w:p>
          <w:p w14:paraId="05E00115" w14:textId="77777777" w:rsidR="00C01CF4" w:rsidRDefault="00C01CF4" w:rsidP="00C83435">
            <w:pPr>
              <w:jc w:val="both"/>
              <w:rPr>
                <w:rFonts w:ascii="Arial" w:hAnsi="Arial" w:cs="Arial"/>
                <w:sz w:val="20"/>
                <w:szCs w:val="20"/>
              </w:rPr>
            </w:pPr>
          </w:p>
          <w:p w14:paraId="4FB25570" w14:textId="77777777" w:rsidR="00C83435" w:rsidRPr="00F976AD" w:rsidRDefault="00C83435" w:rsidP="00C83435">
            <w:pPr>
              <w:jc w:val="both"/>
              <w:rPr>
                <w:rFonts w:ascii="Arial" w:hAnsi="Arial" w:cs="Arial"/>
                <w:b/>
                <w:bCs/>
                <w:sz w:val="20"/>
                <w:szCs w:val="20"/>
              </w:rPr>
            </w:pPr>
            <w:r w:rsidRPr="00F976AD">
              <w:rPr>
                <w:rFonts w:ascii="Arial" w:hAnsi="Arial" w:cs="Arial"/>
                <w:b/>
                <w:bCs/>
                <w:sz w:val="20"/>
                <w:szCs w:val="20"/>
              </w:rPr>
              <w:t>Preverjanje:</w:t>
            </w:r>
          </w:p>
          <w:p w14:paraId="608BE4EF" w14:textId="07848208" w:rsidR="00C83435" w:rsidRDefault="00C83435" w:rsidP="00C83435">
            <w:pPr>
              <w:jc w:val="both"/>
              <w:rPr>
                <w:rFonts w:ascii="Arial" w:eastAsia="Arial" w:hAnsi="Arial" w:cs="Arial"/>
                <w:b/>
                <w:color w:val="385522"/>
                <w:spacing w:val="1"/>
                <w:kern w:val="0"/>
                <w:sz w:val="20"/>
                <w:szCs w:val="20"/>
                <w14:ligatures w14:val="none"/>
              </w:rPr>
            </w:pPr>
            <w:r w:rsidRPr="00107F8D">
              <w:rPr>
                <w:rFonts w:ascii="Arial" w:hAnsi="Arial" w:cs="Arial"/>
                <w:sz w:val="20"/>
                <w:szCs w:val="20"/>
              </w:rPr>
              <w:t>Ponudnik mora predložiti specifikacije in deklaracije proizvajalca za vsak kos opreme IKT. Ponudnik mora izjaviti, da so bili za modele strežnikov izvedeni preskusi delovanja v dovoljenem razponu v določenem obsegu ur v opredeljenem časovnem obdobju. Zagotoviti mora specifikacijo preskusa. Za preverjanje se lahko uporabijo tudi informacije in rezultati preskusa, opravljenega za namen pridobitve oznake CE.</w:t>
            </w:r>
          </w:p>
        </w:tc>
      </w:tr>
      <w:tr w:rsidR="00D568F0" w14:paraId="2AFDF37C" w14:textId="77777777" w:rsidTr="00811306">
        <w:tc>
          <w:tcPr>
            <w:tcW w:w="704" w:type="dxa"/>
          </w:tcPr>
          <w:p w14:paraId="08A171D0" w14:textId="77777777" w:rsidR="00D568F0" w:rsidRDefault="00D568F0" w:rsidP="00545CF0">
            <w:pPr>
              <w:jc w:val="both"/>
              <w:rPr>
                <w:rFonts w:ascii="Arial" w:eastAsia="Arial" w:hAnsi="Arial" w:cs="Arial"/>
                <w:bCs/>
                <w:spacing w:val="1"/>
                <w:kern w:val="0"/>
                <w:sz w:val="20"/>
                <w:szCs w:val="20"/>
                <w14:ligatures w14:val="none"/>
              </w:rPr>
            </w:pPr>
          </w:p>
          <w:p w14:paraId="5830D019" w14:textId="77777777" w:rsidR="00D568F0" w:rsidRDefault="00D568F0" w:rsidP="00545CF0">
            <w:pPr>
              <w:jc w:val="both"/>
              <w:rPr>
                <w:rFonts w:ascii="Arial" w:eastAsia="Arial" w:hAnsi="Arial" w:cs="Arial"/>
                <w:bCs/>
                <w:spacing w:val="1"/>
                <w:kern w:val="0"/>
                <w:sz w:val="20"/>
                <w:szCs w:val="20"/>
                <w14:ligatures w14:val="none"/>
              </w:rPr>
            </w:pPr>
          </w:p>
        </w:tc>
        <w:tc>
          <w:tcPr>
            <w:tcW w:w="8312" w:type="dxa"/>
            <w:gridSpan w:val="2"/>
            <w:shd w:val="clear" w:color="auto" w:fill="9BBA58"/>
          </w:tcPr>
          <w:p w14:paraId="776A6EE5" w14:textId="77777777" w:rsidR="00D568F0" w:rsidRPr="00D568F0" w:rsidRDefault="00D568F0" w:rsidP="00D568F0">
            <w:pPr>
              <w:jc w:val="both"/>
              <w:rPr>
                <w:rFonts w:ascii="Arial" w:hAnsi="Arial" w:cs="Arial"/>
                <w:b/>
                <w:bCs/>
                <w:sz w:val="20"/>
                <w:szCs w:val="20"/>
              </w:rPr>
            </w:pPr>
            <w:r w:rsidRPr="00D568F0">
              <w:rPr>
                <w:rFonts w:ascii="Arial" w:hAnsi="Arial" w:cs="Arial"/>
                <w:b/>
                <w:bCs/>
                <w:sz w:val="20"/>
                <w:szCs w:val="20"/>
              </w:rPr>
              <w:t xml:space="preserve">Predmet naročila: </w:t>
            </w:r>
          </w:p>
          <w:p w14:paraId="5E8838F5" w14:textId="2EB1F0DD" w:rsidR="00D568F0" w:rsidRPr="00D451E0" w:rsidRDefault="00D568F0" w:rsidP="003C6436">
            <w:pPr>
              <w:numPr>
                <w:ilvl w:val="0"/>
                <w:numId w:val="1"/>
              </w:numPr>
              <w:jc w:val="both"/>
              <w:rPr>
                <w:rFonts w:ascii="Arial" w:hAnsi="Arial" w:cs="Arial"/>
                <w:b/>
                <w:bCs/>
                <w:sz w:val="20"/>
                <w:szCs w:val="20"/>
              </w:rPr>
            </w:pPr>
            <w:r w:rsidRPr="00D568F0">
              <w:rPr>
                <w:rFonts w:ascii="Arial" w:hAnsi="Arial" w:cs="Arial"/>
                <w:b/>
                <w:bCs/>
                <w:sz w:val="20"/>
                <w:szCs w:val="20"/>
              </w:rPr>
              <w:t xml:space="preserve">nakup storitev za izrabljene strežnike ter izrabljeno opremo za shranjevanje podatkov in omrežja </w:t>
            </w:r>
          </w:p>
        </w:tc>
      </w:tr>
      <w:tr w:rsidR="00C83435" w14:paraId="5E02324A" w14:textId="77777777" w:rsidTr="00811306">
        <w:tc>
          <w:tcPr>
            <w:tcW w:w="704" w:type="dxa"/>
          </w:tcPr>
          <w:p w14:paraId="2EA84C87" w14:textId="4B12DAEE" w:rsidR="00C83435" w:rsidRPr="00EE4AEF" w:rsidRDefault="00D568F0" w:rsidP="00545CF0">
            <w:pPr>
              <w:jc w:val="both"/>
              <w:rPr>
                <w:rFonts w:ascii="Arial" w:eastAsia="Arial" w:hAnsi="Arial" w:cs="Arial"/>
                <w:bCs/>
                <w:spacing w:val="1"/>
                <w:kern w:val="0"/>
                <w:sz w:val="20"/>
                <w:szCs w:val="20"/>
                <w14:ligatures w14:val="none"/>
              </w:rPr>
            </w:pPr>
            <w:r>
              <w:rPr>
                <w:rFonts w:ascii="Arial" w:eastAsia="Arial" w:hAnsi="Arial" w:cs="Arial"/>
                <w:bCs/>
                <w:spacing w:val="1"/>
                <w:kern w:val="0"/>
                <w:sz w:val="20"/>
                <w:szCs w:val="20"/>
                <w14:ligatures w14:val="none"/>
              </w:rPr>
              <w:t>TS</w:t>
            </w:r>
            <w:r w:rsidR="00496874">
              <w:rPr>
                <w:rFonts w:ascii="Arial" w:eastAsia="Arial" w:hAnsi="Arial" w:cs="Arial"/>
                <w:bCs/>
                <w:spacing w:val="1"/>
                <w:kern w:val="0"/>
                <w:sz w:val="20"/>
                <w:szCs w:val="20"/>
                <w14:ligatures w14:val="none"/>
              </w:rPr>
              <w:t>3</w:t>
            </w:r>
          </w:p>
        </w:tc>
        <w:tc>
          <w:tcPr>
            <w:tcW w:w="8312" w:type="dxa"/>
            <w:gridSpan w:val="2"/>
          </w:tcPr>
          <w:p w14:paraId="3FB36159" w14:textId="34C1D892" w:rsidR="00C83435" w:rsidRDefault="00C83435" w:rsidP="00C83435">
            <w:pPr>
              <w:jc w:val="both"/>
              <w:rPr>
                <w:rFonts w:ascii="Arial" w:hAnsi="Arial" w:cs="Arial"/>
                <w:b/>
                <w:bCs/>
                <w:sz w:val="20"/>
                <w:szCs w:val="20"/>
              </w:rPr>
            </w:pPr>
            <w:r w:rsidRPr="00D451E0">
              <w:rPr>
                <w:rFonts w:ascii="Arial" w:hAnsi="Arial" w:cs="Arial"/>
                <w:b/>
                <w:bCs/>
                <w:sz w:val="20"/>
                <w:szCs w:val="20"/>
              </w:rPr>
              <w:t xml:space="preserve">Upravljanje </w:t>
            </w:r>
            <w:r w:rsidR="0079499B">
              <w:rPr>
                <w:rFonts w:ascii="Arial" w:hAnsi="Arial" w:cs="Arial"/>
                <w:b/>
                <w:bCs/>
                <w:sz w:val="20"/>
                <w:szCs w:val="20"/>
              </w:rPr>
              <w:t>izrabljenih</w:t>
            </w:r>
            <w:r w:rsidR="0079499B" w:rsidRPr="00D451E0">
              <w:rPr>
                <w:rFonts w:ascii="Arial" w:hAnsi="Arial" w:cs="Arial"/>
                <w:b/>
                <w:bCs/>
                <w:sz w:val="20"/>
                <w:szCs w:val="20"/>
              </w:rPr>
              <w:t xml:space="preserve"> </w:t>
            </w:r>
            <w:r w:rsidRPr="00D451E0">
              <w:rPr>
                <w:rFonts w:ascii="Arial" w:hAnsi="Arial" w:cs="Arial"/>
                <w:b/>
                <w:bCs/>
                <w:sz w:val="20"/>
                <w:szCs w:val="20"/>
              </w:rPr>
              <w:t>strežnikov</w:t>
            </w:r>
            <w:r w:rsidR="0079499B">
              <w:rPr>
                <w:rFonts w:ascii="Arial" w:hAnsi="Arial" w:cs="Arial"/>
                <w:b/>
                <w:bCs/>
                <w:sz w:val="20"/>
                <w:szCs w:val="20"/>
              </w:rPr>
              <w:t xml:space="preserve"> ter izrabljene</w:t>
            </w:r>
            <w:r w:rsidRPr="00D451E0">
              <w:rPr>
                <w:rFonts w:ascii="Arial" w:hAnsi="Arial" w:cs="Arial"/>
                <w:b/>
                <w:bCs/>
                <w:sz w:val="20"/>
                <w:szCs w:val="20"/>
              </w:rPr>
              <w:t xml:space="preserve"> opreme </w:t>
            </w:r>
            <w:r w:rsidR="0079499B">
              <w:rPr>
                <w:rFonts w:ascii="Arial" w:hAnsi="Arial" w:cs="Arial"/>
                <w:b/>
                <w:bCs/>
                <w:sz w:val="20"/>
                <w:szCs w:val="20"/>
              </w:rPr>
              <w:t xml:space="preserve">za shranjevanje podatkov in omrežja </w:t>
            </w:r>
            <w:r w:rsidRPr="00D451E0">
              <w:rPr>
                <w:rFonts w:ascii="Arial" w:hAnsi="Arial" w:cs="Arial"/>
                <w:b/>
                <w:bCs/>
                <w:sz w:val="20"/>
                <w:szCs w:val="20"/>
              </w:rPr>
              <w:t xml:space="preserve">ob koncu življenjske dobe – </w:t>
            </w:r>
            <w:r w:rsidRPr="00D568F0">
              <w:rPr>
                <w:rFonts w:ascii="Arial" w:hAnsi="Arial" w:cs="Arial"/>
                <w:b/>
                <w:bCs/>
                <w:i/>
                <w:iCs/>
                <w:sz w:val="20"/>
                <w:szCs w:val="20"/>
              </w:rPr>
              <w:t>Osnovni in zahtevnejši nivo</w:t>
            </w:r>
          </w:p>
          <w:p w14:paraId="3DA733B1" w14:textId="77777777" w:rsidR="00C83435" w:rsidRPr="00853340" w:rsidRDefault="00C83435" w:rsidP="00C83435">
            <w:pPr>
              <w:jc w:val="both"/>
              <w:rPr>
                <w:rFonts w:ascii="Arial" w:hAnsi="Arial" w:cs="Arial"/>
                <w:b/>
                <w:bCs/>
                <w:sz w:val="20"/>
                <w:szCs w:val="20"/>
              </w:rPr>
            </w:pPr>
          </w:p>
          <w:p w14:paraId="5276D59B" w14:textId="17D3DF84" w:rsidR="00C83435" w:rsidRPr="0015580C" w:rsidRDefault="00AB0611" w:rsidP="00C83435">
            <w:pPr>
              <w:jc w:val="both"/>
              <w:rPr>
                <w:rFonts w:ascii="Arial" w:hAnsi="Arial" w:cs="Arial"/>
                <w:i/>
                <w:iCs/>
                <w:sz w:val="20"/>
                <w:szCs w:val="20"/>
              </w:rPr>
            </w:pPr>
            <w:r>
              <w:rPr>
                <w:rFonts w:ascii="Arial" w:hAnsi="Arial" w:cs="Arial"/>
                <w:i/>
                <w:iCs/>
                <w:sz w:val="20"/>
                <w:szCs w:val="20"/>
              </w:rPr>
              <w:t xml:space="preserve">To zahtevo </w:t>
            </w:r>
            <w:r w:rsidR="00C83435" w:rsidRPr="0015580C">
              <w:rPr>
                <w:rFonts w:ascii="Arial" w:hAnsi="Arial" w:cs="Arial"/>
                <w:i/>
                <w:iCs/>
                <w:sz w:val="20"/>
                <w:szCs w:val="20"/>
              </w:rPr>
              <w:t xml:space="preserve">se uporablja v povezavi s </w:t>
            </w:r>
            <w:r w:rsidR="0079499B">
              <w:rPr>
                <w:rFonts w:ascii="Arial" w:hAnsi="Arial" w:cs="Arial"/>
                <w:i/>
                <w:iCs/>
                <w:sz w:val="20"/>
                <w:szCs w:val="20"/>
              </w:rPr>
              <w:t xml:space="preserve">pogodbeno </w:t>
            </w:r>
            <w:r w:rsidR="00C83435" w:rsidRPr="0015580C">
              <w:rPr>
                <w:rFonts w:ascii="Arial" w:hAnsi="Arial" w:cs="Arial"/>
                <w:i/>
                <w:iCs/>
                <w:sz w:val="20"/>
                <w:szCs w:val="20"/>
              </w:rPr>
              <w:t xml:space="preserve">klavzulo </w:t>
            </w:r>
            <w:r w:rsidR="0079499B">
              <w:rPr>
                <w:rFonts w:ascii="Arial" w:hAnsi="Arial" w:cs="Arial"/>
                <w:i/>
                <w:iCs/>
                <w:sz w:val="20"/>
                <w:szCs w:val="20"/>
              </w:rPr>
              <w:t>PK</w:t>
            </w:r>
            <w:r w:rsidR="0079499B" w:rsidRPr="0015580C">
              <w:rPr>
                <w:rFonts w:ascii="Arial" w:hAnsi="Arial" w:cs="Arial"/>
                <w:i/>
                <w:iCs/>
                <w:sz w:val="20"/>
                <w:szCs w:val="20"/>
              </w:rPr>
              <w:t>3</w:t>
            </w:r>
            <w:r w:rsidR="00C83435" w:rsidRPr="0015580C">
              <w:rPr>
                <w:rFonts w:ascii="Arial" w:hAnsi="Arial" w:cs="Arial"/>
                <w:i/>
                <w:iCs/>
                <w:sz w:val="20"/>
                <w:szCs w:val="20"/>
              </w:rPr>
              <w:t>.</w:t>
            </w:r>
          </w:p>
          <w:p w14:paraId="33ED8003" w14:textId="77777777" w:rsidR="00C83435" w:rsidRDefault="00C83435" w:rsidP="00C83435">
            <w:pPr>
              <w:jc w:val="both"/>
              <w:rPr>
                <w:rFonts w:ascii="Arial" w:hAnsi="Arial" w:cs="Arial"/>
                <w:sz w:val="20"/>
                <w:szCs w:val="20"/>
              </w:rPr>
            </w:pPr>
          </w:p>
          <w:p w14:paraId="3954D1BA" w14:textId="77777777" w:rsidR="00C83435" w:rsidRDefault="00C83435" w:rsidP="00C83435">
            <w:pPr>
              <w:jc w:val="both"/>
              <w:rPr>
                <w:rFonts w:ascii="Arial" w:hAnsi="Arial" w:cs="Arial"/>
                <w:sz w:val="20"/>
                <w:szCs w:val="20"/>
              </w:rPr>
            </w:pPr>
            <w:r w:rsidRPr="0015580C">
              <w:rPr>
                <w:rFonts w:ascii="Arial" w:hAnsi="Arial" w:cs="Arial"/>
                <w:sz w:val="20"/>
                <w:szCs w:val="20"/>
              </w:rPr>
              <w:t xml:space="preserve">Ponudnik mora zagotoviti storitve za: </w:t>
            </w:r>
            <w:r w:rsidRPr="0015580C">
              <w:rPr>
                <w:rFonts w:ascii="Arial" w:hAnsi="Arial" w:cs="Arial"/>
                <w:sz w:val="20"/>
                <w:szCs w:val="20"/>
              </w:rPr>
              <w:softHyphen/>
              <w:t xml:space="preserve"> </w:t>
            </w:r>
          </w:p>
          <w:p w14:paraId="05FE8FDC" w14:textId="77777777" w:rsidR="00C83435" w:rsidRDefault="00C83435" w:rsidP="00C83435">
            <w:pPr>
              <w:jc w:val="both"/>
              <w:rPr>
                <w:rFonts w:ascii="Arial" w:hAnsi="Arial" w:cs="Arial"/>
                <w:sz w:val="20"/>
                <w:szCs w:val="20"/>
              </w:rPr>
            </w:pPr>
            <w:r w:rsidRPr="0015580C">
              <w:rPr>
                <w:rFonts w:ascii="Arial" w:hAnsi="Arial" w:cs="Arial"/>
                <w:sz w:val="20"/>
                <w:szCs w:val="20"/>
              </w:rPr>
              <w:t xml:space="preserve">ponovno uporabo in recikliranje celotnega izdelka in/ali </w:t>
            </w:r>
            <w:r w:rsidRPr="0015580C">
              <w:rPr>
                <w:rFonts w:ascii="Arial" w:hAnsi="Arial" w:cs="Arial"/>
                <w:sz w:val="20"/>
                <w:szCs w:val="20"/>
              </w:rPr>
              <w:softHyphen/>
              <w:t xml:space="preserve"> </w:t>
            </w:r>
          </w:p>
          <w:p w14:paraId="11E1A2BF" w14:textId="77777777" w:rsidR="00C83435" w:rsidRDefault="00C83435" w:rsidP="00C83435">
            <w:pPr>
              <w:jc w:val="both"/>
              <w:rPr>
                <w:rFonts w:ascii="Arial" w:hAnsi="Arial" w:cs="Arial"/>
                <w:sz w:val="20"/>
                <w:szCs w:val="20"/>
              </w:rPr>
            </w:pPr>
            <w:r w:rsidRPr="0015580C">
              <w:rPr>
                <w:rFonts w:ascii="Arial" w:hAnsi="Arial" w:cs="Arial"/>
                <w:sz w:val="20"/>
                <w:szCs w:val="20"/>
              </w:rPr>
              <w:t xml:space="preserve">selektivno obdelavo sestavnih delov v skladu s Prilogo VII </w:t>
            </w:r>
            <w:hyperlink r:id="rId20" w:history="1">
              <w:r w:rsidRPr="00853340">
                <w:rPr>
                  <w:rStyle w:val="Hiperpovezava"/>
                  <w:rFonts w:ascii="Arial" w:hAnsi="Arial" w:cs="Arial"/>
                  <w:sz w:val="20"/>
                  <w:szCs w:val="20"/>
                </w:rPr>
                <w:t>Direktive o odpadni električni in elektronski opremi (OEEO)</w:t>
              </w:r>
            </w:hyperlink>
            <w:r w:rsidRPr="00853340">
              <w:rPr>
                <w:rFonts w:ascii="Arial" w:hAnsi="Arial" w:cs="Arial"/>
                <w:sz w:val="20"/>
                <w:szCs w:val="20"/>
              </w:rPr>
              <w:t xml:space="preserve"> </w:t>
            </w:r>
            <w:r w:rsidRPr="0015580C">
              <w:rPr>
                <w:rFonts w:ascii="Arial" w:hAnsi="Arial" w:cs="Arial"/>
                <w:sz w:val="20"/>
                <w:szCs w:val="20"/>
              </w:rPr>
              <w:t xml:space="preserve">za izrabljeno opremo, </w:t>
            </w:r>
            <w:r w:rsidRPr="0015580C">
              <w:rPr>
                <w:rFonts w:ascii="Arial" w:hAnsi="Arial" w:cs="Arial"/>
                <w:sz w:val="20"/>
                <w:szCs w:val="20"/>
              </w:rPr>
              <w:softHyphen/>
              <w:t xml:space="preserve"> </w:t>
            </w:r>
          </w:p>
          <w:p w14:paraId="182D393A" w14:textId="77777777" w:rsidR="00C83435" w:rsidRDefault="00C83435" w:rsidP="00C83435">
            <w:pPr>
              <w:jc w:val="both"/>
              <w:rPr>
                <w:rFonts w:ascii="Arial" w:hAnsi="Arial" w:cs="Arial"/>
                <w:sz w:val="20"/>
                <w:szCs w:val="20"/>
              </w:rPr>
            </w:pPr>
            <w:r w:rsidRPr="0015580C">
              <w:rPr>
                <w:rFonts w:ascii="Arial" w:hAnsi="Arial" w:cs="Arial"/>
                <w:sz w:val="20"/>
                <w:szCs w:val="20"/>
              </w:rPr>
              <w:t>recikliranje sestavnih delov za predelavo kritičnih surovin.</w:t>
            </w:r>
          </w:p>
          <w:p w14:paraId="19F9369F" w14:textId="77777777" w:rsidR="00C83435" w:rsidRDefault="00C83435" w:rsidP="00C83435">
            <w:pPr>
              <w:jc w:val="both"/>
              <w:rPr>
                <w:rFonts w:ascii="Arial" w:hAnsi="Arial" w:cs="Arial"/>
                <w:sz w:val="20"/>
                <w:szCs w:val="20"/>
              </w:rPr>
            </w:pPr>
          </w:p>
          <w:p w14:paraId="08B12F5B" w14:textId="77777777" w:rsidR="00C83435" w:rsidRDefault="00C83435" w:rsidP="00C83435">
            <w:pPr>
              <w:jc w:val="both"/>
              <w:rPr>
                <w:rFonts w:ascii="Arial" w:hAnsi="Arial" w:cs="Arial"/>
                <w:sz w:val="20"/>
                <w:szCs w:val="20"/>
              </w:rPr>
            </w:pPr>
            <w:r w:rsidRPr="0015580C">
              <w:rPr>
                <w:rFonts w:ascii="Arial" w:hAnsi="Arial" w:cs="Arial"/>
                <w:sz w:val="20"/>
                <w:szCs w:val="20"/>
              </w:rPr>
              <w:lastRenderedPageBreak/>
              <w:t xml:space="preserve">Storitev mora obsegati naslednje dejavnosti: </w:t>
            </w:r>
          </w:p>
          <w:p w14:paraId="10727560" w14:textId="77777777" w:rsidR="00C83435" w:rsidRDefault="00C83435" w:rsidP="00C83435">
            <w:pPr>
              <w:jc w:val="both"/>
              <w:rPr>
                <w:rFonts w:ascii="Arial" w:hAnsi="Arial" w:cs="Arial"/>
                <w:sz w:val="20"/>
                <w:szCs w:val="20"/>
              </w:rPr>
            </w:pPr>
            <w:r w:rsidRPr="0015580C">
              <w:rPr>
                <w:rFonts w:ascii="Arial" w:hAnsi="Arial" w:cs="Arial"/>
                <w:sz w:val="20"/>
                <w:szCs w:val="20"/>
              </w:rPr>
              <w:t xml:space="preserve">- zbiranje; </w:t>
            </w:r>
          </w:p>
          <w:p w14:paraId="120DAA03" w14:textId="77777777" w:rsidR="00C83435" w:rsidRDefault="00C83435" w:rsidP="00C83435">
            <w:pPr>
              <w:jc w:val="both"/>
              <w:rPr>
                <w:rFonts w:ascii="Arial" w:hAnsi="Arial" w:cs="Arial"/>
                <w:sz w:val="20"/>
                <w:szCs w:val="20"/>
              </w:rPr>
            </w:pPr>
            <w:r w:rsidRPr="0015580C">
              <w:rPr>
                <w:rFonts w:ascii="Arial" w:hAnsi="Arial" w:cs="Arial"/>
                <w:sz w:val="20"/>
                <w:szCs w:val="20"/>
              </w:rPr>
              <w:t xml:space="preserve">- zaupno ravnanje s podatki in njihovo varno brisanje (razen če je izvedeno znotraj podjetja); </w:t>
            </w:r>
          </w:p>
          <w:p w14:paraId="313FE92B" w14:textId="77777777" w:rsidR="00C83435" w:rsidRDefault="00C83435" w:rsidP="00C83435">
            <w:pPr>
              <w:jc w:val="both"/>
              <w:rPr>
                <w:rFonts w:ascii="Arial" w:hAnsi="Arial" w:cs="Arial"/>
                <w:sz w:val="20"/>
                <w:szCs w:val="20"/>
              </w:rPr>
            </w:pPr>
            <w:r w:rsidRPr="0015580C">
              <w:rPr>
                <w:rFonts w:ascii="Arial" w:hAnsi="Arial" w:cs="Arial"/>
                <w:sz w:val="20"/>
                <w:szCs w:val="20"/>
              </w:rPr>
              <w:t xml:space="preserve">- preizkušanje delovanja, servisiranje, popravilo in posodabljanje za pripravo izdelkov za ponovno uporabo4; </w:t>
            </w:r>
          </w:p>
          <w:p w14:paraId="7BE0D34F" w14:textId="77777777" w:rsidR="00C83435" w:rsidRDefault="00C83435" w:rsidP="00C83435">
            <w:pPr>
              <w:jc w:val="both"/>
              <w:rPr>
                <w:rFonts w:ascii="Arial" w:hAnsi="Arial" w:cs="Arial"/>
                <w:sz w:val="20"/>
                <w:szCs w:val="20"/>
              </w:rPr>
            </w:pPr>
            <w:r w:rsidRPr="0015580C">
              <w:rPr>
                <w:rFonts w:ascii="Arial" w:hAnsi="Arial" w:cs="Arial"/>
                <w:sz w:val="20"/>
                <w:szCs w:val="20"/>
              </w:rPr>
              <w:t xml:space="preserve">- ponovno trženje izdelkov za ponovno uporabo; </w:t>
            </w:r>
          </w:p>
          <w:p w14:paraId="7B1782D8" w14:textId="77777777" w:rsidR="00C83435" w:rsidRDefault="00C83435" w:rsidP="00C83435">
            <w:pPr>
              <w:jc w:val="both"/>
              <w:rPr>
                <w:rFonts w:ascii="Arial" w:hAnsi="Arial" w:cs="Arial"/>
                <w:sz w:val="20"/>
                <w:szCs w:val="20"/>
              </w:rPr>
            </w:pPr>
            <w:r w:rsidRPr="0015580C">
              <w:rPr>
                <w:rFonts w:ascii="Arial" w:hAnsi="Arial" w:cs="Arial"/>
                <w:sz w:val="20"/>
                <w:szCs w:val="20"/>
              </w:rPr>
              <w:t>- razstavljanje za ponovno uporabo, recikliranje in/ali odstranjevanje sestavnih delov</w:t>
            </w:r>
            <w:r>
              <w:rPr>
                <w:rFonts w:ascii="Arial" w:hAnsi="Arial" w:cs="Arial"/>
                <w:sz w:val="20"/>
                <w:szCs w:val="20"/>
              </w:rPr>
              <w:t>.</w:t>
            </w:r>
          </w:p>
          <w:p w14:paraId="50039021" w14:textId="77777777" w:rsidR="00C83435" w:rsidRDefault="00C83435" w:rsidP="00C83435">
            <w:pPr>
              <w:jc w:val="both"/>
              <w:rPr>
                <w:rFonts w:ascii="Arial" w:hAnsi="Arial" w:cs="Arial"/>
                <w:sz w:val="20"/>
                <w:szCs w:val="20"/>
              </w:rPr>
            </w:pPr>
          </w:p>
          <w:p w14:paraId="33BD1EFA" w14:textId="77777777" w:rsidR="00C83435" w:rsidRDefault="00C83435" w:rsidP="00C83435">
            <w:pPr>
              <w:jc w:val="both"/>
              <w:rPr>
                <w:rFonts w:ascii="Arial" w:hAnsi="Arial" w:cs="Arial"/>
                <w:sz w:val="20"/>
                <w:szCs w:val="20"/>
              </w:rPr>
            </w:pPr>
            <w:r w:rsidRPr="0015580C">
              <w:rPr>
                <w:rFonts w:ascii="Arial" w:hAnsi="Arial" w:cs="Arial"/>
                <w:sz w:val="20"/>
                <w:szCs w:val="20"/>
              </w:rPr>
              <w:t xml:space="preserve">Ponudnik mora pri zagotavljanju storitve poročati o deležu opreme, pripravljene ali ponovno dane na trg za ponovno uporabo, in deležu opreme, pripravljene za recikliranje. </w:t>
            </w:r>
          </w:p>
          <w:p w14:paraId="795A2041" w14:textId="77777777" w:rsidR="00C83435" w:rsidRDefault="00C83435" w:rsidP="00C83435">
            <w:pPr>
              <w:jc w:val="both"/>
              <w:rPr>
                <w:rFonts w:ascii="Arial" w:hAnsi="Arial" w:cs="Arial"/>
                <w:sz w:val="20"/>
                <w:szCs w:val="20"/>
              </w:rPr>
            </w:pPr>
          </w:p>
          <w:p w14:paraId="119449BD" w14:textId="0A107E58" w:rsidR="00C83435" w:rsidRDefault="00C83435" w:rsidP="00C83435">
            <w:pPr>
              <w:jc w:val="both"/>
              <w:rPr>
                <w:rFonts w:ascii="Arial" w:hAnsi="Arial" w:cs="Arial"/>
                <w:sz w:val="20"/>
                <w:szCs w:val="20"/>
              </w:rPr>
            </w:pPr>
            <w:r w:rsidRPr="0015580C">
              <w:rPr>
                <w:rFonts w:ascii="Arial" w:hAnsi="Arial" w:cs="Arial"/>
                <w:sz w:val="20"/>
                <w:szCs w:val="20"/>
              </w:rPr>
              <w:t>Priprava na ponovno uporabo, recikliranje ali odstranjevanje se mora izvesti povsem v skladu z zahtevami iz 8</w:t>
            </w:r>
            <w:r w:rsidR="00CC10A6">
              <w:rPr>
                <w:rFonts w:ascii="Arial" w:hAnsi="Arial" w:cs="Arial"/>
                <w:sz w:val="20"/>
                <w:szCs w:val="20"/>
              </w:rPr>
              <w:t>. člena</w:t>
            </w:r>
            <w:r w:rsidRPr="0015580C">
              <w:rPr>
                <w:rFonts w:ascii="Arial" w:hAnsi="Arial" w:cs="Arial"/>
                <w:sz w:val="20"/>
                <w:szCs w:val="20"/>
              </w:rPr>
              <w:t xml:space="preserve"> ter Prilog VII in VIII</w:t>
            </w:r>
            <w:r>
              <w:rPr>
                <w:rFonts w:ascii="Arial" w:hAnsi="Arial" w:cs="Arial"/>
                <w:sz w:val="20"/>
                <w:szCs w:val="20"/>
              </w:rPr>
              <w:t xml:space="preserve"> prenovljene</w:t>
            </w:r>
            <w:r w:rsidRPr="0015580C">
              <w:rPr>
                <w:rFonts w:ascii="Arial" w:hAnsi="Arial" w:cs="Arial"/>
                <w:sz w:val="20"/>
                <w:szCs w:val="20"/>
              </w:rPr>
              <w:t xml:space="preserve"> </w:t>
            </w:r>
            <w:hyperlink r:id="rId21" w:history="1">
              <w:r w:rsidRPr="00853340">
                <w:rPr>
                  <w:rStyle w:val="Hiperpovezava"/>
                  <w:rFonts w:ascii="Arial" w:hAnsi="Arial" w:cs="Arial"/>
                  <w:sz w:val="20"/>
                  <w:szCs w:val="20"/>
                </w:rPr>
                <w:t>Direktive OEEO 2012/19/EU</w:t>
              </w:r>
            </w:hyperlink>
            <w:r>
              <w:rPr>
                <w:rStyle w:val="Hiperpovezava"/>
                <w:rFonts w:ascii="Arial" w:hAnsi="Arial" w:cs="Arial"/>
                <w:sz w:val="20"/>
                <w:szCs w:val="20"/>
              </w:rPr>
              <w:t xml:space="preserve">, </w:t>
            </w:r>
            <w:r w:rsidRPr="00853340">
              <w:rPr>
                <w:rFonts w:ascii="Arial" w:hAnsi="Arial" w:cs="Arial"/>
                <w:sz w:val="20"/>
                <w:szCs w:val="20"/>
              </w:rPr>
              <w:t>pri čemer se upošteva seznam komponent za selektivno obdelavo.</w:t>
            </w:r>
          </w:p>
          <w:p w14:paraId="00DD8F56" w14:textId="77777777" w:rsidR="00C83435" w:rsidRDefault="00C83435" w:rsidP="00C83435">
            <w:pPr>
              <w:jc w:val="both"/>
              <w:rPr>
                <w:rFonts w:ascii="Arial" w:hAnsi="Arial" w:cs="Arial"/>
                <w:sz w:val="20"/>
                <w:szCs w:val="20"/>
              </w:rPr>
            </w:pPr>
          </w:p>
          <w:p w14:paraId="4ED08825" w14:textId="77777777" w:rsidR="00C83435" w:rsidRDefault="00C83435" w:rsidP="00C83435">
            <w:pPr>
              <w:jc w:val="both"/>
              <w:rPr>
                <w:rFonts w:ascii="Arial" w:hAnsi="Arial" w:cs="Arial"/>
                <w:sz w:val="20"/>
                <w:szCs w:val="20"/>
              </w:rPr>
            </w:pPr>
            <w:r w:rsidRPr="0015580C">
              <w:rPr>
                <w:rFonts w:ascii="Arial" w:hAnsi="Arial" w:cs="Arial"/>
                <w:sz w:val="20"/>
                <w:szCs w:val="20"/>
              </w:rPr>
              <w:t xml:space="preserve">Ponudniki morajo predložiti tudi dokazila o vseh ukrepih, izvedenih za izboljšanje recikliranja kritičnih surovin kobalta (v akumulatorjih) in neodima (v trdih diskih), v skladu z razpoložljivimi informacijami o vsebnosti kobalta in neodima, kakor jih določa Priloga II.3.3.a </w:t>
            </w:r>
            <w:hyperlink r:id="rId22" w:history="1">
              <w:r w:rsidRPr="00853340">
                <w:rPr>
                  <w:rStyle w:val="Hiperpovezava"/>
                  <w:rFonts w:ascii="Arial" w:hAnsi="Arial" w:cs="Arial"/>
                  <w:sz w:val="20"/>
                  <w:szCs w:val="20"/>
                </w:rPr>
                <w:t>Uredbe o okoljsko primerni zasnovi (EU) 2019/424.</w:t>
              </w:r>
            </w:hyperlink>
            <w:r w:rsidRPr="00853340">
              <w:rPr>
                <w:rFonts w:ascii="Arial" w:hAnsi="Arial" w:cs="Arial"/>
                <w:sz w:val="20"/>
                <w:szCs w:val="20"/>
              </w:rPr>
              <w:t xml:space="preserve"> </w:t>
            </w:r>
          </w:p>
          <w:p w14:paraId="3DAF1D79" w14:textId="77777777" w:rsidR="0047038B" w:rsidRDefault="0047038B" w:rsidP="00C83435">
            <w:pPr>
              <w:jc w:val="both"/>
              <w:rPr>
                <w:rFonts w:ascii="Arial" w:hAnsi="Arial" w:cs="Arial"/>
                <w:sz w:val="20"/>
                <w:szCs w:val="20"/>
              </w:rPr>
            </w:pPr>
          </w:p>
          <w:p w14:paraId="52B2AE35" w14:textId="088E4757" w:rsidR="0047038B" w:rsidRPr="0047038B" w:rsidRDefault="0047038B" w:rsidP="00C83435">
            <w:pPr>
              <w:jc w:val="both"/>
              <w:rPr>
                <w:rFonts w:ascii="Arial" w:hAnsi="Arial" w:cs="Arial"/>
                <w:b/>
                <w:bCs/>
                <w:sz w:val="20"/>
                <w:szCs w:val="20"/>
              </w:rPr>
            </w:pPr>
            <w:r w:rsidRPr="0047038B">
              <w:rPr>
                <w:rFonts w:ascii="Arial" w:hAnsi="Arial" w:cs="Arial"/>
                <w:b/>
                <w:bCs/>
                <w:sz w:val="20"/>
                <w:szCs w:val="20"/>
              </w:rPr>
              <w:t>Pojasnilo:</w:t>
            </w:r>
          </w:p>
          <w:p w14:paraId="0DFEB976" w14:textId="2F43B0FE" w:rsidR="00D74990" w:rsidRPr="00D74990" w:rsidRDefault="00D74990" w:rsidP="00D74990">
            <w:pPr>
              <w:pStyle w:val="Default"/>
              <w:jc w:val="both"/>
              <w:rPr>
                <w:rFonts w:ascii="Arial" w:hAnsi="Arial" w:cs="Arial"/>
                <w:color w:val="auto"/>
                <w:kern w:val="2"/>
                <w:sz w:val="20"/>
                <w:szCs w:val="20"/>
              </w:rPr>
            </w:pPr>
            <w:r w:rsidRPr="00D74990">
              <w:rPr>
                <w:rFonts w:ascii="Arial" w:hAnsi="Arial" w:cs="Arial"/>
                <w:color w:val="auto"/>
                <w:kern w:val="2"/>
                <w:sz w:val="20"/>
                <w:szCs w:val="20"/>
              </w:rPr>
              <w:t>Sestavni deli, za katere je potrebno selektivno ločevanje:</w:t>
            </w:r>
            <w:r>
              <w:rPr>
                <w:rFonts w:ascii="Arial" w:hAnsi="Arial" w:cs="Arial"/>
                <w:color w:val="auto"/>
                <w:kern w:val="2"/>
                <w:sz w:val="20"/>
                <w:szCs w:val="20"/>
              </w:rPr>
              <w:t xml:space="preserve"> </w:t>
            </w:r>
            <w:r w:rsidRPr="00D74990">
              <w:rPr>
                <w:rFonts w:ascii="Arial" w:hAnsi="Arial" w:cs="Arial"/>
                <w:color w:val="auto"/>
                <w:kern w:val="2"/>
                <w:sz w:val="20"/>
                <w:szCs w:val="20"/>
              </w:rPr>
              <w:t>V nadaljevanju so navedeni sestavni deli, ki jih je v skladu s Prilogo VII direktive OEEO potrebno selektivno ločevati: sestavni deli, ki vsebujejo živo srebro,  akumulatorji, plošče s tiskanim vezjem, večje od 10 cm2, bromirani zaviralci gorenja, ki vsebujejo plastiko, klorofluoroogljikovodiki (CFC),</w:t>
            </w:r>
            <w:r>
              <w:rPr>
                <w:rFonts w:ascii="Arial" w:hAnsi="Arial" w:cs="Arial"/>
                <w:color w:val="auto"/>
                <w:kern w:val="2"/>
                <w:sz w:val="20"/>
                <w:szCs w:val="20"/>
              </w:rPr>
              <w:t xml:space="preserve"> </w:t>
            </w:r>
            <w:r w:rsidRPr="00D74990">
              <w:rPr>
                <w:rFonts w:ascii="Arial" w:hAnsi="Arial" w:cs="Arial"/>
                <w:color w:val="auto"/>
                <w:kern w:val="2"/>
                <w:sz w:val="20"/>
                <w:szCs w:val="20"/>
              </w:rPr>
              <w:t xml:space="preserve">halogenirani klorofluoroogljikovodiki (HCFC) ali fluorirani ogljikovodiki (HFC), ogljikovodiki (HC),  zunanji električni kabli, kondenzatorji, ki vsebujejo poliklorirane bifenile (PCB), sestavni deli, ki vsebujejo ognjeodporna keramična vlakna, elektrolitni kondenzatorji, ki vsebujejo nevarne snovi, oprema, ki vsebuje pline, ki tanjšajo ozonski plašč ali imajo potencial globalnega segrevanja (GWP) nad 15, pline, ki tanjšajo ozonski plašč, je treba obdelati v skladu z </w:t>
            </w:r>
            <w:hyperlink r:id="rId23" w:history="1">
              <w:r w:rsidRPr="00D74990">
                <w:rPr>
                  <w:rStyle w:val="Hiperpovezava"/>
                  <w:rFonts w:ascii="Arial" w:hAnsi="Arial" w:cs="Arial"/>
                  <w:kern w:val="2"/>
                  <w:sz w:val="20"/>
                  <w:szCs w:val="20"/>
                </w:rPr>
                <w:t>Uredbo (ES) št. 1005/2009</w:t>
              </w:r>
            </w:hyperlink>
            <w:r w:rsidRPr="00D74990">
              <w:rPr>
                <w:rFonts w:ascii="Arial" w:hAnsi="Arial" w:cs="Arial"/>
                <w:color w:val="auto"/>
                <w:kern w:val="2"/>
                <w:sz w:val="20"/>
                <w:szCs w:val="20"/>
              </w:rPr>
              <w:t xml:space="preserve">. </w:t>
            </w:r>
          </w:p>
          <w:p w14:paraId="2B964C3E" w14:textId="01F3C5BC" w:rsidR="0047038B" w:rsidRPr="00D74990" w:rsidRDefault="0047038B" w:rsidP="00D74990">
            <w:pPr>
              <w:pStyle w:val="Default"/>
              <w:jc w:val="both"/>
              <w:rPr>
                <w:sz w:val="18"/>
                <w:szCs w:val="18"/>
              </w:rPr>
            </w:pPr>
          </w:p>
          <w:p w14:paraId="2AF4E427" w14:textId="77777777" w:rsidR="00C83435" w:rsidRPr="00F976AD" w:rsidRDefault="00C83435" w:rsidP="00C83435">
            <w:pPr>
              <w:jc w:val="both"/>
              <w:rPr>
                <w:rFonts w:ascii="Arial" w:hAnsi="Arial" w:cs="Arial"/>
                <w:b/>
                <w:bCs/>
                <w:sz w:val="20"/>
                <w:szCs w:val="20"/>
              </w:rPr>
            </w:pPr>
            <w:r w:rsidRPr="00F976AD">
              <w:rPr>
                <w:rFonts w:ascii="Arial" w:hAnsi="Arial" w:cs="Arial"/>
                <w:b/>
                <w:bCs/>
                <w:sz w:val="20"/>
                <w:szCs w:val="20"/>
              </w:rPr>
              <w:t>Preverjanje:</w:t>
            </w:r>
          </w:p>
          <w:p w14:paraId="71B8EA52" w14:textId="00929A89" w:rsidR="0079499B" w:rsidRPr="00C83435" w:rsidRDefault="00C83435" w:rsidP="00C83435">
            <w:pPr>
              <w:jc w:val="both"/>
              <w:rPr>
                <w:rFonts w:ascii="Arial" w:hAnsi="Arial" w:cs="Arial"/>
                <w:sz w:val="20"/>
                <w:szCs w:val="20"/>
              </w:rPr>
            </w:pPr>
            <w:r w:rsidRPr="0015580C">
              <w:rPr>
                <w:rFonts w:ascii="Arial" w:hAnsi="Arial" w:cs="Arial"/>
                <w:sz w:val="20"/>
                <w:szCs w:val="20"/>
              </w:rPr>
              <w:t>Ponudnik mora predložiti podrobne informacije o ureditvah za zbiranje, varnost podatkov, pripravo za ponovno uporabo, ponovno trženje za ponovno uporabo ter za recikliranje/odstranjevanje. To mora med izvajanjem naročila vključevati veljavno dokazilo o skladnosti naprav za ravnanje z odpadno električno in elektronsko opremo, ki se bodo uporabljale za ravnanje s sestavnimi deli, ki lahko vsebujejo kritične surovine, ter za njihovo ločevanje.</w:t>
            </w:r>
          </w:p>
        </w:tc>
      </w:tr>
    </w:tbl>
    <w:p w14:paraId="5D3E52E8" w14:textId="77777777" w:rsidR="00CF362F" w:rsidRDefault="00CF362F"/>
    <w:p w14:paraId="239112D9" w14:textId="77777777" w:rsidR="00CF362F" w:rsidRDefault="00CF362F"/>
    <w:p w14:paraId="61FF0D63" w14:textId="77777777" w:rsidR="003C6436" w:rsidRDefault="003C6436"/>
    <w:p w14:paraId="2A347243" w14:textId="77777777" w:rsidR="00CF362F" w:rsidRDefault="00CF362F"/>
    <w:tbl>
      <w:tblPr>
        <w:tblStyle w:val="Tabelamrea"/>
        <w:tblW w:w="0" w:type="auto"/>
        <w:tblLayout w:type="fixed"/>
        <w:tblLook w:val="04A0" w:firstRow="1" w:lastRow="0" w:firstColumn="1" w:lastColumn="0" w:noHBand="0" w:noVBand="1"/>
        <w:tblCaption w:val="Tabela - tehnične specifikacije. "/>
        <w:tblDescription w:val="Tabela vsebuje pogoje za tehnične specifikacije v postopkih javnega naročila za podatkovne center, strežniške prostore in storitve v oblaku. Deli se na osovni nivo in zahtevnejši nivo. "/>
      </w:tblPr>
      <w:tblGrid>
        <w:gridCol w:w="704"/>
        <w:gridCol w:w="8312"/>
      </w:tblGrid>
      <w:tr w:rsidR="00EC16EC" w14:paraId="648B1404" w14:textId="77777777" w:rsidTr="00811306">
        <w:tc>
          <w:tcPr>
            <w:tcW w:w="704" w:type="dxa"/>
          </w:tcPr>
          <w:p w14:paraId="5190B627" w14:textId="77777777" w:rsidR="00EC16EC" w:rsidRPr="003C6436" w:rsidRDefault="00EC16EC" w:rsidP="00545CF0">
            <w:pPr>
              <w:jc w:val="both"/>
              <w:rPr>
                <w:rFonts w:ascii="Arial" w:eastAsia="Arial" w:hAnsi="Arial" w:cs="Arial"/>
                <w:bCs/>
                <w:color w:val="EE0000"/>
                <w:spacing w:val="1"/>
                <w:kern w:val="0"/>
                <w:sz w:val="20"/>
                <w:szCs w:val="20"/>
                <w14:ligatures w14:val="none"/>
              </w:rPr>
            </w:pPr>
          </w:p>
        </w:tc>
        <w:tc>
          <w:tcPr>
            <w:tcW w:w="8312" w:type="dxa"/>
            <w:shd w:val="clear" w:color="auto" w:fill="9BBA58"/>
          </w:tcPr>
          <w:p w14:paraId="2468F9B4" w14:textId="77777777" w:rsidR="00EC16EC" w:rsidRPr="000B0E80" w:rsidRDefault="00EC16EC" w:rsidP="00EC16EC">
            <w:pPr>
              <w:pStyle w:val="Default"/>
              <w:jc w:val="both"/>
              <w:rPr>
                <w:rFonts w:ascii="Arial" w:hAnsi="Arial" w:cs="Arial"/>
                <w:b/>
                <w:bCs/>
                <w:color w:val="860000"/>
                <w:kern w:val="2"/>
                <w:sz w:val="20"/>
                <w:szCs w:val="20"/>
              </w:rPr>
            </w:pPr>
            <w:r w:rsidRPr="000B0E80">
              <w:rPr>
                <w:rFonts w:ascii="Arial" w:hAnsi="Arial" w:cs="Arial"/>
                <w:b/>
                <w:bCs/>
                <w:color w:val="860000"/>
                <w:kern w:val="2"/>
                <w:sz w:val="20"/>
                <w:szCs w:val="20"/>
              </w:rPr>
              <w:t xml:space="preserve">Predmet naročila: </w:t>
            </w:r>
          </w:p>
          <w:p w14:paraId="6A402DA1" w14:textId="77777777" w:rsidR="00EC16EC" w:rsidRPr="000B0E80" w:rsidRDefault="00EC16EC" w:rsidP="00EC16EC">
            <w:pPr>
              <w:pStyle w:val="Default"/>
              <w:numPr>
                <w:ilvl w:val="0"/>
                <w:numId w:val="1"/>
              </w:numPr>
              <w:jc w:val="both"/>
              <w:rPr>
                <w:rFonts w:ascii="Arial" w:hAnsi="Arial" w:cs="Arial"/>
                <w:b/>
                <w:bCs/>
                <w:color w:val="860000"/>
                <w:kern w:val="2"/>
                <w:sz w:val="20"/>
                <w:szCs w:val="20"/>
              </w:rPr>
            </w:pPr>
            <w:r w:rsidRPr="000B0E80">
              <w:rPr>
                <w:rFonts w:ascii="Arial" w:hAnsi="Arial" w:cs="Arial"/>
                <w:b/>
                <w:bCs/>
                <w:color w:val="860000"/>
                <w:kern w:val="2"/>
                <w:sz w:val="20"/>
                <w:szCs w:val="20"/>
              </w:rPr>
              <w:t xml:space="preserve">izgradnja novega podatkovnega centra </w:t>
            </w:r>
          </w:p>
          <w:p w14:paraId="3B235F04" w14:textId="77777777" w:rsidR="00EC16EC" w:rsidRPr="000B0E80" w:rsidRDefault="00EC16EC" w:rsidP="00EC16EC">
            <w:pPr>
              <w:pStyle w:val="Default"/>
              <w:numPr>
                <w:ilvl w:val="0"/>
                <w:numId w:val="1"/>
              </w:numPr>
              <w:jc w:val="both"/>
              <w:rPr>
                <w:rFonts w:ascii="Arial" w:hAnsi="Arial" w:cs="Arial"/>
                <w:b/>
                <w:bCs/>
                <w:color w:val="860000"/>
                <w:kern w:val="2"/>
                <w:sz w:val="20"/>
                <w:szCs w:val="20"/>
              </w:rPr>
            </w:pPr>
            <w:r w:rsidRPr="000B0E80">
              <w:rPr>
                <w:rFonts w:ascii="Arial" w:hAnsi="Arial" w:cs="Arial"/>
                <w:b/>
                <w:bCs/>
                <w:color w:val="860000"/>
                <w:kern w:val="2"/>
                <w:sz w:val="20"/>
                <w:szCs w:val="20"/>
              </w:rPr>
              <w:t xml:space="preserve">razširitev obstoječe zgradbe z infrastrukturo za novi podatkovni center in strežniško sobo </w:t>
            </w:r>
          </w:p>
          <w:p w14:paraId="5700FB03" w14:textId="77777777" w:rsidR="00EC16EC" w:rsidRPr="000B0E80" w:rsidRDefault="00EC16EC" w:rsidP="00EC16EC">
            <w:pPr>
              <w:pStyle w:val="Default"/>
              <w:numPr>
                <w:ilvl w:val="0"/>
                <w:numId w:val="1"/>
              </w:numPr>
              <w:jc w:val="both"/>
              <w:rPr>
                <w:rFonts w:ascii="Arial" w:hAnsi="Arial" w:cs="Arial"/>
                <w:b/>
                <w:bCs/>
                <w:color w:val="860000"/>
                <w:kern w:val="2"/>
                <w:sz w:val="20"/>
                <w:szCs w:val="20"/>
              </w:rPr>
            </w:pPr>
            <w:r w:rsidRPr="000B0E80">
              <w:rPr>
                <w:rFonts w:ascii="Arial" w:hAnsi="Arial" w:cs="Arial"/>
                <w:b/>
                <w:bCs/>
                <w:color w:val="860000"/>
                <w:kern w:val="2"/>
                <w:sz w:val="20"/>
                <w:szCs w:val="20"/>
              </w:rPr>
              <w:t xml:space="preserve">konsolidacija obstoječih strežniških sob in/ali podatkovnih centrov v nove ali obstoječe podatkovne centre </w:t>
            </w:r>
          </w:p>
          <w:p w14:paraId="37A8DF4B" w14:textId="444906DD" w:rsidR="00EC16EC" w:rsidRPr="000B0E80" w:rsidRDefault="00426B25" w:rsidP="00B3204D">
            <w:pPr>
              <w:pStyle w:val="Odstavekseznama"/>
              <w:numPr>
                <w:ilvl w:val="0"/>
                <w:numId w:val="1"/>
              </w:numPr>
              <w:jc w:val="both"/>
              <w:rPr>
                <w:rFonts w:ascii="Arial" w:hAnsi="Arial" w:cs="Arial"/>
                <w:b/>
                <w:bCs/>
                <w:color w:val="860000"/>
                <w:sz w:val="20"/>
                <w:szCs w:val="20"/>
              </w:rPr>
            </w:pPr>
            <w:r w:rsidRPr="000B0E80">
              <w:rPr>
                <w:rFonts w:ascii="Arial" w:hAnsi="Arial" w:cs="Arial"/>
                <w:b/>
                <w:bCs/>
                <w:color w:val="860000"/>
                <w:sz w:val="20"/>
                <w:szCs w:val="20"/>
              </w:rPr>
              <w:t>strežniška soba</w:t>
            </w:r>
          </w:p>
        </w:tc>
      </w:tr>
      <w:tr w:rsidR="00C83435" w14:paraId="60931A9E" w14:textId="77777777" w:rsidTr="00811306">
        <w:tc>
          <w:tcPr>
            <w:tcW w:w="704" w:type="dxa"/>
          </w:tcPr>
          <w:p w14:paraId="3A06FB80" w14:textId="3164BBD3" w:rsidR="00C83435" w:rsidRPr="006C23D4" w:rsidRDefault="00EC16EC" w:rsidP="00545CF0">
            <w:pPr>
              <w:jc w:val="both"/>
              <w:rPr>
                <w:rFonts w:ascii="Arial" w:eastAsia="Arial" w:hAnsi="Arial" w:cs="Arial"/>
                <w:b/>
                <w:spacing w:val="1"/>
                <w:kern w:val="0"/>
                <w:sz w:val="20"/>
                <w:szCs w:val="20"/>
                <w14:ligatures w14:val="none"/>
              </w:rPr>
            </w:pPr>
            <w:r w:rsidRPr="006C23D4">
              <w:rPr>
                <w:rFonts w:ascii="Arial" w:eastAsia="Arial" w:hAnsi="Arial" w:cs="Arial"/>
                <w:b/>
                <w:color w:val="EE0000"/>
                <w:spacing w:val="1"/>
                <w:kern w:val="0"/>
                <w:sz w:val="20"/>
                <w:szCs w:val="20"/>
                <w14:ligatures w14:val="none"/>
              </w:rPr>
              <w:t>TS</w:t>
            </w:r>
            <w:r w:rsidR="00496874" w:rsidRPr="006C23D4">
              <w:rPr>
                <w:rFonts w:ascii="Arial" w:eastAsia="Arial" w:hAnsi="Arial" w:cs="Arial"/>
                <w:b/>
                <w:color w:val="EE0000"/>
                <w:spacing w:val="1"/>
                <w:kern w:val="0"/>
                <w:sz w:val="20"/>
                <w:szCs w:val="20"/>
                <w14:ligatures w14:val="none"/>
              </w:rPr>
              <w:t>4</w:t>
            </w:r>
          </w:p>
        </w:tc>
        <w:tc>
          <w:tcPr>
            <w:tcW w:w="8312" w:type="dxa"/>
          </w:tcPr>
          <w:p w14:paraId="55CEDF06" w14:textId="6B8E0CDD" w:rsidR="00C83435" w:rsidRPr="00F47261" w:rsidRDefault="0079499B" w:rsidP="00C83435">
            <w:pPr>
              <w:jc w:val="both"/>
              <w:rPr>
                <w:rFonts w:ascii="Arial" w:hAnsi="Arial" w:cs="Arial"/>
                <w:b/>
                <w:bCs/>
                <w:sz w:val="20"/>
                <w:szCs w:val="20"/>
              </w:rPr>
            </w:pPr>
            <w:r w:rsidRPr="00F47261">
              <w:rPr>
                <w:rFonts w:ascii="Arial" w:hAnsi="Arial" w:cs="Arial"/>
                <w:b/>
                <w:bCs/>
                <w:sz w:val="20"/>
                <w:szCs w:val="20"/>
              </w:rPr>
              <w:t>Spremljanje stanja okolja</w:t>
            </w:r>
            <w:r w:rsidR="00C83435" w:rsidRPr="00F47261">
              <w:rPr>
                <w:rFonts w:ascii="Arial" w:hAnsi="Arial" w:cs="Arial"/>
                <w:b/>
                <w:bCs/>
                <w:sz w:val="20"/>
                <w:szCs w:val="20"/>
              </w:rPr>
              <w:t xml:space="preserve"> – </w:t>
            </w:r>
            <w:r w:rsidR="00C83435" w:rsidRPr="00F47261">
              <w:rPr>
                <w:rFonts w:ascii="Arial" w:hAnsi="Arial" w:cs="Arial"/>
                <w:b/>
                <w:bCs/>
                <w:i/>
                <w:iCs/>
                <w:sz w:val="20"/>
                <w:szCs w:val="20"/>
              </w:rPr>
              <w:t>Osnovni in zahtevnejši nivo</w:t>
            </w:r>
          </w:p>
          <w:p w14:paraId="381BE8E0" w14:textId="77777777" w:rsidR="00C83435" w:rsidRPr="00F47261" w:rsidRDefault="00C83435" w:rsidP="00C83435">
            <w:pPr>
              <w:jc w:val="both"/>
              <w:rPr>
                <w:rFonts w:ascii="Arial" w:hAnsi="Arial" w:cs="Arial"/>
                <w:b/>
                <w:bCs/>
                <w:sz w:val="20"/>
                <w:szCs w:val="20"/>
              </w:rPr>
            </w:pPr>
          </w:p>
          <w:p w14:paraId="21C1B7A3" w14:textId="77777777" w:rsidR="00C83435" w:rsidRPr="00F47261" w:rsidRDefault="00C83435" w:rsidP="00C83435">
            <w:pPr>
              <w:jc w:val="both"/>
              <w:rPr>
                <w:rFonts w:ascii="Arial" w:hAnsi="Arial" w:cs="Arial"/>
                <w:i/>
                <w:iCs/>
                <w:sz w:val="20"/>
                <w:szCs w:val="20"/>
              </w:rPr>
            </w:pPr>
            <w:r w:rsidRPr="00F47261">
              <w:rPr>
                <w:rFonts w:ascii="Arial" w:hAnsi="Arial" w:cs="Arial"/>
                <w:i/>
                <w:iCs/>
                <w:sz w:val="20"/>
                <w:szCs w:val="20"/>
              </w:rPr>
              <w:t>Se uporabijo v primeru nove izgradnje ali nadgradnje podatkovnih centrov.</w:t>
            </w:r>
          </w:p>
          <w:p w14:paraId="1FAEAF06" w14:textId="77777777" w:rsidR="00C83435" w:rsidRPr="00F47261" w:rsidRDefault="00C83435" w:rsidP="00C83435">
            <w:pPr>
              <w:jc w:val="both"/>
              <w:rPr>
                <w:rFonts w:ascii="Arial" w:hAnsi="Arial" w:cs="Arial"/>
                <w:sz w:val="20"/>
                <w:szCs w:val="20"/>
              </w:rPr>
            </w:pPr>
          </w:p>
          <w:p w14:paraId="0B7D459C" w14:textId="0E3219EA" w:rsidR="00C83435" w:rsidRPr="00DB3ABE" w:rsidRDefault="00C83435" w:rsidP="00C83435">
            <w:pPr>
              <w:jc w:val="both"/>
              <w:rPr>
                <w:rFonts w:ascii="Arial" w:hAnsi="Arial" w:cs="Arial"/>
                <w:b/>
                <w:bCs/>
                <w:color w:val="EE0000"/>
                <w:sz w:val="20"/>
                <w:szCs w:val="20"/>
              </w:rPr>
            </w:pPr>
            <w:r w:rsidRPr="00DB3ABE">
              <w:rPr>
                <w:rFonts w:ascii="Arial" w:hAnsi="Arial" w:cs="Arial"/>
                <w:b/>
                <w:bCs/>
                <w:color w:val="EE0000"/>
                <w:sz w:val="20"/>
                <w:szCs w:val="20"/>
              </w:rPr>
              <w:t xml:space="preserve">Ponudnik mora dokazati, da ima objekt </w:t>
            </w:r>
            <w:r w:rsidR="00AE261C" w:rsidRPr="00953756">
              <w:rPr>
                <w:rFonts w:ascii="Arial" w:hAnsi="Arial" w:cs="Arial"/>
                <w:b/>
                <w:bCs/>
                <w:color w:val="EE0000"/>
                <w:sz w:val="20"/>
                <w:szCs w:val="20"/>
              </w:rPr>
              <w:t xml:space="preserve">oz. strežniška soba vgrajene </w:t>
            </w:r>
            <w:r w:rsidRPr="00DB3ABE">
              <w:rPr>
                <w:rFonts w:ascii="Arial" w:hAnsi="Arial" w:cs="Arial"/>
                <w:b/>
                <w:bCs/>
                <w:color w:val="EE0000"/>
                <w:sz w:val="20"/>
                <w:szCs w:val="20"/>
              </w:rPr>
              <w:t xml:space="preserve">okoljske nadzorne </w:t>
            </w:r>
            <w:r w:rsidR="00233A8D" w:rsidRPr="00953756">
              <w:rPr>
                <w:rFonts w:ascii="Arial" w:hAnsi="Arial" w:cs="Arial"/>
                <w:b/>
                <w:bCs/>
                <w:color w:val="EE0000"/>
                <w:sz w:val="20"/>
                <w:szCs w:val="20"/>
              </w:rPr>
              <w:t>sisteme za optimizacijo porabe energije</w:t>
            </w:r>
            <w:r w:rsidRPr="00DB3ABE">
              <w:rPr>
                <w:rFonts w:ascii="Arial" w:hAnsi="Arial" w:cs="Arial"/>
                <w:b/>
                <w:bCs/>
                <w:color w:val="EE0000"/>
                <w:sz w:val="20"/>
                <w:szCs w:val="20"/>
              </w:rPr>
              <w:t xml:space="preserve">, ki so skladne z zahtevami in </w:t>
            </w:r>
            <w:r w:rsidRPr="00DB3ABE">
              <w:rPr>
                <w:rFonts w:ascii="Arial" w:hAnsi="Arial" w:cs="Arial"/>
                <w:b/>
                <w:bCs/>
                <w:color w:val="EE0000"/>
                <w:sz w:val="20"/>
                <w:szCs w:val="20"/>
              </w:rPr>
              <w:lastRenderedPageBreak/>
              <w:t xml:space="preserve">priporočili standarda </w:t>
            </w:r>
            <w:hyperlink r:id="rId24" w:history="1">
              <w:r w:rsidRPr="00DB3ABE">
                <w:rPr>
                  <w:rStyle w:val="Hiperpovezava"/>
                  <w:rFonts w:ascii="Arial" w:hAnsi="Arial" w:cs="Arial"/>
                  <w:b/>
                  <w:bCs/>
                  <w:color w:val="EE0000"/>
                  <w:sz w:val="20"/>
                  <w:szCs w:val="20"/>
                </w:rPr>
                <w:t>EN 50600-2-3</w:t>
              </w:r>
            </w:hyperlink>
            <w:r w:rsidRPr="00DB3ABE">
              <w:rPr>
                <w:rFonts w:ascii="Arial" w:hAnsi="Arial" w:cs="Arial"/>
                <w:b/>
                <w:bCs/>
                <w:color w:val="EE0000"/>
                <w:sz w:val="20"/>
                <w:szCs w:val="20"/>
              </w:rPr>
              <w:t xml:space="preserve"> in s katerimi je mogoče </w:t>
            </w:r>
            <w:r w:rsidR="00426B25" w:rsidRPr="00953756">
              <w:rPr>
                <w:rFonts w:ascii="Arial" w:hAnsi="Arial" w:cs="Arial"/>
                <w:b/>
                <w:bCs/>
                <w:color w:val="EE0000"/>
                <w:sz w:val="20"/>
                <w:szCs w:val="20"/>
              </w:rPr>
              <w:t xml:space="preserve">v strežniški sobi </w:t>
            </w:r>
            <w:r w:rsidRPr="00DB3ABE">
              <w:rPr>
                <w:rFonts w:ascii="Arial" w:hAnsi="Arial" w:cs="Arial"/>
                <w:b/>
                <w:bCs/>
                <w:color w:val="EE0000"/>
                <w:sz w:val="20"/>
                <w:szCs w:val="20"/>
              </w:rPr>
              <w:t>meriti</w:t>
            </w:r>
            <w:r w:rsidR="00233A8D" w:rsidRPr="00953756">
              <w:rPr>
                <w:rFonts w:ascii="Arial" w:hAnsi="Arial" w:cs="Arial"/>
                <w:b/>
                <w:bCs/>
                <w:color w:val="EE0000"/>
                <w:sz w:val="20"/>
                <w:szCs w:val="20"/>
              </w:rPr>
              <w:t xml:space="preserve"> (vsaj)</w:t>
            </w:r>
            <w:r w:rsidR="00233A8D" w:rsidRPr="00953756">
              <w:rPr>
                <w:rStyle w:val="Sprotnaopomba-sklic"/>
                <w:rFonts w:ascii="Arial" w:hAnsi="Arial" w:cs="Arial"/>
                <w:b/>
                <w:bCs/>
                <w:color w:val="EE0000"/>
                <w:sz w:val="20"/>
                <w:szCs w:val="20"/>
              </w:rPr>
              <w:footnoteReference w:id="9"/>
            </w:r>
            <w:r w:rsidRPr="00DB3ABE">
              <w:rPr>
                <w:rFonts w:ascii="Arial" w:hAnsi="Arial" w:cs="Arial"/>
                <w:b/>
                <w:bCs/>
                <w:color w:val="EE0000"/>
                <w:sz w:val="20"/>
                <w:szCs w:val="20"/>
              </w:rPr>
              <w:t xml:space="preserve">: </w:t>
            </w:r>
          </w:p>
          <w:p w14:paraId="1A47A2B9" w14:textId="77777777" w:rsidR="0079499B" w:rsidRPr="00DB3ABE" w:rsidRDefault="0079499B" w:rsidP="00C83435">
            <w:pPr>
              <w:jc w:val="both"/>
              <w:rPr>
                <w:rFonts w:ascii="Arial" w:hAnsi="Arial" w:cs="Arial"/>
                <w:b/>
                <w:bCs/>
                <w:color w:val="EE0000"/>
                <w:sz w:val="20"/>
                <w:szCs w:val="20"/>
              </w:rPr>
            </w:pPr>
          </w:p>
          <w:p w14:paraId="5004625F" w14:textId="3F417FD2" w:rsidR="00C83435" w:rsidRPr="00DB3ABE" w:rsidRDefault="00C83435" w:rsidP="00D23686">
            <w:pPr>
              <w:pStyle w:val="Odstavekseznama"/>
              <w:numPr>
                <w:ilvl w:val="0"/>
                <w:numId w:val="38"/>
              </w:numPr>
              <w:jc w:val="both"/>
              <w:rPr>
                <w:rFonts w:ascii="Arial" w:hAnsi="Arial" w:cs="Arial"/>
                <w:b/>
                <w:bCs/>
                <w:color w:val="EE0000"/>
                <w:sz w:val="20"/>
                <w:szCs w:val="20"/>
              </w:rPr>
            </w:pPr>
            <w:r w:rsidRPr="00DB3ABE">
              <w:rPr>
                <w:rFonts w:ascii="Arial" w:hAnsi="Arial" w:cs="Arial"/>
                <w:b/>
                <w:bCs/>
                <w:color w:val="EE0000"/>
                <w:sz w:val="20"/>
                <w:szCs w:val="20"/>
              </w:rPr>
              <w:t xml:space="preserve">temperaturo </w:t>
            </w:r>
            <w:r w:rsidR="00515362" w:rsidRPr="00953756">
              <w:rPr>
                <w:rFonts w:ascii="Arial" w:hAnsi="Arial" w:cs="Arial"/>
                <w:b/>
                <w:bCs/>
                <w:color w:val="EE0000"/>
                <w:sz w:val="20"/>
                <w:szCs w:val="20"/>
              </w:rPr>
              <w:t xml:space="preserve">in vlažnost </w:t>
            </w:r>
            <w:r w:rsidRPr="00DB3ABE">
              <w:rPr>
                <w:rFonts w:ascii="Arial" w:hAnsi="Arial" w:cs="Arial"/>
                <w:b/>
                <w:bCs/>
                <w:color w:val="EE0000"/>
                <w:sz w:val="20"/>
                <w:szCs w:val="20"/>
              </w:rPr>
              <w:t xml:space="preserve">dovodnega zraka </w:t>
            </w:r>
            <w:r w:rsidR="00515362" w:rsidRPr="00953756">
              <w:rPr>
                <w:rFonts w:ascii="Arial" w:hAnsi="Arial" w:cs="Arial"/>
                <w:b/>
                <w:bCs/>
                <w:color w:val="EE0000"/>
                <w:sz w:val="20"/>
                <w:szCs w:val="20"/>
              </w:rPr>
              <w:t>v strežniško sobo,</w:t>
            </w:r>
          </w:p>
          <w:p w14:paraId="533EAE67" w14:textId="05A42418" w:rsidR="00C83435" w:rsidRPr="00DB3ABE" w:rsidRDefault="00C83435" w:rsidP="00D23686">
            <w:pPr>
              <w:pStyle w:val="Odstavekseznama"/>
              <w:numPr>
                <w:ilvl w:val="0"/>
                <w:numId w:val="38"/>
              </w:numPr>
              <w:jc w:val="both"/>
              <w:rPr>
                <w:rFonts w:ascii="Arial" w:hAnsi="Arial" w:cs="Arial"/>
                <w:b/>
                <w:bCs/>
                <w:color w:val="EE0000"/>
                <w:sz w:val="20"/>
                <w:szCs w:val="20"/>
              </w:rPr>
            </w:pPr>
            <w:r w:rsidRPr="00DB3ABE">
              <w:rPr>
                <w:rFonts w:ascii="Arial" w:hAnsi="Arial" w:cs="Arial"/>
                <w:b/>
                <w:bCs/>
                <w:color w:val="EE0000"/>
                <w:sz w:val="20"/>
                <w:szCs w:val="20"/>
              </w:rPr>
              <w:t>temperaturo</w:t>
            </w:r>
            <w:r w:rsidR="0017571A" w:rsidRPr="00953756">
              <w:rPr>
                <w:rFonts w:ascii="Arial" w:hAnsi="Arial" w:cs="Arial"/>
                <w:b/>
                <w:bCs/>
                <w:color w:val="EE0000"/>
                <w:sz w:val="20"/>
                <w:szCs w:val="20"/>
              </w:rPr>
              <w:t xml:space="preserve"> in vlažnost </w:t>
            </w:r>
            <w:r w:rsidRPr="00DB3ABE">
              <w:rPr>
                <w:rFonts w:ascii="Arial" w:hAnsi="Arial" w:cs="Arial"/>
                <w:b/>
                <w:bCs/>
                <w:color w:val="EE0000"/>
                <w:sz w:val="20"/>
                <w:szCs w:val="20"/>
              </w:rPr>
              <w:t>odhodnega zraka</w:t>
            </w:r>
            <w:r w:rsidR="0017571A" w:rsidRPr="00953756">
              <w:rPr>
                <w:rFonts w:ascii="Arial" w:hAnsi="Arial" w:cs="Arial"/>
                <w:b/>
                <w:bCs/>
                <w:color w:val="EE0000"/>
                <w:sz w:val="20"/>
                <w:szCs w:val="20"/>
              </w:rPr>
              <w:t xml:space="preserve"> iz strežniške sobe</w:t>
            </w:r>
            <w:r w:rsidR="00515362" w:rsidRPr="00953756">
              <w:rPr>
                <w:rFonts w:ascii="Arial" w:hAnsi="Arial" w:cs="Arial"/>
                <w:b/>
                <w:bCs/>
                <w:color w:val="EE0000"/>
                <w:sz w:val="20"/>
                <w:szCs w:val="20"/>
              </w:rPr>
              <w:t>,</w:t>
            </w:r>
          </w:p>
          <w:p w14:paraId="26B581BB" w14:textId="263A90FA" w:rsidR="00C83435" w:rsidRPr="00D23686" w:rsidRDefault="00C83435" w:rsidP="00D23686">
            <w:pPr>
              <w:pStyle w:val="Odstavekseznama"/>
              <w:numPr>
                <w:ilvl w:val="0"/>
                <w:numId w:val="38"/>
              </w:numPr>
              <w:jc w:val="both"/>
              <w:rPr>
                <w:rFonts w:ascii="Arial" w:hAnsi="Arial" w:cs="Arial"/>
                <w:sz w:val="20"/>
                <w:szCs w:val="20"/>
              </w:rPr>
            </w:pPr>
            <w:r w:rsidRPr="00D23686">
              <w:rPr>
                <w:rFonts w:ascii="Arial" w:hAnsi="Arial" w:cs="Arial"/>
                <w:sz w:val="20"/>
                <w:szCs w:val="20"/>
              </w:rPr>
              <w:t>temperaturo mrzlega prehoda (kjer se uporablja)</w:t>
            </w:r>
            <w:r w:rsidR="00515362" w:rsidRPr="00D23686">
              <w:rPr>
                <w:rFonts w:ascii="Arial" w:hAnsi="Arial" w:cs="Arial"/>
                <w:sz w:val="20"/>
                <w:szCs w:val="20"/>
              </w:rPr>
              <w:t>,</w:t>
            </w:r>
            <w:r w:rsidRPr="00D23686">
              <w:rPr>
                <w:rFonts w:ascii="Arial" w:hAnsi="Arial" w:cs="Arial"/>
                <w:sz w:val="20"/>
                <w:szCs w:val="20"/>
              </w:rPr>
              <w:t xml:space="preserve"> </w:t>
            </w:r>
          </w:p>
          <w:p w14:paraId="1C3EB462" w14:textId="6543064A" w:rsidR="00C83435" w:rsidRPr="00D23686" w:rsidRDefault="00C83435" w:rsidP="00D23686">
            <w:pPr>
              <w:pStyle w:val="Odstavekseznama"/>
              <w:numPr>
                <w:ilvl w:val="0"/>
                <w:numId w:val="38"/>
              </w:numPr>
              <w:jc w:val="both"/>
              <w:rPr>
                <w:rFonts w:ascii="Arial" w:hAnsi="Arial" w:cs="Arial"/>
                <w:sz w:val="20"/>
                <w:szCs w:val="20"/>
              </w:rPr>
            </w:pPr>
            <w:r w:rsidRPr="00D23686">
              <w:rPr>
                <w:rFonts w:ascii="Arial" w:hAnsi="Arial" w:cs="Arial"/>
                <w:sz w:val="20"/>
                <w:szCs w:val="20"/>
              </w:rPr>
              <w:t>temperaturo vročega prehoda (kjer se uporablja)</w:t>
            </w:r>
            <w:r w:rsidR="00515362" w:rsidRPr="00D23686">
              <w:rPr>
                <w:rFonts w:ascii="Arial" w:hAnsi="Arial" w:cs="Arial"/>
                <w:sz w:val="20"/>
                <w:szCs w:val="20"/>
              </w:rPr>
              <w:t>,</w:t>
            </w:r>
            <w:r w:rsidRPr="00D23686">
              <w:rPr>
                <w:rFonts w:ascii="Arial" w:hAnsi="Arial" w:cs="Arial"/>
                <w:sz w:val="20"/>
                <w:szCs w:val="20"/>
              </w:rPr>
              <w:t xml:space="preserve"> </w:t>
            </w:r>
          </w:p>
          <w:p w14:paraId="2C9AD816" w14:textId="77777777" w:rsidR="00C83435" w:rsidRPr="00F47261" w:rsidRDefault="00C83435" w:rsidP="00C83435">
            <w:pPr>
              <w:jc w:val="both"/>
              <w:rPr>
                <w:rFonts w:ascii="Arial" w:hAnsi="Arial" w:cs="Arial"/>
                <w:sz w:val="20"/>
                <w:szCs w:val="20"/>
              </w:rPr>
            </w:pPr>
          </w:p>
          <w:p w14:paraId="54B084C2" w14:textId="26EEFD38" w:rsidR="00C83435" w:rsidRPr="00D23686" w:rsidRDefault="00C83435" w:rsidP="00D23686">
            <w:pPr>
              <w:pStyle w:val="Odstavekseznama"/>
              <w:numPr>
                <w:ilvl w:val="0"/>
                <w:numId w:val="38"/>
              </w:numPr>
              <w:jc w:val="both"/>
              <w:rPr>
                <w:rFonts w:ascii="Arial" w:hAnsi="Arial" w:cs="Arial"/>
                <w:sz w:val="20"/>
                <w:szCs w:val="20"/>
              </w:rPr>
            </w:pPr>
            <w:r w:rsidRPr="00D23686">
              <w:rPr>
                <w:rFonts w:ascii="Arial" w:hAnsi="Arial" w:cs="Arial"/>
                <w:sz w:val="20"/>
                <w:szCs w:val="20"/>
              </w:rPr>
              <w:t xml:space="preserve">zunanjo relativno vlažnost </w:t>
            </w:r>
          </w:p>
          <w:p w14:paraId="12E1DD06" w14:textId="29BC292A" w:rsidR="00C83435" w:rsidRPr="00D23686" w:rsidRDefault="00C83435" w:rsidP="00D23686">
            <w:pPr>
              <w:pStyle w:val="Odstavekseznama"/>
              <w:numPr>
                <w:ilvl w:val="0"/>
                <w:numId w:val="38"/>
              </w:numPr>
              <w:jc w:val="both"/>
              <w:rPr>
                <w:rFonts w:ascii="Arial" w:hAnsi="Arial" w:cs="Arial"/>
                <w:sz w:val="20"/>
                <w:szCs w:val="20"/>
              </w:rPr>
            </w:pPr>
            <w:r w:rsidRPr="00D23686">
              <w:rPr>
                <w:rFonts w:ascii="Arial" w:hAnsi="Arial" w:cs="Arial"/>
                <w:sz w:val="20"/>
                <w:szCs w:val="20"/>
              </w:rPr>
              <w:t xml:space="preserve">relativno vlažnost v računalniški sobi </w:t>
            </w:r>
          </w:p>
          <w:p w14:paraId="7DE8DAC9" w14:textId="77777777" w:rsidR="00C83435" w:rsidRPr="00F47261" w:rsidRDefault="00C83435" w:rsidP="00C83435">
            <w:pPr>
              <w:jc w:val="both"/>
              <w:rPr>
                <w:rFonts w:ascii="Arial" w:hAnsi="Arial" w:cs="Arial"/>
                <w:sz w:val="20"/>
                <w:szCs w:val="20"/>
              </w:rPr>
            </w:pPr>
          </w:p>
          <w:p w14:paraId="691E4648" w14:textId="080B2AAE" w:rsidR="00C83435" w:rsidRPr="00D23686" w:rsidRDefault="00C83435" w:rsidP="00D23686">
            <w:pPr>
              <w:pStyle w:val="Odstavekseznama"/>
              <w:numPr>
                <w:ilvl w:val="0"/>
                <w:numId w:val="38"/>
              </w:numPr>
              <w:jc w:val="both"/>
              <w:rPr>
                <w:rFonts w:ascii="Arial" w:hAnsi="Arial" w:cs="Arial"/>
                <w:sz w:val="20"/>
                <w:szCs w:val="20"/>
              </w:rPr>
            </w:pPr>
            <w:r w:rsidRPr="00D23686">
              <w:rPr>
                <w:rFonts w:ascii="Arial" w:hAnsi="Arial" w:cs="Arial"/>
                <w:sz w:val="20"/>
                <w:szCs w:val="20"/>
              </w:rPr>
              <w:t xml:space="preserve">zračni tlak pod dvojnim podom (če je dvojni pod nameščen) </w:t>
            </w:r>
          </w:p>
          <w:p w14:paraId="497B1C56" w14:textId="77777777" w:rsidR="00C83435" w:rsidRPr="00F47261" w:rsidRDefault="00C83435" w:rsidP="00C83435">
            <w:pPr>
              <w:jc w:val="both"/>
              <w:rPr>
                <w:rFonts w:ascii="Arial" w:hAnsi="Arial" w:cs="Arial"/>
                <w:sz w:val="20"/>
                <w:szCs w:val="20"/>
              </w:rPr>
            </w:pPr>
          </w:p>
          <w:p w14:paraId="12FAE377" w14:textId="2AD4EEAE" w:rsidR="00C83435" w:rsidRPr="00DB3ABE" w:rsidRDefault="00C83435" w:rsidP="00D23686">
            <w:pPr>
              <w:pStyle w:val="Odstavekseznama"/>
              <w:numPr>
                <w:ilvl w:val="0"/>
                <w:numId w:val="38"/>
              </w:numPr>
              <w:jc w:val="both"/>
              <w:rPr>
                <w:rFonts w:ascii="Arial" w:hAnsi="Arial" w:cs="Arial"/>
                <w:b/>
                <w:bCs/>
                <w:color w:val="EE0000"/>
                <w:sz w:val="20"/>
                <w:szCs w:val="20"/>
              </w:rPr>
            </w:pPr>
            <w:r w:rsidRPr="00DB3ABE">
              <w:rPr>
                <w:rFonts w:ascii="Arial" w:hAnsi="Arial" w:cs="Arial"/>
                <w:b/>
                <w:bCs/>
                <w:color w:val="EE0000"/>
                <w:sz w:val="20"/>
                <w:szCs w:val="20"/>
              </w:rPr>
              <w:t>stopnjo pretoka hladiln</w:t>
            </w:r>
            <w:r w:rsidR="00116E9A" w:rsidRPr="00953756">
              <w:rPr>
                <w:rFonts w:ascii="Arial" w:hAnsi="Arial" w:cs="Arial"/>
                <w:b/>
                <w:bCs/>
                <w:color w:val="EE0000"/>
                <w:sz w:val="20"/>
                <w:szCs w:val="20"/>
              </w:rPr>
              <w:t>ega</w:t>
            </w:r>
            <w:r w:rsidRPr="00DB3ABE">
              <w:rPr>
                <w:rFonts w:ascii="Arial" w:hAnsi="Arial" w:cs="Arial"/>
                <w:b/>
                <w:bCs/>
                <w:color w:val="EE0000"/>
                <w:sz w:val="20"/>
                <w:szCs w:val="20"/>
              </w:rPr>
              <w:t xml:space="preserve"> </w:t>
            </w:r>
            <w:r w:rsidR="00116E9A" w:rsidRPr="00953756">
              <w:rPr>
                <w:rFonts w:ascii="Arial" w:hAnsi="Arial" w:cs="Arial"/>
                <w:b/>
                <w:bCs/>
                <w:color w:val="EE0000"/>
                <w:sz w:val="20"/>
                <w:szCs w:val="20"/>
              </w:rPr>
              <w:t>medija</w:t>
            </w:r>
            <w:r w:rsidR="00116E9A" w:rsidRPr="00DB3ABE">
              <w:rPr>
                <w:rFonts w:ascii="Arial" w:hAnsi="Arial" w:cs="Arial"/>
                <w:b/>
                <w:bCs/>
                <w:color w:val="EE0000"/>
                <w:sz w:val="20"/>
                <w:szCs w:val="20"/>
              </w:rPr>
              <w:t xml:space="preserve"> </w:t>
            </w:r>
            <w:r w:rsidRPr="00DB3ABE">
              <w:rPr>
                <w:rFonts w:ascii="Arial" w:hAnsi="Arial" w:cs="Arial"/>
                <w:b/>
                <w:bCs/>
                <w:color w:val="EE0000"/>
                <w:sz w:val="20"/>
                <w:szCs w:val="20"/>
              </w:rPr>
              <w:t xml:space="preserve">(če zasnova okoljskega nadzornega sistema temelji na premikanju tekočin, npr. vodno hlajenje) </w:t>
            </w:r>
          </w:p>
          <w:p w14:paraId="3DF50600" w14:textId="77777777" w:rsidR="00C83435" w:rsidRPr="00F47261" w:rsidRDefault="00C83435" w:rsidP="00C83435">
            <w:pPr>
              <w:jc w:val="both"/>
              <w:rPr>
                <w:rFonts w:ascii="Arial" w:hAnsi="Arial" w:cs="Arial"/>
                <w:sz w:val="20"/>
                <w:szCs w:val="20"/>
              </w:rPr>
            </w:pPr>
          </w:p>
          <w:p w14:paraId="7BF4098F" w14:textId="77777777" w:rsidR="00C83435" w:rsidRPr="00F47261" w:rsidRDefault="00C83435" w:rsidP="00C83435">
            <w:pPr>
              <w:jc w:val="both"/>
              <w:rPr>
                <w:rFonts w:ascii="Arial" w:hAnsi="Arial" w:cs="Arial"/>
                <w:sz w:val="20"/>
                <w:szCs w:val="20"/>
              </w:rPr>
            </w:pPr>
            <w:r w:rsidRPr="00F47261">
              <w:rPr>
                <w:rFonts w:ascii="Arial" w:hAnsi="Arial" w:cs="Arial"/>
                <w:sz w:val="20"/>
                <w:szCs w:val="20"/>
              </w:rPr>
              <w:t>Poleg tega mora poročati tudi o razčlenjenosti režima merjenja, ki ga želijo namestiti.</w:t>
            </w:r>
          </w:p>
          <w:p w14:paraId="5C1FB1CD" w14:textId="77777777" w:rsidR="00C83435" w:rsidRPr="00F47261" w:rsidRDefault="00C83435" w:rsidP="00C83435">
            <w:pPr>
              <w:jc w:val="both"/>
              <w:rPr>
                <w:rFonts w:ascii="Arial" w:hAnsi="Arial" w:cs="Arial"/>
                <w:b/>
                <w:bCs/>
                <w:sz w:val="20"/>
                <w:szCs w:val="20"/>
              </w:rPr>
            </w:pPr>
          </w:p>
          <w:p w14:paraId="46F4F33E" w14:textId="77777777" w:rsidR="00C83435" w:rsidRPr="00DB3ABE" w:rsidRDefault="00C83435" w:rsidP="00C83435">
            <w:pPr>
              <w:jc w:val="both"/>
              <w:rPr>
                <w:rFonts w:ascii="Arial" w:hAnsi="Arial" w:cs="Arial"/>
                <w:b/>
                <w:bCs/>
                <w:color w:val="EE0000"/>
                <w:sz w:val="20"/>
                <w:szCs w:val="20"/>
              </w:rPr>
            </w:pPr>
            <w:r w:rsidRPr="00DB3ABE">
              <w:rPr>
                <w:rFonts w:ascii="Arial" w:hAnsi="Arial" w:cs="Arial"/>
                <w:b/>
                <w:bCs/>
                <w:color w:val="EE0000"/>
                <w:sz w:val="20"/>
                <w:szCs w:val="20"/>
              </w:rPr>
              <w:t>Preverjanje:</w:t>
            </w:r>
          </w:p>
          <w:p w14:paraId="3E246F56" w14:textId="77777777" w:rsidR="00C83435" w:rsidRPr="00DB3ABE" w:rsidRDefault="00C83435" w:rsidP="00C83435">
            <w:pPr>
              <w:jc w:val="both"/>
              <w:rPr>
                <w:rFonts w:ascii="Arial" w:hAnsi="Arial" w:cs="Arial"/>
                <w:color w:val="EE0000"/>
                <w:sz w:val="20"/>
                <w:szCs w:val="20"/>
              </w:rPr>
            </w:pPr>
            <w:r w:rsidRPr="00DB3ABE">
              <w:rPr>
                <w:rFonts w:ascii="Arial" w:hAnsi="Arial" w:cs="Arial"/>
                <w:color w:val="EE0000"/>
                <w:sz w:val="20"/>
                <w:szCs w:val="20"/>
              </w:rPr>
              <w:t xml:space="preserve">Ponudnik mora predložiti načrte in tehnične specifikacije za sistem spremljanja, ki ga bodo namestili, ter opredeliti, kako ta sistem zagotavlja navedeno razčlenjenost režima merjenja v skladu z </w:t>
            </w:r>
            <w:hyperlink r:id="rId25" w:history="1">
              <w:r w:rsidRPr="00DB3ABE">
                <w:rPr>
                  <w:rStyle w:val="Hiperpovezava"/>
                  <w:rFonts w:ascii="Arial" w:hAnsi="Arial" w:cs="Arial"/>
                  <w:color w:val="EE0000"/>
                  <w:sz w:val="20"/>
                  <w:szCs w:val="20"/>
                </w:rPr>
                <w:t>EN 50600-2-3</w:t>
              </w:r>
            </w:hyperlink>
            <w:r w:rsidRPr="00DB3ABE">
              <w:rPr>
                <w:rFonts w:ascii="Arial" w:hAnsi="Arial" w:cs="Arial"/>
                <w:color w:val="EE0000"/>
                <w:sz w:val="20"/>
                <w:szCs w:val="20"/>
              </w:rPr>
              <w:t>. Javni naročnik si pridržuje pravico, da od ustrezne tretje osebe zahteva poročilo o reviziji podatkovnega centra, da lahko preveri izvajanje najboljših praks.</w:t>
            </w:r>
          </w:p>
          <w:p w14:paraId="0C45B99D" w14:textId="77777777" w:rsidR="00365352" w:rsidRPr="00F47261" w:rsidRDefault="00365352" w:rsidP="00C83435">
            <w:pPr>
              <w:jc w:val="both"/>
              <w:rPr>
                <w:rFonts w:ascii="Arial" w:hAnsi="Arial" w:cs="Arial"/>
                <w:sz w:val="20"/>
                <w:szCs w:val="20"/>
              </w:rPr>
            </w:pPr>
          </w:p>
          <w:p w14:paraId="242C3C77" w14:textId="77777777" w:rsidR="00365352" w:rsidRPr="00F47261" w:rsidRDefault="00365352" w:rsidP="00C83435">
            <w:pPr>
              <w:jc w:val="both"/>
              <w:rPr>
                <w:rFonts w:ascii="Arial" w:hAnsi="Arial" w:cs="Arial"/>
                <w:b/>
                <w:bCs/>
                <w:sz w:val="20"/>
                <w:szCs w:val="20"/>
              </w:rPr>
            </w:pPr>
            <w:r w:rsidRPr="00F47261">
              <w:rPr>
                <w:rFonts w:ascii="Arial" w:hAnsi="Arial" w:cs="Arial"/>
                <w:b/>
                <w:bCs/>
                <w:sz w:val="20"/>
                <w:szCs w:val="20"/>
              </w:rPr>
              <w:t>Priporočilo:</w:t>
            </w:r>
          </w:p>
          <w:p w14:paraId="416A6A40" w14:textId="1A92241D" w:rsidR="00365352" w:rsidRPr="00F47261" w:rsidRDefault="00365352" w:rsidP="00C83435">
            <w:pPr>
              <w:jc w:val="both"/>
              <w:rPr>
                <w:rFonts w:ascii="Arial" w:hAnsi="Arial" w:cs="Arial"/>
                <w:sz w:val="20"/>
                <w:szCs w:val="20"/>
              </w:rPr>
            </w:pPr>
            <w:r w:rsidRPr="00F47261">
              <w:rPr>
                <w:rFonts w:ascii="Arial" w:hAnsi="Arial" w:cs="Arial"/>
                <w:sz w:val="20"/>
                <w:szCs w:val="20"/>
              </w:rPr>
              <w:t xml:space="preserve">V Sloveniji se javna naročila za novogradnjo ali prenovo podatkovnih centrov izvajajo pretežno na način, da se storitve projektiranja in gradnje naročajo ločeno, t.j. v dveh ločenih postopkih javnih naročil. Naročnikom priporočamo, da v vsakem posameznem primeru posebej preverijo primernost izvedbe enotnega javnega naročila, ki bo zajemalo tako projektiranje, kot gradnjo  po modelu </w:t>
            </w:r>
            <w:r w:rsidRPr="00F47261">
              <w:rPr>
                <w:rFonts w:ascii="Arial" w:hAnsi="Arial" w:cs="Arial"/>
                <w:i/>
                <w:iCs/>
                <w:sz w:val="20"/>
                <w:szCs w:val="20"/>
              </w:rPr>
              <w:t>Design-Build</w:t>
            </w:r>
            <w:r w:rsidRPr="00F47261">
              <w:rPr>
                <w:rFonts w:ascii="Arial" w:hAnsi="Arial" w:cs="Arial"/>
                <w:sz w:val="20"/>
                <w:szCs w:val="20"/>
              </w:rPr>
              <w:t xml:space="preserve"> (DB), ki se pogosto izkaže za bolj primerno, obenem pa omogoča tudi implementacijo predmetne zahteve. Naročniki naj tudi razmislijo, ali bi morebiti zadoščala tudi izjava ponudnika, da njegova rešitev nadzornega sistema vključuje zahtevane meritve parametrov skladno s standardom </w:t>
            </w:r>
            <w:hyperlink r:id="rId26" w:history="1">
              <w:r w:rsidRPr="00F47261">
                <w:rPr>
                  <w:rStyle w:val="Hiperpovezava"/>
                  <w:rFonts w:ascii="Arial" w:hAnsi="Arial" w:cs="Arial"/>
                  <w:color w:val="auto"/>
                  <w:sz w:val="20"/>
                  <w:szCs w:val="20"/>
                </w:rPr>
                <w:t>EN 50600-2-3</w:t>
              </w:r>
            </w:hyperlink>
            <w:r w:rsidRPr="00F47261">
              <w:rPr>
                <w:rFonts w:ascii="Arial" w:hAnsi="Arial" w:cs="Arial"/>
                <w:sz w:val="20"/>
                <w:szCs w:val="20"/>
              </w:rPr>
              <w:t>.</w:t>
            </w:r>
          </w:p>
          <w:p w14:paraId="31F35F13" w14:textId="77777777" w:rsidR="00C83435" w:rsidRDefault="00C83435" w:rsidP="00C83435">
            <w:pPr>
              <w:jc w:val="both"/>
              <w:rPr>
                <w:rFonts w:ascii="Arial" w:eastAsia="Arial" w:hAnsi="Arial" w:cs="Arial"/>
                <w:b/>
                <w:color w:val="385522"/>
                <w:spacing w:val="1"/>
                <w:kern w:val="0"/>
                <w:sz w:val="20"/>
                <w:szCs w:val="20"/>
                <w14:ligatures w14:val="none"/>
              </w:rPr>
            </w:pPr>
          </w:p>
        </w:tc>
      </w:tr>
    </w:tbl>
    <w:p w14:paraId="39104F3B" w14:textId="77777777" w:rsidR="00CF362F" w:rsidRDefault="00CF362F"/>
    <w:p w14:paraId="6F85AF75" w14:textId="77777777" w:rsidR="00CF362F" w:rsidRDefault="00CF362F"/>
    <w:p w14:paraId="4FA46B91" w14:textId="77777777" w:rsidR="00CF362F" w:rsidRDefault="00CF362F"/>
    <w:p w14:paraId="5B88408D" w14:textId="77777777" w:rsidR="00CF362F" w:rsidRDefault="00CF362F"/>
    <w:p w14:paraId="38E90F35" w14:textId="77777777" w:rsidR="00CF362F" w:rsidRDefault="00CF362F"/>
    <w:tbl>
      <w:tblPr>
        <w:tblStyle w:val="Tabelamrea"/>
        <w:tblW w:w="0" w:type="auto"/>
        <w:tblLayout w:type="fixed"/>
        <w:tblLook w:val="04A0" w:firstRow="1" w:lastRow="0" w:firstColumn="1" w:lastColumn="0" w:noHBand="0" w:noVBand="1"/>
        <w:tblCaption w:val="Tabela - tehnične specifikacije"/>
        <w:tblDescription w:val="Tabela vsebuje pogoje za tehnične specifikacije v postopkih javnega naročila za podatkovne center, strežniške prostore in storitve v oblaku. Deli se na osovni nivo in zahtevnejši nivo. "/>
      </w:tblPr>
      <w:tblGrid>
        <w:gridCol w:w="704"/>
        <w:gridCol w:w="3969"/>
        <w:gridCol w:w="142"/>
        <w:gridCol w:w="4201"/>
      </w:tblGrid>
      <w:tr w:rsidR="00EC16EC" w14:paraId="4C5DE8DE" w14:textId="77777777" w:rsidTr="00811306">
        <w:tc>
          <w:tcPr>
            <w:tcW w:w="704" w:type="dxa"/>
          </w:tcPr>
          <w:p w14:paraId="3CDB2687" w14:textId="77777777" w:rsidR="00EC16EC" w:rsidRDefault="00EC16EC" w:rsidP="00545CF0">
            <w:pPr>
              <w:jc w:val="both"/>
              <w:rPr>
                <w:rFonts w:ascii="Arial" w:eastAsia="Arial" w:hAnsi="Arial" w:cs="Arial"/>
                <w:bCs/>
                <w:spacing w:val="1"/>
                <w:kern w:val="0"/>
                <w:sz w:val="20"/>
                <w:szCs w:val="20"/>
                <w14:ligatures w14:val="none"/>
              </w:rPr>
            </w:pPr>
          </w:p>
        </w:tc>
        <w:tc>
          <w:tcPr>
            <w:tcW w:w="8312" w:type="dxa"/>
            <w:gridSpan w:val="3"/>
            <w:shd w:val="clear" w:color="auto" w:fill="9BBA58"/>
          </w:tcPr>
          <w:p w14:paraId="69C9A005" w14:textId="77777777" w:rsidR="00EC16EC" w:rsidRPr="00EC16EC" w:rsidRDefault="00EC16EC" w:rsidP="00EC16EC">
            <w:pPr>
              <w:jc w:val="both"/>
              <w:rPr>
                <w:rFonts w:ascii="Arial" w:hAnsi="Arial" w:cs="Arial"/>
                <w:b/>
                <w:bCs/>
                <w:sz w:val="20"/>
                <w:szCs w:val="20"/>
              </w:rPr>
            </w:pPr>
            <w:r w:rsidRPr="00EC16EC">
              <w:rPr>
                <w:rFonts w:ascii="Arial" w:hAnsi="Arial" w:cs="Arial"/>
                <w:b/>
                <w:bCs/>
                <w:sz w:val="20"/>
                <w:szCs w:val="20"/>
              </w:rPr>
              <w:t xml:space="preserve">Predmet naročila: </w:t>
            </w:r>
          </w:p>
          <w:p w14:paraId="770CDED1" w14:textId="77777777" w:rsidR="00EC16EC" w:rsidRPr="00EC16EC" w:rsidRDefault="00EC16EC" w:rsidP="00EC16EC">
            <w:pPr>
              <w:numPr>
                <w:ilvl w:val="0"/>
                <w:numId w:val="1"/>
              </w:numPr>
              <w:jc w:val="both"/>
              <w:rPr>
                <w:rFonts w:ascii="Arial" w:hAnsi="Arial" w:cs="Arial"/>
                <w:b/>
                <w:bCs/>
                <w:sz w:val="20"/>
                <w:szCs w:val="20"/>
              </w:rPr>
            </w:pPr>
            <w:r w:rsidRPr="00EC16EC">
              <w:rPr>
                <w:rFonts w:ascii="Arial" w:hAnsi="Arial" w:cs="Arial"/>
                <w:b/>
                <w:bCs/>
                <w:sz w:val="20"/>
                <w:szCs w:val="20"/>
              </w:rPr>
              <w:t xml:space="preserve">izgradnja novega podatkovnega centra </w:t>
            </w:r>
          </w:p>
          <w:p w14:paraId="43CCF38F" w14:textId="77777777" w:rsidR="00EC16EC" w:rsidRPr="00EC16EC" w:rsidRDefault="00EC16EC" w:rsidP="00EC16EC">
            <w:pPr>
              <w:numPr>
                <w:ilvl w:val="0"/>
                <w:numId w:val="1"/>
              </w:numPr>
              <w:jc w:val="both"/>
              <w:rPr>
                <w:rFonts w:ascii="Arial" w:hAnsi="Arial" w:cs="Arial"/>
                <w:b/>
                <w:bCs/>
                <w:sz w:val="20"/>
                <w:szCs w:val="20"/>
              </w:rPr>
            </w:pPr>
            <w:r w:rsidRPr="00EC16EC">
              <w:rPr>
                <w:rFonts w:ascii="Arial" w:hAnsi="Arial" w:cs="Arial"/>
                <w:b/>
                <w:bCs/>
                <w:sz w:val="20"/>
                <w:szCs w:val="20"/>
              </w:rPr>
              <w:t xml:space="preserve">razširitev obstoječe zgradbe z infrastrukturo za novi podatkovni center in strežniško sobo </w:t>
            </w:r>
          </w:p>
          <w:p w14:paraId="28A883B3" w14:textId="77777777" w:rsidR="00EC16EC" w:rsidRPr="00EC16EC" w:rsidRDefault="00EC16EC" w:rsidP="00EC16EC">
            <w:pPr>
              <w:numPr>
                <w:ilvl w:val="0"/>
                <w:numId w:val="1"/>
              </w:numPr>
              <w:jc w:val="both"/>
              <w:rPr>
                <w:rFonts w:ascii="Arial" w:hAnsi="Arial" w:cs="Arial"/>
                <w:b/>
                <w:bCs/>
                <w:sz w:val="20"/>
                <w:szCs w:val="20"/>
              </w:rPr>
            </w:pPr>
            <w:r w:rsidRPr="00EC16EC">
              <w:rPr>
                <w:rFonts w:ascii="Arial" w:hAnsi="Arial" w:cs="Arial"/>
                <w:b/>
                <w:bCs/>
                <w:sz w:val="20"/>
                <w:szCs w:val="20"/>
              </w:rPr>
              <w:t xml:space="preserve">konsolidacija obstoječih strežniških sob in/ali podatkovnih centrov v nove ali obstoječe podatkovne centre </w:t>
            </w:r>
          </w:p>
          <w:p w14:paraId="3E61E368" w14:textId="77777777" w:rsidR="00EC16EC" w:rsidRPr="005758B9" w:rsidDel="0079499B" w:rsidRDefault="00EC16EC" w:rsidP="00C83435">
            <w:pPr>
              <w:jc w:val="both"/>
              <w:rPr>
                <w:rFonts w:ascii="Arial" w:hAnsi="Arial" w:cs="Arial"/>
                <w:b/>
                <w:bCs/>
                <w:sz w:val="20"/>
                <w:szCs w:val="20"/>
              </w:rPr>
            </w:pPr>
          </w:p>
        </w:tc>
      </w:tr>
      <w:tr w:rsidR="00C83435" w14:paraId="5C6EB1D4" w14:textId="77777777" w:rsidTr="00C01CF4">
        <w:tc>
          <w:tcPr>
            <w:tcW w:w="704" w:type="dxa"/>
          </w:tcPr>
          <w:p w14:paraId="3A72153D" w14:textId="440E5BFF" w:rsidR="00C83435" w:rsidRPr="00EE4AEF" w:rsidRDefault="00EC16EC" w:rsidP="00545CF0">
            <w:pPr>
              <w:jc w:val="both"/>
              <w:rPr>
                <w:rFonts w:ascii="Arial" w:eastAsia="Arial" w:hAnsi="Arial" w:cs="Arial"/>
                <w:bCs/>
                <w:spacing w:val="1"/>
                <w:kern w:val="0"/>
                <w:sz w:val="20"/>
                <w:szCs w:val="20"/>
                <w14:ligatures w14:val="none"/>
              </w:rPr>
            </w:pPr>
            <w:r>
              <w:rPr>
                <w:rFonts w:ascii="Arial" w:eastAsia="Arial" w:hAnsi="Arial" w:cs="Arial"/>
                <w:bCs/>
                <w:spacing w:val="1"/>
                <w:kern w:val="0"/>
                <w:sz w:val="20"/>
                <w:szCs w:val="20"/>
                <w14:ligatures w14:val="none"/>
              </w:rPr>
              <w:t>TS</w:t>
            </w:r>
            <w:r w:rsidR="00496874">
              <w:rPr>
                <w:rFonts w:ascii="Arial" w:eastAsia="Arial" w:hAnsi="Arial" w:cs="Arial"/>
                <w:bCs/>
                <w:spacing w:val="1"/>
                <w:kern w:val="0"/>
                <w:sz w:val="20"/>
                <w:szCs w:val="20"/>
                <w14:ligatures w14:val="none"/>
              </w:rPr>
              <w:t>5</w:t>
            </w:r>
          </w:p>
        </w:tc>
        <w:tc>
          <w:tcPr>
            <w:tcW w:w="4111" w:type="dxa"/>
            <w:gridSpan w:val="2"/>
          </w:tcPr>
          <w:p w14:paraId="45A5A1C6" w14:textId="77777777" w:rsidR="00C83435" w:rsidRDefault="00C83435" w:rsidP="00C83435">
            <w:pPr>
              <w:jc w:val="both"/>
              <w:rPr>
                <w:rFonts w:ascii="Arial" w:eastAsia="Arial" w:hAnsi="Arial" w:cs="Arial"/>
                <w:b/>
                <w:color w:val="385522"/>
                <w:spacing w:val="1"/>
                <w:kern w:val="0"/>
                <w:sz w:val="20"/>
                <w:szCs w:val="20"/>
                <w14:ligatures w14:val="none"/>
              </w:rPr>
            </w:pPr>
          </w:p>
        </w:tc>
        <w:tc>
          <w:tcPr>
            <w:tcW w:w="4201" w:type="dxa"/>
          </w:tcPr>
          <w:p w14:paraId="1CB9D3DE" w14:textId="00EBBAC6" w:rsidR="00E02317" w:rsidRPr="00853340" w:rsidRDefault="00E02317" w:rsidP="00E02317">
            <w:pPr>
              <w:jc w:val="both"/>
              <w:rPr>
                <w:rFonts w:ascii="Arial" w:hAnsi="Arial" w:cs="Arial"/>
                <w:b/>
                <w:bCs/>
                <w:sz w:val="20"/>
                <w:szCs w:val="20"/>
              </w:rPr>
            </w:pPr>
            <w:r w:rsidRPr="00853340">
              <w:rPr>
                <w:rFonts w:ascii="Arial" w:hAnsi="Arial" w:cs="Arial"/>
                <w:b/>
                <w:bCs/>
                <w:sz w:val="20"/>
                <w:szCs w:val="20"/>
              </w:rPr>
              <w:t>Najboljše prakse za sisteme hlajenja – novogradnje ali prenove</w:t>
            </w:r>
            <w:r w:rsidR="00A93144">
              <w:rPr>
                <w:rFonts w:ascii="Arial" w:hAnsi="Arial" w:cs="Arial"/>
                <w:b/>
                <w:bCs/>
                <w:sz w:val="20"/>
                <w:szCs w:val="20"/>
              </w:rPr>
              <w:t>/nadgradnje</w:t>
            </w:r>
            <w:r w:rsidRPr="00853340">
              <w:rPr>
                <w:rFonts w:ascii="Arial" w:hAnsi="Arial" w:cs="Arial"/>
                <w:b/>
                <w:bCs/>
                <w:sz w:val="20"/>
                <w:szCs w:val="20"/>
              </w:rPr>
              <w:t xml:space="preserve"> podatkovnih centrov – </w:t>
            </w:r>
            <w:r w:rsidRPr="00EC16EC">
              <w:rPr>
                <w:rFonts w:ascii="Arial" w:hAnsi="Arial" w:cs="Arial"/>
                <w:b/>
                <w:bCs/>
                <w:i/>
                <w:iCs/>
                <w:sz w:val="20"/>
                <w:szCs w:val="20"/>
              </w:rPr>
              <w:t>Zahtevnejši nivo</w:t>
            </w:r>
          </w:p>
          <w:p w14:paraId="2001B215" w14:textId="77777777" w:rsidR="00E02317" w:rsidRDefault="00E02317" w:rsidP="00E02317">
            <w:pPr>
              <w:jc w:val="both"/>
              <w:rPr>
                <w:rFonts w:ascii="Arial" w:hAnsi="Arial" w:cs="Arial"/>
                <w:b/>
                <w:bCs/>
                <w:sz w:val="20"/>
                <w:szCs w:val="20"/>
              </w:rPr>
            </w:pPr>
          </w:p>
          <w:p w14:paraId="614683BE" w14:textId="77777777" w:rsidR="00E02317" w:rsidRPr="00853340" w:rsidRDefault="00E02317" w:rsidP="00E02317">
            <w:pPr>
              <w:jc w:val="both"/>
              <w:rPr>
                <w:rFonts w:ascii="Arial" w:hAnsi="Arial" w:cs="Arial"/>
                <w:sz w:val="20"/>
                <w:szCs w:val="20"/>
              </w:rPr>
            </w:pPr>
            <w:r w:rsidRPr="005A38C2">
              <w:rPr>
                <w:rFonts w:ascii="Arial" w:hAnsi="Arial" w:cs="Arial"/>
                <w:sz w:val="20"/>
                <w:szCs w:val="20"/>
              </w:rPr>
              <w:t xml:space="preserve">Ponudnik mora dokazati, da podatkovni center vključuje „pričakovane“ najboljše </w:t>
            </w:r>
            <w:r w:rsidRPr="005A38C2">
              <w:rPr>
                <w:rFonts w:ascii="Arial" w:hAnsi="Arial" w:cs="Arial"/>
                <w:sz w:val="20"/>
                <w:szCs w:val="20"/>
              </w:rPr>
              <w:lastRenderedPageBreak/>
              <w:t>prakse, navedene v naslednjih vidikih zasnove v zadnji različici</w:t>
            </w:r>
            <w:r>
              <w:rPr>
                <w:rFonts w:ascii="Arial" w:hAnsi="Arial" w:cs="Arial"/>
                <w:sz w:val="20"/>
                <w:szCs w:val="20"/>
              </w:rPr>
              <w:t xml:space="preserve"> </w:t>
            </w:r>
            <w:hyperlink r:id="rId27" w:history="1">
              <w:r w:rsidRPr="00853340">
                <w:rPr>
                  <w:rStyle w:val="Hiperpovezava"/>
                  <w:rFonts w:ascii="Arial" w:hAnsi="Arial" w:cs="Arial"/>
                  <w:sz w:val="20"/>
                  <w:szCs w:val="20"/>
                </w:rPr>
                <w:t>Kodeksa ravnanja EU / EN 50600 TR99-1 glede »upravljanja hlajenja« in »nastavitev temperature in vlažnosti«:</w:t>
              </w:r>
            </w:hyperlink>
          </w:p>
          <w:p w14:paraId="6938FF84" w14:textId="77777777" w:rsidR="00E02317" w:rsidRPr="00853340" w:rsidRDefault="00E02317" w:rsidP="00E02317">
            <w:pPr>
              <w:numPr>
                <w:ilvl w:val="0"/>
                <w:numId w:val="8"/>
              </w:numPr>
              <w:jc w:val="both"/>
              <w:rPr>
                <w:rFonts w:ascii="Arial" w:hAnsi="Arial" w:cs="Arial"/>
                <w:sz w:val="20"/>
                <w:szCs w:val="20"/>
              </w:rPr>
            </w:pPr>
            <w:r w:rsidRPr="00853340">
              <w:rPr>
                <w:rFonts w:ascii="Arial" w:hAnsi="Arial" w:cs="Arial"/>
                <w:sz w:val="20"/>
                <w:szCs w:val="20"/>
              </w:rPr>
              <w:t>upravljanje in zasnova pretoka zraka,</w:t>
            </w:r>
          </w:p>
          <w:p w14:paraId="4AAF4F95" w14:textId="77777777" w:rsidR="00E02317" w:rsidRPr="00853340" w:rsidRDefault="00E02317" w:rsidP="00E02317">
            <w:pPr>
              <w:numPr>
                <w:ilvl w:val="0"/>
                <w:numId w:val="8"/>
              </w:numPr>
              <w:jc w:val="both"/>
              <w:rPr>
                <w:rFonts w:ascii="Arial" w:hAnsi="Arial" w:cs="Arial"/>
                <w:sz w:val="20"/>
                <w:szCs w:val="20"/>
              </w:rPr>
            </w:pPr>
            <w:r w:rsidRPr="00853340">
              <w:rPr>
                <w:rFonts w:ascii="Arial" w:hAnsi="Arial" w:cs="Arial"/>
                <w:sz w:val="20"/>
                <w:szCs w:val="20"/>
              </w:rPr>
              <w:t>hladilna naprava,</w:t>
            </w:r>
          </w:p>
          <w:p w14:paraId="428CDECC" w14:textId="77777777" w:rsidR="00E02317" w:rsidRDefault="00E02317" w:rsidP="00E02317">
            <w:pPr>
              <w:numPr>
                <w:ilvl w:val="0"/>
                <w:numId w:val="8"/>
              </w:numPr>
              <w:jc w:val="both"/>
              <w:rPr>
                <w:rFonts w:ascii="Arial" w:hAnsi="Arial" w:cs="Arial"/>
                <w:sz w:val="20"/>
                <w:szCs w:val="20"/>
              </w:rPr>
            </w:pPr>
            <w:r w:rsidRPr="00853340">
              <w:rPr>
                <w:rFonts w:ascii="Arial" w:hAnsi="Arial" w:cs="Arial"/>
                <w:sz w:val="20"/>
                <w:szCs w:val="20"/>
              </w:rPr>
              <w:t>klimatske naprave / naprave za ravnanje z zrakom v računalniški sobi.</w:t>
            </w:r>
          </w:p>
          <w:p w14:paraId="314BFF84" w14:textId="77777777" w:rsidR="00E02317" w:rsidRPr="00853340" w:rsidRDefault="00E02317" w:rsidP="00E02317">
            <w:pPr>
              <w:ind w:left="720"/>
              <w:jc w:val="both"/>
              <w:rPr>
                <w:rFonts w:ascii="Arial" w:hAnsi="Arial" w:cs="Arial"/>
                <w:sz w:val="20"/>
                <w:szCs w:val="20"/>
              </w:rPr>
            </w:pPr>
          </w:p>
          <w:p w14:paraId="4B9648C3" w14:textId="77777777" w:rsidR="00E02317" w:rsidRDefault="00E02317" w:rsidP="00E02317">
            <w:pPr>
              <w:jc w:val="both"/>
              <w:rPr>
                <w:rFonts w:ascii="Arial" w:hAnsi="Arial" w:cs="Arial"/>
                <w:sz w:val="20"/>
                <w:szCs w:val="20"/>
              </w:rPr>
            </w:pPr>
            <w:r w:rsidRPr="00625EDF">
              <w:rPr>
                <w:rFonts w:ascii="Arial" w:hAnsi="Arial" w:cs="Arial"/>
                <w:sz w:val="20"/>
                <w:szCs w:val="20"/>
              </w:rPr>
              <w:t>Poleg tega je treba izvajati prakse prostega in ekonomičnega hlajenja, kjer je to mogoče (glej tudi priloženo pojasnilo), in za hladilni sistem izvesti oceno ranljivosti zaradi podnebnih sprememb ter tveganj.</w:t>
            </w:r>
          </w:p>
          <w:p w14:paraId="5F724A90" w14:textId="77777777" w:rsidR="00E02317" w:rsidRDefault="00E02317" w:rsidP="00E02317">
            <w:pPr>
              <w:jc w:val="both"/>
              <w:rPr>
                <w:rFonts w:ascii="Arial" w:hAnsi="Arial" w:cs="Arial"/>
                <w:b/>
                <w:bCs/>
                <w:sz w:val="20"/>
                <w:szCs w:val="20"/>
              </w:rPr>
            </w:pPr>
          </w:p>
          <w:p w14:paraId="3EA35B77" w14:textId="77777777" w:rsidR="00E02317" w:rsidRPr="005A38C2" w:rsidRDefault="00E02317" w:rsidP="00E02317">
            <w:pPr>
              <w:jc w:val="both"/>
              <w:rPr>
                <w:rFonts w:ascii="Arial" w:hAnsi="Arial" w:cs="Arial"/>
                <w:b/>
                <w:bCs/>
                <w:sz w:val="20"/>
                <w:szCs w:val="20"/>
              </w:rPr>
            </w:pPr>
            <w:r w:rsidRPr="005A38C2">
              <w:rPr>
                <w:rFonts w:ascii="Arial" w:hAnsi="Arial" w:cs="Arial"/>
                <w:b/>
                <w:bCs/>
                <w:sz w:val="20"/>
                <w:szCs w:val="20"/>
              </w:rPr>
              <w:t xml:space="preserve">Preverjanje: </w:t>
            </w:r>
          </w:p>
          <w:p w14:paraId="1BF8C650" w14:textId="353789A6" w:rsidR="00E02317" w:rsidRDefault="00E02317" w:rsidP="00E02317">
            <w:pPr>
              <w:jc w:val="both"/>
              <w:rPr>
                <w:rFonts w:ascii="Arial" w:hAnsi="Arial" w:cs="Arial"/>
                <w:sz w:val="20"/>
                <w:szCs w:val="20"/>
              </w:rPr>
            </w:pPr>
            <w:r w:rsidRPr="00625EDF">
              <w:rPr>
                <w:rFonts w:ascii="Arial" w:hAnsi="Arial" w:cs="Arial"/>
                <w:sz w:val="20"/>
                <w:szCs w:val="20"/>
              </w:rPr>
              <w:t xml:space="preserve">Ponudnik mora predložiti načrte in skice, ki vključujejo najboljše prakse Kodeksa ravnanja/EN 50600 TR99-1. </w:t>
            </w:r>
            <w:r w:rsidR="00053CB2">
              <w:rPr>
                <w:rFonts w:ascii="Arial" w:hAnsi="Arial" w:cs="Arial"/>
                <w:sz w:val="20"/>
                <w:szCs w:val="20"/>
              </w:rPr>
              <w:t>N</w:t>
            </w:r>
            <w:r w:rsidRPr="00625EDF">
              <w:rPr>
                <w:rFonts w:ascii="Arial" w:hAnsi="Arial" w:cs="Arial"/>
                <w:sz w:val="20"/>
                <w:szCs w:val="20"/>
              </w:rPr>
              <w:t xml:space="preserve">aročnik si pridržuje pravico, da od tretje osebe zahteva revizijo podatkovnega centra, da lahko preveri izvajanje najboljših praks. </w:t>
            </w:r>
          </w:p>
          <w:p w14:paraId="31DCBBFC" w14:textId="77777777" w:rsidR="00E02317" w:rsidRDefault="00E02317" w:rsidP="00E02317">
            <w:pPr>
              <w:jc w:val="both"/>
              <w:rPr>
                <w:rFonts w:ascii="Arial" w:hAnsi="Arial" w:cs="Arial"/>
                <w:sz w:val="20"/>
                <w:szCs w:val="20"/>
              </w:rPr>
            </w:pPr>
          </w:p>
          <w:p w14:paraId="7C2492FA" w14:textId="67C49C7F" w:rsidR="00E02317" w:rsidRDefault="00E02317" w:rsidP="00E02317">
            <w:pPr>
              <w:jc w:val="both"/>
              <w:rPr>
                <w:rFonts w:ascii="Arial" w:hAnsi="Arial" w:cs="Arial"/>
                <w:sz w:val="20"/>
                <w:szCs w:val="20"/>
              </w:rPr>
            </w:pPr>
            <w:r w:rsidRPr="00625EDF">
              <w:rPr>
                <w:rFonts w:ascii="Arial" w:hAnsi="Arial" w:cs="Arial"/>
                <w:sz w:val="20"/>
                <w:szCs w:val="20"/>
              </w:rPr>
              <w:t xml:space="preserve">V primeru sodelovanja v </w:t>
            </w:r>
            <w:hyperlink r:id="rId28" w:history="1">
              <w:r w:rsidRPr="00743582">
                <w:rPr>
                  <w:rStyle w:val="Hiperpovezava"/>
                  <w:rFonts w:ascii="Arial" w:hAnsi="Arial" w:cs="Arial"/>
                  <w:sz w:val="20"/>
                  <w:szCs w:val="20"/>
                </w:rPr>
                <w:t>Kodeksu ravnanja EU</w:t>
              </w:r>
            </w:hyperlink>
            <w:r w:rsidRPr="00625EDF">
              <w:rPr>
                <w:rFonts w:ascii="Arial" w:hAnsi="Arial" w:cs="Arial"/>
                <w:sz w:val="20"/>
                <w:szCs w:val="20"/>
              </w:rPr>
              <w:t xml:space="preserve"> mora ponudnik predložiti izpolnjen obrazec za poročanje, vložen za registracijo v Kodeks ravnanja EU, vključno z opisom načrta izvajanja pričakovanih praks. Prav tako mora predložiti dokazilo o sodelovanju, ki ga podeli Skupno raziskovalno središče Evropske komisije. </w:t>
            </w:r>
          </w:p>
          <w:p w14:paraId="22277842" w14:textId="77777777" w:rsidR="00E02317" w:rsidRDefault="00E02317" w:rsidP="00E02317">
            <w:pPr>
              <w:jc w:val="both"/>
              <w:rPr>
                <w:rFonts w:ascii="Arial" w:hAnsi="Arial" w:cs="Arial"/>
                <w:sz w:val="20"/>
                <w:szCs w:val="20"/>
              </w:rPr>
            </w:pPr>
          </w:p>
          <w:p w14:paraId="3D131877" w14:textId="77777777" w:rsidR="00C83435" w:rsidRDefault="00E02317" w:rsidP="00E02317">
            <w:pPr>
              <w:jc w:val="both"/>
              <w:rPr>
                <w:rFonts w:ascii="Arial" w:hAnsi="Arial" w:cs="Arial"/>
                <w:i/>
                <w:iCs/>
                <w:sz w:val="20"/>
                <w:szCs w:val="20"/>
              </w:rPr>
            </w:pPr>
            <w:r w:rsidRPr="000F15EE">
              <w:rPr>
                <w:rFonts w:ascii="Arial" w:hAnsi="Arial" w:cs="Arial"/>
                <w:i/>
                <w:iCs/>
                <w:sz w:val="20"/>
                <w:szCs w:val="20"/>
              </w:rPr>
              <w:t>V skladu s klavzulo o izvedbi naročila se bo spremljalo tudi sprejetje sodelovanja v kodeksu ravnanja EU in izvajanje najboljših praks.</w:t>
            </w:r>
          </w:p>
          <w:p w14:paraId="3C503ED9" w14:textId="77777777" w:rsidR="00755DEE" w:rsidRDefault="00755DEE" w:rsidP="00E02317">
            <w:pPr>
              <w:jc w:val="both"/>
              <w:rPr>
                <w:rFonts w:ascii="Arial" w:hAnsi="Arial" w:cs="Arial"/>
                <w:i/>
                <w:iCs/>
                <w:sz w:val="20"/>
                <w:szCs w:val="20"/>
              </w:rPr>
            </w:pPr>
          </w:p>
          <w:p w14:paraId="37550428" w14:textId="7FA4781F" w:rsidR="00755DEE" w:rsidRPr="000F15EE" w:rsidRDefault="00755DEE" w:rsidP="00E02317">
            <w:pPr>
              <w:jc w:val="both"/>
              <w:rPr>
                <w:rFonts w:ascii="Arial" w:hAnsi="Arial" w:cs="Arial"/>
                <w:b/>
                <w:bCs/>
                <w:sz w:val="20"/>
                <w:szCs w:val="20"/>
              </w:rPr>
            </w:pPr>
            <w:r w:rsidRPr="000F15EE">
              <w:rPr>
                <w:rFonts w:ascii="Arial" w:hAnsi="Arial" w:cs="Arial"/>
                <w:b/>
                <w:bCs/>
                <w:sz w:val="20"/>
                <w:szCs w:val="20"/>
              </w:rPr>
              <w:t>Pojasnilo:</w:t>
            </w:r>
          </w:p>
          <w:p w14:paraId="3F8A7DFD" w14:textId="56B6FECF" w:rsidR="00755DEE" w:rsidRPr="0047038B" w:rsidRDefault="0047038B" w:rsidP="0047038B">
            <w:pPr>
              <w:pStyle w:val="Default"/>
              <w:jc w:val="both"/>
              <w:rPr>
                <w:rFonts w:ascii="Arial" w:hAnsi="Arial" w:cs="Arial"/>
                <w:color w:val="auto"/>
                <w:kern w:val="2"/>
                <w:sz w:val="20"/>
                <w:szCs w:val="20"/>
              </w:rPr>
            </w:pPr>
            <w:r>
              <w:rPr>
                <w:rFonts w:ascii="Arial" w:hAnsi="Arial" w:cs="Arial"/>
                <w:color w:val="auto"/>
                <w:kern w:val="2"/>
                <w:sz w:val="20"/>
                <w:szCs w:val="20"/>
              </w:rPr>
              <w:t>P</w:t>
            </w:r>
            <w:r w:rsidRPr="0047038B">
              <w:rPr>
                <w:rFonts w:ascii="Arial" w:hAnsi="Arial" w:cs="Arial"/>
                <w:color w:val="auto"/>
                <w:kern w:val="2"/>
                <w:sz w:val="20"/>
                <w:szCs w:val="20"/>
              </w:rPr>
              <w:t>rakse pri prostem hlajenju in ekonomičnem hlajenju</w:t>
            </w:r>
            <w:r>
              <w:rPr>
                <w:rFonts w:ascii="Arial" w:hAnsi="Arial" w:cs="Arial"/>
                <w:color w:val="auto"/>
                <w:kern w:val="2"/>
                <w:sz w:val="20"/>
                <w:szCs w:val="20"/>
              </w:rPr>
              <w:t>:</w:t>
            </w:r>
            <w:r w:rsidRPr="0047038B">
              <w:rPr>
                <w:rFonts w:ascii="Arial" w:hAnsi="Arial" w:cs="Arial"/>
                <w:color w:val="auto"/>
                <w:kern w:val="2"/>
                <w:sz w:val="20"/>
                <w:szCs w:val="20"/>
              </w:rPr>
              <w:t xml:space="preserve"> Prosto hlajenje/ekonomično hlajenje sta zasnovi hladilnih naprav, ki za izpolnjevanje vseh ali dela zahtev po hlajenju objekta izkoriščajo hladne okoljske pogoje, tako da je odvisnost od kakršne koli oblike mehanskega hlajenja, vključno s kompresorji, nižja ali celo v celoti izvzeta, kar omogoča znatno zmanjšanje porabe energije. </w:t>
            </w:r>
            <w:r w:rsidRPr="0047038B">
              <w:rPr>
                <w:rFonts w:ascii="Arial" w:hAnsi="Arial" w:cs="Arial"/>
                <w:sz w:val="20"/>
                <w:szCs w:val="20"/>
              </w:rPr>
              <w:t xml:space="preserve">Možnosti za uporabo prostega hlajenja so večje v hladnem in suhem podnebju ter na območjih z uporabo višjih nastavljenih vrednosti temperature. </w:t>
            </w:r>
          </w:p>
          <w:p w14:paraId="1087097C" w14:textId="77777777" w:rsidR="00C203FA" w:rsidRDefault="00C203FA" w:rsidP="00E02317">
            <w:pPr>
              <w:jc w:val="both"/>
              <w:rPr>
                <w:rFonts w:ascii="Arial" w:hAnsi="Arial" w:cs="Arial"/>
                <w:i/>
                <w:iCs/>
                <w:sz w:val="20"/>
                <w:szCs w:val="20"/>
              </w:rPr>
            </w:pPr>
          </w:p>
          <w:p w14:paraId="6181C50F" w14:textId="77777777" w:rsidR="00C203FA" w:rsidRPr="0065590F" w:rsidRDefault="00C203FA" w:rsidP="00C203FA">
            <w:pPr>
              <w:jc w:val="both"/>
              <w:rPr>
                <w:rFonts w:ascii="Arial" w:hAnsi="Arial" w:cs="Arial"/>
                <w:b/>
                <w:bCs/>
                <w:sz w:val="20"/>
                <w:szCs w:val="20"/>
              </w:rPr>
            </w:pPr>
            <w:r w:rsidRPr="0065590F">
              <w:rPr>
                <w:rFonts w:ascii="Arial" w:hAnsi="Arial" w:cs="Arial"/>
                <w:b/>
                <w:bCs/>
                <w:sz w:val="20"/>
                <w:szCs w:val="20"/>
              </w:rPr>
              <w:t>Priporočilo:</w:t>
            </w:r>
          </w:p>
          <w:p w14:paraId="7E3BEFE2" w14:textId="32791F51" w:rsidR="00C203FA" w:rsidRDefault="0085561C" w:rsidP="006C23D4">
            <w:pPr>
              <w:pStyle w:val="Default"/>
              <w:jc w:val="both"/>
              <w:rPr>
                <w:rFonts w:ascii="Arial" w:eastAsia="Arial" w:hAnsi="Arial" w:cs="Arial"/>
                <w:b/>
                <w:color w:val="385522"/>
                <w:spacing w:val="1"/>
                <w:sz w:val="20"/>
                <w:szCs w:val="20"/>
                <w14:ligatures w14:val="none"/>
              </w:rPr>
            </w:pPr>
            <w:r w:rsidRPr="000F15EE">
              <w:rPr>
                <w:rFonts w:ascii="Arial" w:hAnsi="Arial" w:cs="Arial"/>
                <w:color w:val="auto"/>
                <w:kern w:val="2"/>
                <w:sz w:val="20"/>
                <w:szCs w:val="20"/>
              </w:rPr>
              <w:t xml:space="preserve">Potrebno je opozoriti, da je bilo tekom strokovnega posvetovanja v mesecih avgust do november 2024 ugotovljeno, da ima v Sloveniji malo – če sploh kakšen – podatkovni center sprejet Kodeks ravnanja za </w:t>
            </w:r>
            <w:r w:rsidRPr="000F15EE">
              <w:rPr>
                <w:rFonts w:ascii="Arial" w:hAnsi="Arial" w:cs="Arial"/>
                <w:color w:val="auto"/>
                <w:kern w:val="2"/>
                <w:sz w:val="20"/>
                <w:szCs w:val="20"/>
              </w:rPr>
              <w:lastRenderedPageBreak/>
              <w:t>podatkovne centre in da je to potrebno upoštevati v postopkih javnih naročil ter s strani naročnikov najprej vzpostaviti zahteve po sprejemu Kodeksa ravnanja za podatkovne centre, obenem pa omogočiti ustrezna prehodna obdobja</w:t>
            </w:r>
            <w:r w:rsidR="00755DEE" w:rsidRPr="000F15EE">
              <w:rPr>
                <w:rFonts w:ascii="Arial" w:hAnsi="Arial" w:cs="Arial"/>
                <w:color w:val="auto"/>
                <w:kern w:val="2"/>
                <w:sz w:val="20"/>
                <w:szCs w:val="20"/>
              </w:rPr>
              <w:t>. Glede na specifike posameznega projekta in razmere na trgu naj se preuči tudi priporočilo, podano pri TS</w:t>
            </w:r>
            <w:r w:rsidR="006C23D4">
              <w:rPr>
                <w:rFonts w:ascii="Arial" w:hAnsi="Arial" w:cs="Arial"/>
                <w:color w:val="auto"/>
                <w:kern w:val="2"/>
                <w:sz w:val="20"/>
                <w:szCs w:val="20"/>
              </w:rPr>
              <w:t>4</w:t>
            </w:r>
            <w:r w:rsidR="00755DEE" w:rsidRPr="000F15EE">
              <w:rPr>
                <w:rFonts w:ascii="Arial" w:hAnsi="Arial" w:cs="Arial"/>
                <w:color w:val="auto"/>
                <w:kern w:val="2"/>
                <w:sz w:val="20"/>
                <w:szCs w:val="20"/>
              </w:rPr>
              <w:t xml:space="preserve">. </w:t>
            </w:r>
          </w:p>
        </w:tc>
      </w:tr>
      <w:tr w:rsidR="00B334A5" w14:paraId="7EAC5766" w14:textId="77777777" w:rsidTr="00811306">
        <w:tc>
          <w:tcPr>
            <w:tcW w:w="704" w:type="dxa"/>
          </w:tcPr>
          <w:p w14:paraId="1998FB2B" w14:textId="77777777" w:rsidR="00B334A5" w:rsidRDefault="00B334A5" w:rsidP="00545CF0">
            <w:pPr>
              <w:jc w:val="both"/>
              <w:rPr>
                <w:rFonts w:ascii="Arial" w:eastAsia="Arial" w:hAnsi="Arial" w:cs="Arial"/>
                <w:bCs/>
                <w:spacing w:val="1"/>
                <w:kern w:val="0"/>
                <w:sz w:val="20"/>
                <w:szCs w:val="20"/>
                <w14:ligatures w14:val="none"/>
              </w:rPr>
            </w:pPr>
          </w:p>
        </w:tc>
        <w:tc>
          <w:tcPr>
            <w:tcW w:w="8312" w:type="dxa"/>
            <w:gridSpan w:val="3"/>
            <w:shd w:val="clear" w:color="auto" w:fill="9BBA58"/>
          </w:tcPr>
          <w:p w14:paraId="237399D1" w14:textId="77777777" w:rsidR="00B334A5" w:rsidRPr="00B334A5" w:rsidRDefault="00B334A5" w:rsidP="00B334A5">
            <w:pPr>
              <w:jc w:val="both"/>
              <w:rPr>
                <w:rFonts w:ascii="Arial" w:hAnsi="Arial" w:cs="Arial"/>
                <w:b/>
                <w:bCs/>
                <w:sz w:val="20"/>
                <w:szCs w:val="20"/>
              </w:rPr>
            </w:pPr>
            <w:r w:rsidRPr="00B334A5">
              <w:rPr>
                <w:rFonts w:ascii="Arial" w:hAnsi="Arial" w:cs="Arial"/>
                <w:b/>
                <w:bCs/>
                <w:sz w:val="20"/>
                <w:szCs w:val="20"/>
              </w:rPr>
              <w:t xml:space="preserve">Predmet naročila: </w:t>
            </w:r>
          </w:p>
          <w:p w14:paraId="24E09DED" w14:textId="77777777" w:rsidR="00B334A5" w:rsidRPr="00B334A5" w:rsidRDefault="00B334A5" w:rsidP="00B334A5">
            <w:pPr>
              <w:numPr>
                <w:ilvl w:val="0"/>
                <w:numId w:val="1"/>
              </w:numPr>
              <w:jc w:val="both"/>
              <w:rPr>
                <w:rFonts w:ascii="Arial" w:hAnsi="Arial" w:cs="Arial"/>
                <w:b/>
                <w:bCs/>
                <w:sz w:val="20"/>
                <w:szCs w:val="20"/>
              </w:rPr>
            </w:pPr>
            <w:r w:rsidRPr="00B334A5">
              <w:rPr>
                <w:rFonts w:ascii="Arial" w:hAnsi="Arial" w:cs="Arial"/>
                <w:b/>
                <w:bCs/>
                <w:sz w:val="20"/>
                <w:szCs w:val="20"/>
              </w:rPr>
              <w:t xml:space="preserve">razširitev obstoječe zgradbe z infrastrukturo za novi podatkovni center in/ali strežniško sobo </w:t>
            </w:r>
          </w:p>
          <w:p w14:paraId="58174D03" w14:textId="77777777" w:rsidR="00B334A5" w:rsidRPr="00B334A5" w:rsidRDefault="00B334A5" w:rsidP="00B334A5">
            <w:pPr>
              <w:numPr>
                <w:ilvl w:val="0"/>
                <w:numId w:val="1"/>
              </w:numPr>
              <w:jc w:val="both"/>
              <w:rPr>
                <w:rFonts w:ascii="Arial" w:hAnsi="Arial" w:cs="Arial"/>
                <w:b/>
                <w:bCs/>
                <w:sz w:val="20"/>
                <w:szCs w:val="20"/>
              </w:rPr>
            </w:pPr>
            <w:r w:rsidRPr="00B334A5">
              <w:rPr>
                <w:rFonts w:ascii="Arial" w:hAnsi="Arial" w:cs="Arial"/>
                <w:b/>
                <w:bCs/>
                <w:sz w:val="20"/>
                <w:szCs w:val="20"/>
              </w:rPr>
              <w:t xml:space="preserve">nakup kolokacijskih storitev </w:t>
            </w:r>
          </w:p>
          <w:p w14:paraId="10F2439C" w14:textId="77777777" w:rsidR="00B334A5" w:rsidRPr="00B334A5" w:rsidRDefault="00B334A5" w:rsidP="00B334A5">
            <w:pPr>
              <w:numPr>
                <w:ilvl w:val="0"/>
                <w:numId w:val="1"/>
              </w:numPr>
              <w:jc w:val="both"/>
              <w:rPr>
                <w:rFonts w:ascii="Arial" w:hAnsi="Arial" w:cs="Arial"/>
                <w:b/>
                <w:bCs/>
                <w:sz w:val="20"/>
                <w:szCs w:val="20"/>
              </w:rPr>
            </w:pPr>
            <w:r w:rsidRPr="00B334A5">
              <w:rPr>
                <w:rFonts w:ascii="Arial" w:hAnsi="Arial" w:cs="Arial"/>
                <w:b/>
                <w:bCs/>
                <w:sz w:val="20"/>
                <w:szCs w:val="20"/>
              </w:rPr>
              <w:t xml:space="preserve">nakup storitev gostovanja </w:t>
            </w:r>
          </w:p>
          <w:p w14:paraId="39187125" w14:textId="77777777" w:rsidR="00B334A5" w:rsidRPr="00B334A5" w:rsidRDefault="00B334A5" w:rsidP="00B334A5">
            <w:pPr>
              <w:numPr>
                <w:ilvl w:val="0"/>
                <w:numId w:val="1"/>
              </w:numPr>
              <w:jc w:val="both"/>
              <w:rPr>
                <w:rFonts w:ascii="Arial" w:hAnsi="Arial" w:cs="Arial"/>
                <w:b/>
                <w:bCs/>
                <w:sz w:val="20"/>
                <w:szCs w:val="20"/>
              </w:rPr>
            </w:pPr>
            <w:r w:rsidRPr="00B334A5">
              <w:rPr>
                <w:rFonts w:ascii="Arial" w:hAnsi="Arial" w:cs="Arial"/>
                <w:b/>
                <w:bCs/>
                <w:sz w:val="20"/>
                <w:szCs w:val="20"/>
              </w:rPr>
              <w:t xml:space="preserve">nakup storitev v oblaku </w:t>
            </w:r>
          </w:p>
          <w:p w14:paraId="1AD1D385" w14:textId="77777777" w:rsidR="00B334A5" w:rsidRPr="00853340" w:rsidRDefault="00B334A5" w:rsidP="00E02317">
            <w:pPr>
              <w:jc w:val="both"/>
              <w:rPr>
                <w:rFonts w:ascii="Arial" w:hAnsi="Arial" w:cs="Arial"/>
                <w:b/>
                <w:bCs/>
                <w:sz w:val="20"/>
                <w:szCs w:val="20"/>
              </w:rPr>
            </w:pPr>
          </w:p>
        </w:tc>
      </w:tr>
      <w:tr w:rsidR="00C83435" w14:paraId="4DCD7BF5" w14:textId="77777777" w:rsidTr="00C01CF4">
        <w:tc>
          <w:tcPr>
            <w:tcW w:w="704" w:type="dxa"/>
          </w:tcPr>
          <w:p w14:paraId="34AEF72E" w14:textId="15ECF9CB" w:rsidR="00C83435" w:rsidRPr="00EE4AEF" w:rsidRDefault="00D03E17" w:rsidP="00545CF0">
            <w:pPr>
              <w:jc w:val="both"/>
              <w:rPr>
                <w:rFonts w:ascii="Arial" w:eastAsia="Arial" w:hAnsi="Arial" w:cs="Arial"/>
                <w:bCs/>
                <w:spacing w:val="1"/>
                <w:kern w:val="0"/>
                <w:sz w:val="20"/>
                <w:szCs w:val="20"/>
                <w14:ligatures w14:val="none"/>
              </w:rPr>
            </w:pPr>
            <w:r>
              <w:rPr>
                <w:rFonts w:ascii="Arial" w:eastAsia="Arial" w:hAnsi="Arial" w:cs="Arial"/>
                <w:bCs/>
                <w:spacing w:val="1"/>
                <w:kern w:val="0"/>
                <w:sz w:val="20"/>
                <w:szCs w:val="20"/>
                <w14:ligatures w14:val="none"/>
              </w:rPr>
              <w:t>TS</w:t>
            </w:r>
            <w:r w:rsidR="00496874">
              <w:rPr>
                <w:rFonts w:ascii="Arial" w:eastAsia="Arial" w:hAnsi="Arial" w:cs="Arial"/>
                <w:bCs/>
                <w:spacing w:val="1"/>
                <w:kern w:val="0"/>
                <w:sz w:val="20"/>
                <w:szCs w:val="20"/>
                <w14:ligatures w14:val="none"/>
              </w:rPr>
              <w:t>6</w:t>
            </w:r>
          </w:p>
        </w:tc>
        <w:tc>
          <w:tcPr>
            <w:tcW w:w="4111" w:type="dxa"/>
            <w:gridSpan w:val="2"/>
          </w:tcPr>
          <w:p w14:paraId="374D8025" w14:textId="77777777" w:rsidR="00C83435" w:rsidRDefault="00C83435" w:rsidP="00C83435">
            <w:pPr>
              <w:jc w:val="both"/>
              <w:rPr>
                <w:rFonts w:ascii="Arial" w:eastAsia="Arial" w:hAnsi="Arial" w:cs="Arial"/>
                <w:b/>
                <w:color w:val="385522"/>
                <w:spacing w:val="1"/>
                <w:kern w:val="0"/>
                <w:sz w:val="20"/>
                <w:szCs w:val="20"/>
                <w14:ligatures w14:val="none"/>
              </w:rPr>
            </w:pPr>
          </w:p>
        </w:tc>
        <w:tc>
          <w:tcPr>
            <w:tcW w:w="4201" w:type="dxa"/>
          </w:tcPr>
          <w:p w14:paraId="5BA834F8" w14:textId="77777777" w:rsidR="00E02317" w:rsidRDefault="00E02317" w:rsidP="00E02317">
            <w:pPr>
              <w:jc w:val="both"/>
              <w:rPr>
                <w:rFonts w:ascii="Arial" w:hAnsi="Arial" w:cs="Arial"/>
                <w:b/>
                <w:bCs/>
                <w:sz w:val="20"/>
                <w:szCs w:val="20"/>
              </w:rPr>
            </w:pPr>
            <w:r w:rsidRPr="00853340">
              <w:rPr>
                <w:rFonts w:ascii="Arial" w:hAnsi="Arial" w:cs="Arial"/>
                <w:b/>
                <w:bCs/>
                <w:sz w:val="20"/>
                <w:szCs w:val="20"/>
              </w:rPr>
              <w:t xml:space="preserve">Najboljše prakse za sisteme hlajenja – obstoječi podatkovni centri za kolokacijo ali gostovanje – </w:t>
            </w:r>
            <w:r w:rsidRPr="00B334A5">
              <w:rPr>
                <w:rFonts w:ascii="Arial" w:hAnsi="Arial" w:cs="Arial"/>
                <w:b/>
                <w:bCs/>
                <w:i/>
                <w:iCs/>
                <w:sz w:val="20"/>
                <w:szCs w:val="20"/>
              </w:rPr>
              <w:t>Zahtevnejši nivo</w:t>
            </w:r>
          </w:p>
          <w:p w14:paraId="368892BE" w14:textId="77777777" w:rsidR="00B334A5" w:rsidRPr="00853340" w:rsidRDefault="00B334A5" w:rsidP="00E02317">
            <w:pPr>
              <w:jc w:val="both"/>
              <w:rPr>
                <w:rFonts w:ascii="Arial" w:hAnsi="Arial" w:cs="Arial"/>
                <w:b/>
                <w:bCs/>
                <w:sz w:val="20"/>
                <w:szCs w:val="20"/>
              </w:rPr>
            </w:pPr>
          </w:p>
          <w:p w14:paraId="1DF045D7" w14:textId="77777777" w:rsidR="00E02317" w:rsidRPr="00853340" w:rsidRDefault="00E02317" w:rsidP="00E02317">
            <w:pPr>
              <w:jc w:val="both"/>
              <w:rPr>
                <w:rFonts w:ascii="Arial" w:hAnsi="Arial" w:cs="Arial"/>
                <w:sz w:val="20"/>
                <w:szCs w:val="20"/>
              </w:rPr>
            </w:pPr>
            <w:r w:rsidRPr="005A38C2">
              <w:rPr>
                <w:rFonts w:ascii="Arial" w:hAnsi="Arial" w:cs="Arial"/>
                <w:sz w:val="20"/>
                <w:szCs w:val="20"/>
              </w:rPr>
              <w:t>Ponudnik mora dokazati, da podatkovni center vključuje „pričakovane“ najboljše prakse, navedene v naslednjih vidikih zasnove v zadnji različici</w:t>
            </w:r>
            <w:r>
              <w:rPr>
                <w:rFonts w:ascii="Arial" w:hAnsi="Arial" w:cs="Arial"/>
                <w:sz w:val="20"/>
                <w:szCs w:val="20"/>
              </w:rPr>
              <w:t xml:space="preserve"> </w:t>
            </w:r>
            <w:hyperlink r:id="rId29" w:history="1">
              <w:r w:rsidRPr="00853340">
                <w:rPr>
                  <w:rStyle w:val="Hiperpovezava"/>
                  <w:rFonts w:ascii="Arial" w:hAnsi="Arial" w:cs="Arial"/>
                  <w:sz w:val="20"/>
                  <w:szCs w:val="20"/>
                </w:rPr>
                <w:t>Kodeksa ravnanja EU / EN 50600 TR99-1 glede »upravljanja hlajenja« in »nastavitev temperature in vlažnosti«:</w:t>
              </w:r>
            </w:hyperlink>
          </w:p>
          <w:p w14:paraId="25B40187" w14:textId="77777777" w:rsidR="00E02317" w:rsidRPr="00853340" w:rsidRDefault="00E02317" w:rsidP="00E02317">
            <w:pPr>
              <w:numPr>
                <w:ilvl w:val="0"/>
                <w:numId w:val="8"/>
              </w:numPr>
              <w:jc w:val="both"/>
              <w:rPr>
                <w:rFonts w:ascii="Arial" w:hAnsi="Arial" w:cs="Arial"/>
                <w:sz w:val="20"/>
                <w:szCs w:val="20"/>
              </w:rPr>
            </w:pPr>
            <w:r w:rsidRPr="00853340">
              <w:rPr>
                <w:rFonts w:ascii="Arial" w:hAnsi="Arial" w:cs="Arial"/>
                <w:sz w:val="20"/>
                <w:szCs w:val="20"/>
              </w:rPr>
              <w:t>upravljanje in zasnova pretoka zraka,</w:t>
            </w:r>
          </w:p>
          <w:p w14:paraId="05AB6945" w14:textId="77777777" w:rsidR="00E02317" w:rsidRPr="00853340" w:rsidRDefault="00E02317" w:rsidP="00E02317">
            <w:pPr>
              <w:numPr>
                <w:ilvl w:val="0"/>
                <w:numId w:val="8"/>
              </w:numPr>
              <w:jc w:val="both"/>
              <w:rPr>
                <w:rFonts w:ascii="Arial" w:hAnsi="Arial" w:cs="Arial"/>
                <w:sz w:val="20"/>
                <w:szCs w:val="20"/>
              </w:rPr>
            </w:pPr>
            <w:r w:rsidRPr="00853340">
              <w:rPr>
                <w:rFonts w:ascii="Arial" w:hAnsi="Arial" w:cs="Arial"/>
                <w:sz w:val="20"/>
                <w:szCs w:val="20"/>
              </w:rPr>
              <w:t>hladilna naprava,</w:t>
            </w:r>
          </w:p>
          <w:p w14:paraId="1BF22BA6" w14:textId="77777777" w:rsidR="00E02317" w:rsidRDefault="00E02317" w:rsidP="00E02317">
            <w:pPr>
              <w:numPr>
                <w:ilvl w:val="0"/>
                <w:numId w:val="8"/>
              </w:numPr>
              <w:jc w:val="both"/>
              <w:rPr>
                <w:rFonts w:ascii="Arial" w:hAnsi="Arial" w:cs="Arial"/>
                <w:sz w:val="20"/>
                <w:szCs w:val="20"/>
              </w:rPr>
            </w:pPr>
            <w:r w:rsidRPr="00853340">
              <w:rPr>
                <w:rFonts w:ascii="Arial" w:hAnsi="Arial" w:cs="Arial"/>
                <w:sz w:val="20"/>
                <w:szCs w:val="20"/>
              </w:rPr>
              <w:t>klimatske naprave / naprave za ravnanje z zrakom v računalniški sobi.</w:t>
            </w:r>
          </w:p>
          <w:p w14:paraId="34813FE5" w14:textId="77777777" w:rsidR="00E02317" w:rsidRPr="00853340" w:rsidRDefault="00E02317" w:rsidP="00E02317">
            <w:pPr>
              <w:ind w:left="720"/>
              <w:jc w:val="both"/>
              <w:rPr>
                <w:rFonts w:ascii="Arial" w:hAnsi="Arial" w:cs="Arial"/>
                <w:sz w:val="20"/>
                <w:szCs w:val="20"/>
              </w:rPr>
            </w:pPr>
          </w:p>
          <w:p w14:paraId="5D7CFDB2" w14:textId="77777777" w:rsidR="00E02317" w:rsidRDefault="00E02317" w:rsidP="00E02317">
            <w:pPr>
              <w:jc w:val="both"/>
              <w:rPr>
                <w:rFonts w:ascii="Arial" w:hAnsi="Arial" w:cs="Arial"/>
                <w:sz w:val="20"/>
                <w:szCs w:val="20"/>
              </w:rPr>
            </w:pPr>
            <w:r w:rsidRPr="005A38C2">
              <w:rPr>
                <w:rFonts w:ascii="Arial" w:hAnsi="Arial" w:cs="Arial"/>
                <w:sz w:val="20"/>
                <w:szCs w:val="20"/>
              </w:rPr>
              <w:t>Poleg tega je treba uporabiti prakse prostega hlajenja in ekonomičnega hlajenja, kjer je to mogoče (glej tudi priloženo pojasnilo).</w:t>
            </w:r>
          </w:p>
          <w:p w14:paraId="1F1D76C6" w14:textId="77777777" w:rsidR="00E02317" w:rsidRDefault="00E02317" w:rsidP="00E02317">
            <w:pPr>
              <w:jc w:val="both"/>
              <w:rPr>
                <w:rFonts w:ascii="Arial" w:hAnsi="Arial" w:cs="Arial"/>
                <w:sz w:val="20"/>
                <w:szCs w:val="20"/>
              </w:rPr>
            </w:pPr>
          </w:p>
          <w:p w14:paraId="48624CFE" w14:textId="77777777" w:rsidR="00E02317" w:rsidRPr="005A38C2" w:rsidRDefault="00E02317" w:rsidP="00E02317">
            <w:pPr>
              <w:jc w:val="both"/>
              <w:rPr>
                <w:rFonts w:ascii="Arial" w:hAnsi="Arial" w:cs="Arial"/>
                <w:b/>
                <w:bCs/>
                <w:sz w:val="20"/>
                <w:szCs w:val="20"/>
              </w:rPr>
            </w:pPr>
            <w:r w:rsidRPr="005A38C2">
              <w:rPr>
                <w:rFonts w:ascii="Arial" w:hAnsi="Arial" w:cs="Arial"/>
                <w:b/>
                <w:bCs/>
                <w:sz w:val="20"/>
                <w:szCs w:val="20"/>
              </w:rPr>
              <w:t xml:space="preserve">Preverjanje: </w:t>
            </w:r>
          </w:p>
          <w:p w14:paraId="7E30758D" w14:textId="47DD2DD7" w:rsidR="00E02317" w:rsidRDefault="00E02317" w:rsidP="00E02317">
            <w:pPr>
              <w:jc w:val="both"/>
              <w:rPr>
                <w:rFonts w:ascii="Arial" w:hAnsi="Arial" w:cs="Arial"/>
                <w:sz w:val="20"/>
                <w:szCs w:val="20"/>
              </w:rPr>
            </w:pPr>
            <w:r w:rsidRPr="005A38C2">
              <w:rPr>
                <w:rFonts w:ascii="Arial" w:hAnsi="Arial" w:cs="Arial"/>
                <w:sz w:val="20"/>
                <w:szCs w:val="20"/>
              </w:rPr>
              <w:t>Ponudnik mora dokazati [</w:t>
            </w:r>
            <w:r w:rsidRPr="005A38C2">
              <w:rPr>
                <w:rFonts w:ascii="Arial" w:hAnsi="Arial" w:cs="Arial"/>
                <w:i/>
                <w:iCs/>
                <w:sz w:val="20"/>
                <w:szCs w:val="20"/>
              </w:rPr>
              <w:t xml:space="preserve">posodobljeno sodelovanje v </w:t>
            </w:r>
            <w:hyperlink r:id="rId30" w:history="1">
              <w:r w:rsidRPr="00743582">
                <w:rPr>
                  <w:rStyle w:val="Hiperpovezava"/>
                  <w:rFonts w:ascii="Arial" w:hAnsi="Arial" w:cs="Arial"/>
                  <w:i/>
                  <w:iCs/>
                  <w:sz w:val="20"/>
                  <w:szCs w:val="20"/>
                </w:rPr>
                <w:t>Kodeksu ravnanja EU</w:t>
              </w:r>
            </w:hyperlink>
            <w:r w:rsidRPr="005A38C2">
              <w:rPr>
                <w:rFonts w:ascii="Arial" w:hAnsi="Arial" w:cs="Arial"/>
                <w:i/>
                <w:iCs/>
                <w:sz w:val="20"/>
                <w:szCs w:val="20"/>
              </w:rPr>
              <w:t xml:space="preserve"> ali potrdilo tretje osebe o izvajanju pričakovanih praks, kakor so navedene v EN50600 TR99-1</w:t>
            </w:r>
            <w:r w:rsidRPr="005A38C2">
              <w:rPr>
                <w:rFonts w:ascii="Arial" w:hAnsi="Arial" w:cs="Arial"/>
                <w:sz w:val="20"/>
                <w:szCs w:val="20"/>
              </w:rPr>
              <w:t>].</w:t>
            </w:r>
          </w:p>
          <w:p w14:paraId="241A94CA" w14:textId="77777777" w:rsidR="00E02317" w:rsidRDefault="00E02317" w:rsidP="00E02317">
            <w:pPr>
              <w:jc w:val="both"/>
              <w:rPr>
                <w:rFonts w:ascii="Arial" w:hAnsi="Arial" w:cs="Arial"/>
                <w:sz w:val="20"/>
                <w:szCs w:val="20"/>
              </w:rPr>
            </w:pPr>
          </w:p>
          <w:p w14:paraId="70C9ECAE" w14:textId="74704398" w:rsidR="00C83435" w:rsidRDefault="00E02317" w:rsidP="00E02317">
            <w:pPr>
              <w:jc w:val="both"/>
              <w:rPr>
                <w:rFonts w:ascii="Arial" w:hAnsi="Arial" w:cs="Arial"/>
                <w:sz w:val="20"/>
                <w:szCs w:val="20"/>
              </w:rPr>
            </w:pPr>
            <w:r w:rsidRPr="005A38C2">
              <w:rPr>
                <w:rFonts w:ascii="Arial" w:hAnsi="Arial" w:cs="Arial"/>
                <w:sz w:val="20"/>
                <w:szCs w:val="20"/>
              </w:rPr>
              <w:t>Ponudnik mora predložiti izpolnjen obrazec za poročanje</w:t>
            </w:r>
            <w:r w:rsidR="00D34D6C">
              <w:rPr>
                <w:rFonts w:ascii="Arial" w:hAnsi="Arial" w:cs="Arial"/>
                <w:sz w:val="20"/>
                <w:szCs w:val="20"/>
              </w:rPr>
              <w:t xml:space="preserve"> </w:t>
            </w:r>
            <w:r w:rsidR="00D34D6C" w:rsidRPr="00625EDF">
              <w:rPr>
                <w:rFonts w:ascii="Arial" w:hAnsi="Arial" w:cs="Arial"/>
                <w:sz w:val="20"/>
                <w:szCs w:val="20"/>
              </w:rPr>
              <w:t>vložen za registracijo v Kodeks ravnanja EU,</w:t>
            </w:r>
            <w:r w:rsidRPr="005A38C2">
              <w:rPr>
                <w:rFonts w:ascii="Arial" w:hAnsi="Arial" w:cs="Arial"/>
                <w:sz w:val="20"/>
                <w:szCs w:val="20"/>
              </w:rPr>
              <w:t xml:space="preserve"> ki opisuje stanje izvajanja pričakovanih najboljših praks za prej navedene vidike zasnove. </w:t>
            </w:r>
            <w:r w:rsidR="00266E9F">
              <w:rPr>
                <w:rFonts w:ascii="Arial" w:hAnsi="Arial" w:cs="Arial"/>
                <w:sz w:val="20"/>
                <w:szCs w:val="20"/>
              </w:rPr>
              <w:t>N</w:t>
            </w:r>
            <w:r w:rsidRPr="005A38C2">
              <w:rPr>
                <w:rFonts w:ascii="Arial" w:hAnsi="Arial" w:cs="Arial"/>
                <w:sz w:val="20"/>
                <w:szCs w:val="20"/>
              </w:rPr>
              <w:t>aročnik si pridržuje pravico, da od ustrezne tretje osebe zahteva poročilo o reviziji podatkovnega centra, da lahko preveri izvajanje najboljših praks. Zagotoviti je treba utemeljitev za opustitev katere koli od navedenih „pričakovanih“ najboljših praks.</w:t>
            </w:r>
          </w:p>
          <w:p w14:paraId="46129221" w14:textId="77777777" w:rsidR="00F9592D" w:rsidRDefault="00F9592D" w:rsidP="00E02317">
            <w:pPr>
              <w:jc w:val="both"/>
              <w:rPr>
                <w:rFonts w:ascii="Arial" w:hAnsi="Arial" w:cs="Arial"/>
                <w:sz w:val="20"/>
                <w:szCs w:val="20"/>
              </w:rPr>
            </w:pPr>
          </w:p>
          <w:p w14:paraId="3393E11D" w14:textId="77777777" w:rsidR="0047038B" w:rsidRPr="0047038B" w:rsidRDefault="00F9592D" w:rsidP="00E02317">
            <w:pPr>
              <w:jc w:val="both"/>
              <w:rPr>
                <w:rFonts w:ascii="Arial" w:hAnsi="Arial" w:cs="Arial"/>
                <w:b/>
                <w:bCs/>
                <w:sz w:val="20"/>
                <w:szCs w:val="20"/>
              </w:rPr>
            </w:pPr>
            <w:r w:rsidRPr="000F15EE">
              <w:rPr>
                <w:rFonts w:ascii="Arial" w:hAnsi="Arial" w:cs="Arial"/>
                <w:b/>
                <w:bCs/>
                <w:sz w:val="20"/>
                <w:szCs w:val="20"/>
              </w:rPr>
              <w:t>Pojasnilo:</w:t>
            </w:r>
          </w:p>
          <w:p w14:paraId="6CCD0532" w14:textId="2954ECE8" w:rsidR="0047038B" w:rsidRPr="0047038B" w:rsidRDefault="0047038B" w:rsidP="0047038B">
            <w:pPr>
              <w:pStyle w:val="Default"/>
              <w:jc w:val="both"/>
              <w:rPr>
                <w:rFonts w:ascii="Arial" w:hAnsi="Arial" w:cs="Arial"/>
                <w:color w:val="auto"/>
                <w:kern w:val="2"/>
                <w:sz w:val="20"/>
                <w:szCs w:val="20"/>
              </w:rPr>
            </w:pPr>
            <w:r w:rsidRPr="0047038B">
              <w:rPr>
                <w:rFonts w:ascii="Arial" w:hAnsi="Arial" w:cs="Arial"/>
                <w:color w:val="auto"/>
                <w:kern w:val="2"/>
                <w:sz w:val="20"/>
                <w:szCs w:val="20"/>
              </w:rPr>
              <w:t>Prakse pri prostem hlajenju in ekonomičnem hlajenju:</w:t>
            </w:r>
            <w:r>
              <w:rPr>
                <w:rFonts w:ascii="Arial" w:hAnsi="Arial" w:cs="Arial"/>
                <w:color w:val="auto"/>
                <w:kern w:val="2"/>
                <w:sz w:val="20"/>
                <w:szCs w:val="20"/>
              </w:rPr>
              <w:t xml:space="preserve"> </w:t>
            </w:r>
            <w:r w:rsidRPr="0047038B">
              <w:rPr>
                <w:rFonts w:ascii="Arial" w:hAnsi="Arial" w:cs="Arial"/>
                <w:color w:val="auto"/>
                <w:kern w:val="2"/>
                <w:sz w:val="20"/>
                <w:szCs w:val="20"/>
              </w:rPr>
              <w:t xml:space="preserve">Prosto hlajenje/ekonomično hlajenje sta zasnovi hladilnih naprav, ki za </w:t>
            </w:r>
            <w:r w:rsidRPr="0047038B">
              <w:rPr>
                <w:rFonts w:ascii="Arial" w:hAnsi="Arial" w:cs="Arial"/>
                <w:color w:val="auto"/>
                <w:kern w:val="2"/>
                <w:sz w:val="20"/>
                <w:szCs w:val="20"/>
              </w:rPr>
              <w:lastRenderedPageBreak/>
              <w:t xml:space="preserve">izpolnjevanje vseh ali dela zahtev po hlajenju objekta izkoriščajo hladne okoljske pogoje, tako da je odvisnost od kakršne koli oblike mehanskega hlajenja, vključno s kompresorji, nižja ali celo v celoti izvzeta, kar omogoča znatno zmanjšanje porabe energije. Možnosti za uporabo prostega hlajenja so večje v hladnem in suhem podnebju ter na območjih z uporabo višjih nastavljenih vrednosti temperature.   </w:t>
            </w:r>
          </w:p>
          <w:p w14:paraId="2320ADE2" w14:textId="77777777" w:rsidR="00755DEE" w:rsidRDefault="00755DEE" w:rsidP="00E02317">
            <w:pPr>
              <w:jc w:val="both"/>
              <w:rPr>
                <w:rFonts w:ascii="Arial" w:hAnsi="Arial" w:cs="Arial"/>
                <w:sz w:val="20"/>
                <w:szCs w:val="20"/>
              </w:rPr>
            </w:pPr>
          </w:p>
          <w:p w14:paraId="23E39289" w14:textId="77777777" w:rsidR="00755DEE" w:rsidRDefault="00755DEE" w:rsidP="00755DEE">
            <w:pPr>
              <w:jc w:val="both"/>
              <w:rPr>
                <w:rFonts w:ascii="Arial" w:hAnsi="Arial" w:cs="Arial"/>
                <w:b/>
                <w:bCs/>
                <w:sz w:val="20"/>
                <w:szCs w:val="20"/>
              </w:rPr>
            </w:pPr>
            <w:r w:rsidRPr="005A38C2">
              <w:rPr>
                <w:rFonts w:ascii="Arial" w:hAnsi="Arial" w:cs="Arial"/>
                <w:b/>
                <w:bCs/>
                <w:sz w:val="20"/>
                <w:szCs w:val="20"/>
              </w:rPr>
              <w:t>Pr</w:t>
            </w:r>
            <w:r>
              <w:rPr>
                <w:rFonts w:ascii="Arial" w:hAnsi="Arial" w:cs="Arial"/>
                <w:b/>
                <w:bCs/>
                <w:sz w:val="20"/>
                <w:szCs w:val="20"/>
              </w:rPr>
              <w:t>iporočilo</w:t>
            </w:r>
            <w:r w:rsidRPr="005A38C2">
              <w:rPr>
                <w:rFonts w:ascii="Arial" w:hAnsi="Arial" w:cs="Arial"/>
                <w:b/>
                <w:bCs/>
                <w:sz w:val="20"/>
                <w:szCs w:val="20"/>
              </w:rPr>
              <w:t>:</w:t>
            </w:r>
          </w:p>
          <w:p w14:paraId="3339DC84" w14:textId="6BB339E5" w:rsidR="00755DEE" w:rsidRDefault="00F9592D" w:rsidP="006C23D4">
            <w:pPr>
              <w:jc w:val="both"/>
              <w:rPr>
                <w:rFonts w:ascii="Arial" w:eastAsia="Arial" w:hAnsi="Arial" w:cs="Arial"/>
                <w:b/>
                <w:color w:val="385522"/>
                <w:spacing w:val="1"/>
                <w:kern w:val="0"/>
                <w:sz w:val="20"/>
                <w:szCs w:val="20"/>
                <w14:ligatures w14:val="none"/>
              </w:rPr>
            </w:pPr>
            <w:r w:rsidRPr="000F15EE">
              <w:rPr>
                <w:rFonts w:ascii="Arial" w:hAnsi="Arial" w:cs="Arial"/>
                <w:sz w:val="20"/>
                <w:szCs w:val="20"/>
              </w:rPr>
              <w:t>Velja smiselno enako priporočilo kot pri TS</w:t>
            </w:r>
            <w:r w:rsidR="006C23D4">
              <w:rPr>
                <w:rFonts w:ascii="Arial" w:hAnsi="Arial" w:cs="Arial"/>
                <w:sz w:val="20"/>
                <w:szCs w:val="20"/>
              </w:rPr>
              <w:t>4</w:t>
            </w:r>
            <w:r w:rsidRPr="000F15EE">
              <w:rPr>
                <w:rFonts w:ascii="Arial" w:hAnsi="Arial" w:cs="Arial"/>
                <w:sz w:val="20"/>
                <w:szCs w:val="20"/>
              </w:rPr>
              <w:t xml:space="preserve"> in TS</w:t>
            </w:r>
            <w:r w:rsidR="006C23D4">
              <w:rPr>
                <w:rFonts w:ascii="Arial" w:hAnsi="Arial" w:cs="Arial"/>
                <w:sz w:val="20"/>
                <w:szCs w:val="20"/>
              </w:rPr>
              <w:t>5</w:t>
            </w:r>
            <w:r w:rsidRPr="000F15EE">
              <w:rPr>
                <w:rFonts w:ascii="Arial" w:hAnsi="Arial" w:cs="Arial"/>
                <w:sz w:val="20"/>
                <w:szCs w:val="20"/>
              </w:rPr>
              <w:t>.</w:t>
            </w:r>
          </w:p>
        </w:tc>
      </w:tr>
      <w:tr w:rsidR="00D03E17" w14:paraId="368BB1E3" w14:textId="77777777" w:rsidTr="00811306">
        <w:tc>
          <w:tcPr>
            <w:tcW w:w="704" w:type="dxa"/>
          </w:tcPr>
          <w:p w14:paraId="642F9779" w14:textId="77777777" w:rsidR="00D03E17" w:rsidRDefault="00D03E17" w:rsidP="00545CF0">
            <w:pPr>
              <w:jc w:val="both"/>
              <w:rPr>
                <w:rFonts w:ascii="Arial" w:eastAsia="Arial" w:hAnsi="Arial" w:cs="Arial"/>
                <w:bCs/>
                <w:spacing w:val="1"/>
                <w:kern w:val="0"/>
                <w:sz w:val="20"/>
                <w:szCs w:val="20"/>
                <w14:ligatures w14:val="none"/>
              </w:rPr>
            </w:pPr>
          </w:p>
        </w:tc>
        <w:tc>
          <w:tcPr>
            <w:tcW w:w="8312" w:type="dxa"/>
            <w:gridSpan w:val="3"/>
            <w:shd w:val="clear" w:color="auto" w:fill="9BBA58"/>
          </w:tcPr>
          <w:p w14:paraId="69A11CCD" w14:textId="77777777" w:rsidR="00B9225D" w:rsidRPr="000B0E80" w:rsidRDefault="00B9225D" w:rsidP="00B9225D">
            <w:pPr>
              <w:jc w:val="both"/>
              <w:rPr>
                <w:rFonts w:ascii="Arial" w:hAnsi="Arial" w:cs="Arial"/>
                <w:b/>
                <w:bCs/>
                <w:color w:val="860000"/>
                <w:sz w:val="20"/>
                <w:szCs w:val="20"/>
              </w:rPr>
            </w:pPr>
            <w:r w:rsidRPr="000B0E80">
              <w:rPr>
                <w:rFonts w:ascii="Arial" w:hAnsi="Arial" w:cs="Arial"/>
                <w:b/>
                <w:bCs/>
                <w:color w:val="860000"/>
                <w:sz w:val="20"/>
                <w:szCs w:val="20"/>
              </w:rPr>
              <w:t xml:space="preserve">Predmet naročila: </w:t>
            </w:r>
          </w:p>
          <w:p w14:paraId="64DADEE7" w14:textId="77777777" w:rsidR="00B9225D" w:rsidRPr="000B0E80" w:rsidRDefault="00B9225D" w:rsidP="00B9225D">
            <w:pPr>
              <w:numPr>
                <w:ilvl w:val="0"/>
                <w:numId w:val="1"/>
              </w:numPr>
              <w:jc w:val="both"/>
              <w:rPr>
                <w:rFonts w:ascii="Arial" w:hAnsi="Arial" w:cs="Arial"/>
                <w:b/>
                <w:bCs/>
                <w:color w:val="860000"/>
                <w:sz w:val="20"/>
                <w:szCs w:val="20"/>
              </w:rPr>
            </w:pPr>
            <w:r w:rsidRPr="000B0E80">
              <w:rPr>
                <w:rFonts w:ascii="Arial" w:hAnsi="Arial" w:cs="Arial"/>
                <w:b/>
                <w:bCs/>
                <w:color w:val="860000"/>
                <w:sz w:val="20"/>
                <w:szCs w:val="20"/>
              </w:rPr>
              <w:t>izgradnja novega podatkovnega centra nad 1 MW</w:t>
            </w:r>
          </w:p>
          <w:p w14:paraId="3BA63C7A" w14:textId="77777777" w:rsidR="00B9225D" w:rsidRPr="000B0E80" w:rsidRDefault="00B9225D" w:rsidP="00B9225D">
            <w:pPr>
              <w:numPr>
                <w:ilvl w:val="0"/>
                <w:numId w:val="1"/>
              </w:numPr>
              <w:jc w:val="both"/>
              <w:rPr>
                <w:rFonts w:ascii="Arial" w:hAnsi="Arial" w:cs="Arial"/>
                <w:b/>
                <w:bCs/>
                <w:color w:val="860000"/>
                <w:sz w:val="20"/>
                <w:szCs w:val="20"/>
              </w:rPr>
            </w:pPr>
            <w:r w:rsidRPr="000B0E80">
              <w:rPr>
                <w:rFonts w:ascii="Arial" w:hAnsi="Arial" w:cs="Arial"/>
                <w:b/>
                <w:bCs/>
                <w:color w:val="860000"/>
                <w:sz w:val="20"/>
                <w:szCs w:val="20"/>
              </w:rPr>
              <w:t xml:space="preserve">razširitev obstoječe zgradbe z infrastrukturo za novi podatkovni center in strežniško sobo </w:t>
            </w:r>
          </w:p>
          <w:p w14:paraId="736AF81F" w14:textId="77777777" w:rsidR="00B9225D" w:rsidRPr="000B0E80" w:rsidRDefault="00B9225D" w:rsidP="00B9225D">
            <w:pPr>
              <w:numPr>
                <w:ilvl w:val="0"/>
                <w:numId w:val="1"/>
              </w:numPr>
              <w:jc w:val="both"/>
              <w:rPr>
                <w:rFonts w:ascii="Arial" w:hAnsi="Arial" w:cs="Arial"/>
                <w:b/>
                <w:bCs/>
                <w:color w:val="860000"/>
                <w:sz w:val="20"/>
                <w:szCs w:val="20"/>
              </w:rPr>
            </w:pPr>
            <w:r w:rsidRPr="000B0E80">
              <w:rPr>
                <w:rFonts w:ascii="Arial" w:hAnsi="Arial" w:cs="Arial"/>
                <w:b/>
                <w:bCs/>
                <w:color w:val="860000"/>
                <w:sz w:val="20"/>
                <w:szCs w:val="20"/>
              </w:rPr>
              <w:t xml:space="preserve">konsolidacija obstoječih strežniških sob in/ali podatkovnih centrov v nove ali obstoječe podatkovne centre </w:t>
            </w:r>
          </w:p>
          <w:p w14:paraId="69BDBB5D" w14:textId="77777777" w:rsidR="00B9225D" w:rsidRPr="000B0E80" w:rsidRDefault="00B9225D" w:rsidP="00B9225D">
            <w:pPr>
              <w:jc w:val="both"/>
              <w:rPr>
                <w:rFonts w:ascii="Arial" w:hAnsi="Arial" w:cs="Arial"/>
                <w:b/>
                <w:bCs/>
                <w:color w:val="860000"/>
                <w:sz w:val="20"/>
                <w:szCs w:val="20"/>
              </w:rPr>
            </w:pPr>
            <w:r w:rsidRPr="000B0E80">
              <w:rPr>
                <w:rFonts w:ascii="Arial" w:hAnsi="Arial" w:cs="Arial"/>
                <w:b/>
                <w:bCs/>
                <w:color w:val="860000"/>
                <w:sz w:val="20"/>
                <w:szCs w:val="20"/>
              </w:rPr>
              <w:t>vse s skupnim nazivnim vnosom energije nad 1 MW, ki morajo izrabiti odvečno toploto, razen če to ni tehnično ali ekonomsko izvedljivo</w:t>
            </w:r>
          </w:p>
          <w:p w14:paraId="06BA5CED" w14:textId="77777777" w:rsidR="00D03E17" w:rsidRPr="00853340" w:rsidRDefault="00D03E17" w:rsidP="00E02317">
            <w:pPr>
              <w:jc w:val="both"/>
              <w:rPr>
                <w:rFonts w:ascii="Arial" w:hAnsi="Arial" w:cs="Arial"/>
                <w:b/>
                <w:bCs/>
                <w:sz w:val="20"/>
                <w:szCs w:val="20"/>
              </w:rPr>
            </w:pPr>
          </w:p>
        </w:tc>
      </w:tr>
      <w:tr w:rsidR="00C83435" w14:paraId="17E258A8" w14:textId="77777777" w:rsidTr="00C01CF4">
        <w:tc>
          <w:tcPr>
            <w:tcW w:w="704" w:type="dxa"/>
          </w:tcPr>
          <w:p w14:paraId="0755E5CC" w14:textId="1B547B3C" w:rsidR="00C83435" w:rsidRPr="00EE4AEF" w:rsidRDefault="00B9225D" w:rsidP="00545CF0">
            <w:pPr>
              <w:jc w:val="both"/>
              <w:rPr>
                <w:rFonts w:ascii="Arial" w:eastAsia="Arial" w:hAnsi="Arial" w:cs="Arial"/>
                <w:bCs/>
                <w:spacing w:val="1"/>
                <w:kern w:val="0"/>
                <w:sz w:val="20"/>
                <w:szCs w:val="20"/>
                <w14:ligatures w14:val="none"/>
              </w:rPr>
            </w:pPr>
            <w:r>
              <w:rPr>
                <w:rFonts w:ascii="Arial" w:eastAsia="Arial" w:hAnsi="Arial" w:cs="Arial"/>
                <w:bCs/>
                <w:spacing w:val="1"/>
                <w:kern w:val="0"/>
                <w:sz w:val="20"/>
                <w:szCs w:val="20"/>
                <w14:ligatures w14:val="none"/>
              </w:rPr>
              <w:t>TS</w:t>
            </w:r>
            <w:r w:rsidR="00496874">
              <w:rPr>
                <w:rFonts w:ascii="Arial" w:eastAsia="Arial" w:hAnsi="Arial" w:cs="Arial"/>
                <w:bCs/>
                <w:spacing w:val="1"/>
                <w:kern w:val="0"/>
                <w:sz w:val="20"/>
                <w:szCs w:val="20"/>
                <w14:ligatures w14:val="none"/>
              </w:rPr>
              <w:t>7</w:t>
            </w:r>
          </w:p>
        </w:tc>
        <w:tc>
          <w:tcPr>
            <w:tcW w:w="4111" w:type="dxa"/>
            <w:gridSpan w:val="2"/>
          </w:tcPr>
          <w:p w14:paraId="77BDC895" w14:textId="77777777" w:rsidR="00E02317" w:rsidRPr="00DB3ABE" w:rsidRDefault="00E02317" w:rsidP="00E02317">
            <w:pPr>
              <w:jc w:val="both"/>
              <w:rPr>
                <w:rFonts w:ascii="Arial" w:hAnsi="Arial" w:cs="Arial"/>
                <w:b/>
                <w:bCs/>
                <w:color w:val="EE0000"/>
                <w:sz w:val="20"/>
                <w:szCs w:val="20"/>
              </w:rPr>
            </w:pPr>
            <w:r w:rsidRPr="00DB3ABE">
              <w:rPr>
                <w:rFonts w:ascii="Arial" w:hAnsi="Arial" w:cs="Arial"/>
                <w:b/>
                <w:bCs/>
                <w:color w:val="EE0000"/>
                <w:sz w:val="20"/>
                <w:szCs w:val="20"/>
              </w:rPr>
              <w:t xml:space="preserve">Pripravljenost za ponovno uporabo odpadne toplote – </w:t>
            </w:r>
            <w:r w:rsidRPr="00DB3ABE">
              <w:rPr>
                <w:rFonts w:ascii="Arial" w:hAnsi="Arial" w:cs="Arial"/>
                <w:b/>
                <w:bCs/>
                <w:i/>
                <w:iCs/>
                <w:color w:val="EE0000"/>
                <w:sz w:val="20"/>
                <w:szCs w:val="20"/>
              </w:rPr>
              <w:t>Osnovni nivo</w:t>
            </w:r>
          </w:p>
          <w:p w14:paraId="754D5F0A" w14:textId="77777777" w:rsidR="00E02317" w:rsidRPr="00DB3ABE" w:rsidRDefault="00E02317" w:rsidP="00E02317">
            <w:pPr>
              <w:jc w:val="both"/>
              <w:rPr>
                <w:rFonts w:ascii="Arial" w:hAnsi="Arial" w:cs="Arial"/>
                <w:b/>
                <w:bCs/>
                <w:color w:val="70AD47" w:themeColor="accent6"/>
                <w:sz w:val="20"/>
                <w:szCs w:val="20"/>
              </w:rPr>
            </w:pPr>
          </w:p>
          <w:p w14:paraId="4604B46C" w14:textId="77777777" w:rsidR="00E02317" w:rsidRPr="00DB3ABE" w:rsidRDefault="00E02317" w:rsidP="00E02317">
            <w:pPr>
              <w:jc w:val="both"/>
              <w:rPr>
                <w:rFonts w:ascii="Arial" w:hAnsi="Arial" w:cs="Arial"/>
                <w:color w:val="70AD47" w:themeColor="accent6"/>
                <w:sz w:val="20"/>
                <w:szCs w:val="20"/>
              </w:rPr>
            </w:pPr>
          </w:p>
          <w:p w14:paraId="3D8A7EE8" w14:textId="3698889C" w:rsidR="00E02317" w:rsidRPr="00F149A2" w:rsidRDefault="00C613CF" w:rsidP="00E02317">
            <w:pPr>
              <w:jc w:val="both"/>
              <w:rPr>
                <w:rFonts w:ascii="Arial" w:hAnsi="Arial" w:cs="Arial"/>
                <w:b/>
                <w:bCs/>
                <w:color w:val="EE0000"/>
                <w:sz w:val="20"/>
                <w:szCs w:val="20"/>
              </w:rPr>
            </w:pPr>
            <w:r w:rsidRPr="00DB3ABE">
              <w:rPr>
                <w:rFonts w:ascii="Arial" w:hAnsi="Arial" w:cs="Arial"/>
                <w:color w:val="EE0000"/>
                <w:sz w:val="20"/>
                <w:szCs w:val="20"/>
              </w:rPr>
              <w:t>Podatkovni centri s skupnim nazivnim vnosom energije nad 1 MW morajo izrabiti odvečno toploto, razen če to ni tehnično ali ekonomsko izvedljivo.</w:t>
            </w:r>
            <w:r w:rsidR="00F149A2" w:rsidRPr="00F149A2">
              <w:rPr>
                <w:rFonts w:ascii="Arial" w:hAnsi="Arial" w:cs="Arial"/>
                <w:b/>
                <w:bCs/>
                <w:color w:val="EE0000"/>
                <w:sz w:val="20"/>
                <w:szCs w:val="20"/>
              </w:rPr>
              <w:t xml:space="preserve"> </w:t>
            </w:r>
            <w:r w:rsidR="00E02317" w:rsidRPr="00F149A2">
              <w:rPr>
                <w:rFonts w:ascii="Arial" w:hAnsi="Arial" w:cs="Arial"/>
                <w:color w:val="EE0000"/>
                <w:sz w:val="20"/>
                <w:szCs w:val="20"/>
              </w:rPr>
              <w:t xml:space="preserve">Podatkovni center ali strežniška soba mora zagotavljati cevne napeljave za prihodnje cevovode za prenos toplote ali druge značilnosti, ki omogočajo inštalacijo vodovodnega sistema, ki dosega vse vrste strežniških omar, tako da jih je v kasnejši fazi mogoče enostavno nadgraditi s tekočinskim hlajenjem. </w:t>
            </w:r>
          </w:p>
          <w:p w14:paraId="053364CC" w14:textId="77777777" w:rsidR="00E02317" w:rsidRPr="00DB3ABE" w:rsidRDefault="00E02317" w:rsidP="00E02317">
            <w:pPr>
              <w:jc w:val="both"/>
              <w:rPr>
                <w:rFonts w:ascii="Arial" w:hAnsi="Arial" w:cs="Arial"/>
                <w:color w:val="EE0000"/>
                <w:sz w:val="20"/>
                <w:szCs w:val="20"/>
              </w:rPr>
            </w:pPr>
          </w:p>
          <w:p w14:paraId="1FAEA9C6" w14:textId="77777777" w:rsidR="00E02317" w:rsidRPr="00DB3ABE" w:rsidRDefault="00E02317" w:rsidP="00E02317">
            <w:pPr>
              <w:jc w:val="both"/>
              <w:rPr>
                <w:rFonts w:ascii="Arial" w:hAnsi="Arial" w:cs="Arial"/>
                <w:color w:val="EE0000"/>
                <w:sz w:val="20"/>
                <w:szCs w:val="20"/>
              </w:rPr>
            </w:pPr>
            <w:r w:rsidRPr="00DB3ABE">
              <w:rPr>
                <w:rFonts w:ascii="Arial" w:hAnsi="Arial" w:cs="Arial"/>
                <w:b/>
                <w:bCs/>
                <w:color w:val="EE0000"/>
                <w:sz w:val="20"/>
                <w:szCs w:val="20"/>
              </w:rPr>
              <w:t>Preverjanje:</w:t>
            </w:r>
            <w:r w:rsidRPr="00DB3ABE">
              <w:rPr>
                <w:rFonts w:ascii="Arial" w:hAnsi="Arial" w:cs="Arial"/>
                <w:color w:val="EE0000"/>
                <w:sz w:val="20"/>
                <w:szCs w:val="20"/>
              </w:rPr>
              <w:t xml:space="preserve"> </w:t>
            </w:r>
          </w:p>
          <w:p w14:paraId="0AB3C53C" w14:textId="77777777" w:rsidR="00E02317" w:rsidRPr="00DB3ABE" w:rsidRDefault="00E02317" w:rsidP="00E02317">
            <w:pPr>
              <w:jc w:val="both"/>
              <w:rPr>
                <w:rFonts w:ascii="Arial" w:hAnsi="Arial" w:cs="Arial"/>
                <w:color w:val="EE0000"/>
                <w:sz w:val="20"/>
                <w:szCs w:val="20"/>
              </w:rPr>
            </w:pPr>
            <w:r w:rsidRPr="00DB3ABE">
              <w:rPr>
                <w:rFonts w:ascii="Arial" w:hAnsi="Arial" w:cs="Arial"/>
                <w:color w:val="EE0000"/>
                <w:sz w:val="20"/>
                <w:szCs w:val="20"/>
              </w:rPr>
              <w:t xml:space="preserve">Ponudnik mora predložiti tehnične risbe, ki prikazujejo namestitev vodovodnega sistema z odcepi do vsake vrste strežnikov ali zasnovo, ki je načrtovana tako, da jo je mogoče enostavno nadgraditi. </w:t>
            </w:r>
          </w:p>
          <w:p w14:paraId="2DA23A08" w14:textId="77777777" w:rsidR="00E02317" w:rsidRPr="00DB3ABE" w:rsidRDefault="00E02317" w:rsidP="00E02317">
            <w:pPr>
              <w:jc w:val="both"/>
              <w:rPr>
                <w:rFonts w:ascii="Arial" w:hAnsi="Arial" w:cs="Arial"/>
                <w:color w:val="EE0000"/>
                <w:sz w:val="20"/>
                <w:szCs w:val="20"/>
              </w:rPr>
            </w:pPr>
          </w:p>
          <w:p w14:paraId="055D802E" w14:textId="79B6CF11" w:rsidR="00C83435" w:rsidRPr="00DB3ABE" w:rsidRDefault="00112623" w:rsidP="00E02317">
            <w:pPr>
              <w:jc w:val="both"/>
              <w:rPr>
                <w:rFonts w:ascii="Arial" w:eastAsia="Arial" w:hAnsi="Arial" w:cs="Arial"/>
                <w:b/>
                <w:color w:val="70AD47" w:themeColor="accent6"/>
                <w:spacing w:val="1"/>
                <w:kern w:val="0"/>
                <w:sz w:val="20"/>
                <w:szCs w:val="20"/>
                <w14:ligatures w14:val="none"/>
              </w:rPr>
            </w:pPr>
            <w:r>
              <w:rPr>
                <w:rFonts w:ascii="Arial" w:hAnsi="Arial" w:cs="Arial"/>
                <w:color w:val="EE0000"/>
                <w:sz w:val="20"/>
                <w:szCs w:val="20"/>
              </w:rPr>
              <w:t>N</w:t>
            </w:r>
            <w:r w:rsidR="00E02317" w:rsidRPr="00DB3ABE">
              <w:rPr>
                <w:rFonts w:ascii="Arial" w:hAnsi="Arial" w:cs="Arial"/>
                <w:color w:val="EE0000"/>
                <w:sz w:val="20"/>
                <w:szCs w:val="20"/>
              </w:rPr>
              <w:t>aročnik si pridržuje pravico, da od ustrezne tretje osebe zahteva poročilo o reviziji podatkovnega centra, da lahko preveri izvajanje t</w:t>
            </w:r>
            <w:r w:rsidR="00AB0611" w:rsidRPr="00DB3ABE">
              <w:rPr>
                <w:rFonts w:ascii="Arial" w:hAnsi="Arial" w:cs="Arial"/>
                <w:color w:val="EE0000"/>
                <w:sz w:val="20"/>
                <w:szCs w:val="20"/>
              </w:rPr>
              <w:t>e zahteve</w:t>
            </w:r>
            <w:r w:rsidR="00E02317" w:rsidRPr="00DB3ABE">
              <w:rPr>
                <w:rFonts w:ascii="Arial" w:hAnsi="Arial" w:cs="Arial"/>
                <w:color w:val="EE0000"/>
                <w:sz w:val="20"/>
                <w:szCs w:val="20"/>
              </w:rPr>
              <w:t>.</w:t>
            </w:r>
          </w:p>
        </w:tc>
        <w:tc>
          <w:tcPr>
            <w:tcW w:w="4201" w:type="dxa"/>
          </w:tcPr>
          <w:p w14:paraId="757FC5F3" w14:textId="0F0C9F7C" w:rsidR="00B9225D" w:rsidRDefault="00B9225D" w:rsidP="00B9225D">
            <w:pPr>
              <w:pStyle w:val="Default"/>
              <w:jc w:val="both"/>
              <w:rPr>
                <w:rFonts w:ascii="Arial" w:hAnsi="Arial" w:cs="Arial"/>
                <w:b/>
                <w:bCs/>
                <w:i/>
                <w:iCs/>
                <w:color w:val="auto"/>
                <w:kern w:val="2"/>
                <w:sz w:val="20"/>
                <w:szCs w:val="20"/>
              </w:rPr>
            </w:pPr>
            <w:r w:rsidRPr="00B9225D">
              <w:rPr>
                <w:rFonts w:ascii="Arial" w:hAnsi="Arial" w:cs="Arial"/>
                <w:b/>
                <w:bCs/>
                <w:color w:val="auto"/>
                <w:kern w:val="2"/>
                <w:sz w:val="20"/>
                <w:szCs w:val="20"/>
              </w:rPr>
              <w:t>Ponovna uporaba toplote</w:t>
            </w:r>
            <w:r w:rsidR="000F15EE" w:rsidRPr="00E22A8B">
              <w:rPr>
                <w:rFonts w:ascii="Arial" w:hAnsi="Arial" w:cs="Arial"/>
                <w:b/>
                <w:bCs/>
                <w:sz w:val="20"/>
                <w:szCs w:val="20"/>
              </w:rPr>
              <w:t xml:space="preserve"> – </w:t>
            </w:r>
            <w:r w:rsidRPr="00B9225D">
              <w:rPr>
                <w:rFonts w:ascii="Arial" w:hAnsi="Arial" w:cs="Arial"/>
                <w:b/>
                <w:bCs/>
                <w:i/>
                <w:iCs/>
                <w:color w:val="auto"/>
                <w:kern w:val="2"/>
                <w:sz w:val="20"/>
                <w:szCs w:val="20"/>
              </w:rPr>
              <w:t>Zahtevnejši nivo</w:t>
            </w:r>
          </w:p>
          <w:p w14:paraId="0EB5E9FB" w14:textId="77777777" w:rsidR="00B9225D" w:rsidRPr="00B9225D" w:rsidRDefault="00B9225D" w:rsidP="00B9225D">
            <w:pPr>
              <w:pStyle w:val="Default"/>
              <w:jc w:val="both"/>
              <w:rPr>
                <w:rFonts w:ascii="Arial" w:hAnsi="Arial" w:cs="Arial"/>
                <w:b/>
                <w:bCs/>
                <w:color w:val="auto"/>
                <w:kern w:val="2"/>
                <w:sz w:val="20"/>
                <w:szCs w:val="20"/>
              </w:rPr>
            </w:pPr>
          </w:p>
          <w:p w14:paraId="41D9EA8C" w14:textId="5B906024" w:rsidR="00B9225D" w:rsidRPr="00B9225D" w:rsidRDefault="00B9225D" w:rsidP="00B9225D">
            <w:pPr>
              <w:jc w:val="both"/>
              <w:rPr>
                <w:rFonts w:ascii="Arial" w:hAnsi="Arial" w:cs="Arial"/>
                <w:i/>
                <w:iCs/>
                <w:sz w:val="20"/>
                <w:szCs w:val="20"/>
              </w:rPr>
            </w:pPr>
            <w:r w:rsidRPr="00B9225D">
              <w:rPr>
                <w:rFonts w:ascii="Arial" w:hAnsi="Arial" w:cs="Arial"/>
                <w:i/>
                <w:iCs/>
                <w:sz w:val="20"/>
                <w:szCs w:val="20"/>
              </w:rPr>
              <w:t>T</w:t>
            </w:r>
            <w:r w:rsidR="00AB0611">
              <w:rPr>
                <w:rFonts w:ascii="Arial" w:hAnsi="Arial" w:cs="Arial"/>
                <w:i/>
                <w:iCs/>
                <w:sz w:val="20"/>
                <w:szCs w:val="20"/>
              </w:rPr>
              <w:t>o</w:t>
            </w:r>
            <w:r w:rsidR="00F05A29">
              <w:rPr>
                <w:rFonts w:ascii="Arial" w:hAnsi="Arial" w:cs="Arial"/>
                <w:i/>
                <w:iCs/>
                <w:sz w:val="20"/>
                <w:szCs w:val="20"/>
              </w:rPr>
              <w:t xml:space="preserve"> </w:t>
            </w:r>
            <w:r w:rsidR="00AB0611">
              <w:rPr>
                <w:rFonts w:ascii="Arial" w:hAnsi="Arial" w:cs="Arial"/>
                <w:i/>
                <w:iCs/>
                <w:sz w:val="20"/>
                <w:szCs w:val="20"/>
              </w:rPr>
              <w:t>zahtevo</w:t>
            </w:r>
            <w:r w:rsidRPr="00B9225D">
              <w:rPr>
                <w:rFonts w:ascii="Arial" w:hAnsi="Arial" w:cs="Arial"/>
                <w:i/>
                <w:iCs/>
                <w:sz w:val="20"/>
                <w:szCs w:val="20"/>
              </w:rPr>
              <w:t xml:space="preserve"> je treba prilagoditi lokalni razpoložljivosti sistemov in omrežij daljinskega ogrevanja, ki lahko vključujejo tudi ponovno uporabo toplote na isti lokaciji. Če je do teh sistemov omogočen enostaven dostop, se priporoča določitev celovite tehnične specifikacije. </w:t>
            </w:r>
          </w:p>
          <w:p w14:paraId="27C6C7CE" w14:textId="77777777" w:rsidR="00B9225D" w:rsidRDefault="00B9225D" w:rsidP="00B9225D">
            <w:pPr>
              <w:pStyle w:val="Default"/>
              <w:jc w:val="both"/>
              <w:rPr>
                <w:sz w:val="18"/>
                <w:szCs w:val="18"/>
              </w:rPr>
            </w:pPr>
          </w:p>
          <w:p w14:paraId="6007CCA8" w14:textId="60B03813" w:rsidR="00B9225D" w:rsidRDefault="00B9225D" w:rsidP="00B9225D">
            <w:pPr>
              <w:pStyle w:val="Default"/>
              <w:jc w:val="both"/>
              <w:rPr>
                <w:rFonts w:ascii="Arial" w:hAnsi="Arial" w:cs="Arial"/>
                <w:color w:val="auto"/>
                <w:kern w:val="2"/>
                <w:sz w:val="20"/>
                <w:szCs w:val="20"/>
              </w:rPr>
            </w:pPr>
            <w:r w:rsidRPr="00B9225D">
              <w:rPr>
                <w:rFonts w:ascii="Arial" w:hAnsi="Arial" w:cs="Arial"/>
                <w:color w:val="auto"/>
                <w:kern w:val="2"/>
                <w:sz w:val="20"/>
                <w:szCs w:val="20"/>
              </w:rPr>
              <w:t>Podatkovni center mora biti priključen na sistem in oskrbovati lokalne potrošnike toplote z [odstotek določi javni naročnik] % odpadne toplote podatkovnega centra, izražene kot faktor ponovne uporabe energije (ERF)</w:t>
            </w:r>
            <w:r>
              <w:rPr>
                <w:rFonts w:ascii="Arial" w:hAnsi="Arial" w:cs="Arial"/>
                <w:color w:val="auto"/>
                <w:kern w:val="2"/>
                <w:sz w:val="20"/>
                <w:szCs w:val="20"/>
              </w:rPr>
              <w:t>.</w:t>
            </w:r>
            <w:r>
              <w:rPr>
                <w:rStyle w:val="Sprotnaopomba-sklic"/>
                <w:rFonts w:ascii="Arial" w:hAnsi="Arial" w:cs="Arial"/>
                <w:color w:val="auto"/>
                <w:kern w:val="2"/>
                <w:sz w:val="20"/>
                <w:szCs w:val="20"/>
              </w:rPr>
              <w:footnoteReference w:id="10"/>
            </w:r>
            <w:r w:rsidRPr="00B9225D">
              <w:rPr>
                <w:rFonts w:ascii="Arial" w:hAnsi="Arial" w:cs="Arial"/>
                <w:color w:val="auto"/>
                <w:kern w:val="2"/>
                <w:sz w:val="20"/>
                <w:szCs w:val="20"/>
              </w:rPr>
              <w:t xml:space="preserve"> </w:t>
            </w:r>
          </w:p>
          <w:p w14:paraId="1E6E1F41" w14:textId="77777777" w:rsidR="00A74DB6" w:rsidRPr="00B9225D" w:rsidRDefault="00A74DB6" w:rsidP="00B9225D">
            <w:pPr>
              <w:pStyle w:val="Default"/>
              <w:jc w:val="both"/>
              <w:rPr>
                <w:rFonts w:ascii="Arial" w:hAnsi="Arial" w:cs="Arial"/>
                <w:color w:val="auto"/>
                <w:kern w:val="2"/>
                <w:sz w:val="20"/>
                <w:szCs w:val="20"/>
              </w:rPr>
            </w:pPr>
          </w:p>
          <w:p w14:paraId="14084484" w14:textId="77777777" w:rsidR="00A74DB6" w:rsidRPr="00A74DB6" w:rsidRDefault="00B9225D" w:rsidP="00A74DB6">
            <w:pPr>
              <w:jc w:val="both"/>
              <w:rPr>
                <w:rFonts w:ascii="Arial" w:hAnsi="Arial" w:cs="Arial"/>
                <w:sz w:val="20"/>
                <w:szCs w:val="20"/>
              </w:rPr>
            </w:pPr>
            <w:r w:rsidRPr="00B9225D">
              <w:rPr>
                <w:rFonts w:ascii="Arial" w:hAnsi="Arial" w:cs="Arial"/>
                <w:sz w:val="20"/>
                <w:szCs w:val="20"/>
              </w:rPr>
              <w:t xml:space="preserve"> </w:t>
            </w:r>
            <w:r w:rsidR="00A74DB6" w:rsidRPr="00A74DB6">
              <w:rPr>
                <w:rFonts w:ascii="Arial" w:hAnsi="Arial" w:cs="Arial"/>
                <w:sz w:val="20"/>
                <w:szCs w:val="20"/>
              </w:rPr>
              <w:t xml:space="preserve">ERF mora biti izračunan za vsako napravo skladno z </w:t>
            </w:r>
            <w:hyperlink r:id="rId31" w:history="1">
              <w:r w:rsidR="00A74DB6" w:rsidRPr="00A74DB6">
                <w:rPr>
                  <w:rStyle w:val="Hiperpovezava"/>
                  <w:rFonts w:ascii="Arial" w:hAnsi="Arial" w:cs="Arial"/>
                  <w:sz w:val="20"/>
                  <w:szCs w:val="20"/>
                </w:rPr>
                <w:t>EN 50600-4-6:2020</w:t>
              </w:r>
            </w:hyperlink>
            <w:r w:rsidR="00A74DB6" w:rsidRPr="00A74DB6">
              <w:rPr>
                <w:rFonts w:ascii="Arial" w:hAnsi="Arial" w:cs="Arial"/>
                <w:sz w:val="20"/>
                <w:szCs w:val="20"/>
              </w:rPr>
              <w:t xml:space="preserve"> ali enakovrednim standardom. </w:t>
            </w:r>
          </w:p>
          <w:p w14:paraId="1C392F95" w14:textId="77777777" w:rsidR="00A74DB6" w:rsidRDefault="00A74DB6" w:rsidP="00A74DB6">
            <w:pPr>
              <w:jc w:val="both"/>
              <w:rPr>
                <w:rFonts w:ascii="Arial" w:hAnsi="Arial" w:cs="Arial"/>
                <w:sz w:val="20"/>
                <w:szCs w:val="20"/>
              </w:rPr>
            </w:pPr>
          </w:p>
          <w:p w14:paraId="58E3205F" w14:textId="77777777" w:rsidR="00A74DB6" w:rsidRPr="00A74DB6" w:rsidRDefault="00A74DB6" w:rsidP="00A74DB6">
            <w:pPr>
              <w:jc w:val="both"/>
              <w:rPr>
                <w:rFonts w:ascii="Arial" w:hAnsi="Arial" w:cs="Arial"/>
                <w:b/>
                <w:bCs/>
                <w:sz w:val="20"/>
                <w:szCs w:val="20"/>
              </w:rPr>
            </w:pPr>
            <w:r w:rsidRPr="00A74DB6">
              <w:rPr>
                <w:rFonts w:ascii="Arial" w:hAnsi="Arial" w:cs="Arial"/>
                <w:b/>
                <w:bCs/>
                <w:sz w:val="20"/>
                <w:szCs w:val="20"/>
              </w:rPr>
              <w:t xml:space="preserve">Preverjanje: </w:t>
            </w:r>
          </w:p>
          <w:p w14:paraId="1C5DD406" w14:textId="77777777" w:rsidR="00A74DB6" w:rsidRPr="00A74DB6" w:rsidRDefault="00A74DB6" w:rsidP="00A74DB6">
            <w:pPr>
              <w:jc w:val="both"/>
              <w:rPr>
                <w:rFonts w:ascii="Arial" w:hAnsi="Arial" w:cs="Arial"/>
                <w:sz w:val="20"/>
                <w:szCs w:val="20"/>
              </w:rPr>
            </w:pPr>
            <w:r w:rsidRPr="00A74DB6">
              <w:rPr>
                <w:rFonts w:ascii="Arial" w:hAnsi="Arial" w:cs="Arial"/>
                <w:sz w:val="20"/>
                <w:szCs w:val="20"/>
              </w:rPr>
              <w:t xml:space="preserve">Ponudnik mora predložiti izračune in tehnične risbe za sisteme ponovne uporabe toplote in njihove priključitve. Od upravljavca omrežja je treba pridobiti dokazila o pogodbenih dogovorih ali pisma o nameri. </w:t>
            </w:r>
          </w:p>
          <w:p w14:paraId="569BB927" w14:textId="77777777" w:rsidR="00A74DB6" w:rsidRPr="00A74DB6" w:rsidRDefault="00A74DB6" w:rsidP="00A74DB6">
            <w:pPr>
              <w:jc w:val="both"/>
              <w:rPr>
                <w:rFonts w:ascii="Arial" w:hAnsi="Arial" w:cs="Arial"/>
                <w:sz w:val="20"/>
                <w:szCs w:val="20"/>
              </w:rPr>
            </w:pPr>
          </w:p>
          <w:p w14:paraId="2F1AF83E" w14:textId="69D12562" w:rsidR="00A74DB6" w:rsidRPr="00A74DB6" w:rsidRDefault="00A74DB6" w:rsidP="00A74DB6">
            <w:pPr>
              <w:jc w:val="both"/>
              <w:rPr>
                <w:rFonts w:ascii="Arial" w:hAnsi="Arial" w:cs="Arial"/>
                <w:sz w:val="20"/>
                <w:szCs w:val="20"/>
              </w:rPr>
            </w:pPr>
            <w:r w:rsidRPr="00A74DB6">
              <w:rPr>
                <w:rFonts w:ascii="Arial" w:hAnsi="Arial" w:cs="Arial"/>
                <w:sz w:val="20"/>
                <w:szCs w:val="20"/>
              </w:rPr>
              <w:t xml:space="preserve">Javni naročnik si pridržuje pravico, da od ustrezne tretje osebe zahteva poročilo o reviziji podatkovnega centra, da lahko preveri izvajanje te zahteve. </w:t>
            </w:r>
          </w:p>
          <w:p w14:paraId="38B22BA7" w14:textId="77777777" w:rsidR="00A74DB6" w:rsidRPr="00A74DB6" w:rsidRDefault="00A74DB6" w:rsidP="00A74DB6">
            <w:pPr>
              <w:jc w:val="both"/>
              <w:rPr>
                <w:rFonts w:ascii="Arial" w:hAnsi="Arial" w:cs="Arial"/>
                <w:sz w:val="20"/>
                <w:szCs w:val="20"/>
              </w:rPr>
            </w:pPr>
          </w:p>
          <w:p w14:paraId="26418A4C" w14:textId="77777777" w:rsidR="00A74DB6" w:rsidRPr="00A74DB6" w:rsidRDefault="00A74DB6" w:rsidP="00A74DB6">
            <w:pPr>
              <w:jc w:val="both"/>
              <w:rPr>
                <w:rFonts w:ascii="Arial" w:hAnsi="Arial" w:cs="Arial"/>
                <w:sz w:val="20"/>
                <w:szCs w:val="20"/>
              </w:rPr>
            </w:pPr>
            <w:r w:rsidRPr="00A74DB6">
              <w:rPr>
                <w:rFonts w:ascii="Arial" w:hAnsi="Arial" w:cs="Arial"/>
                <w:sz w:val="20"/>
                <w:szCs w:val="20"/>
              </w:rPr>
              <w:t>Kot dokazilo se lahko sprejme potrdilo tretje osebe o ERF. Kot dokazilo se lahko sprejmejo tudi sistemi upravljanja z energijo (na podlagi ISO 50001) ali sistemi okoljskega upravljanja (na podlagi EMAS ali ISO 14001), ki jih potrdijo tretje osebe in ki vsebujejo izračunan ERF.</w:t>
            </w:r>
          </w:p>
          <w:p w14:paraId="3B635D47" w14:textId="77777777" w:rsidR="00A74DB6" w:rsidRPr="00A74DB6" w:rsidRDefault="00A74DB6" w:rsidP="00A74DB6">
            <w:pPr>
              <w:jc w:val="both"/>
              <w:rPr>
                <w:rFonts w:ascii="Arial" w:hAnsi="Arial" w:cs="Arial"/>
                <w:sz w:val="20"/>
                <w:szCs w:val="20"/>
              </w:rPr>
            </w:pPr>
          </w:p>
          <w:p w14:paraId="6DFE3432" w14:textId="77777777" w:rsidR="00A74DB6" w:rsidRPr="000F15EE" w:rsidRDefault="00A74DB6" w:rsidP="00A74DB6">
            <w:pPr>
              <w:jc w:val="both"/>
              <w:rPr>
                <w:rFonts w:ascii="Arial" w:hAnsi="Arial" w:cs="Arial"/>
                <w:b/>
                <w:bCs/>
                <w:sz w:val="20"/>
                <w:szCs w:val="20"/>
              </w:rPr>
            </w:pPr>
            <w:r w:rsidRPr="000F15EE">
              <w:rPr>
                <w:rFonts w:ascii="Arial" w:hAnsi="Arial" w:cs="Arial"/>
                <w:b/>
                <w:bCs/>
                <w:sz w:val="20"/>
                <w:szCs w:val="20"/>
              </w:rPr>
              <w:t>Priporočilo:</w:t>
            </w:r>
          </w:p>
          <w:p w14:paraId="4C256656" w14:textId="07640CF5" w:rsidR="00A74DB6" w:rsidRPr="00AD1E01" w:rsidRDefault="00A74DB6" w:rsidP="00A74DB6">
            <w:pPr>
              <w:jc w:val="both"/>
              <w:rPr>
                <w:rFonts w:ascii="Arial" w:hAnsi="Arial" w:cs="Arial"/>
                <w:sz w:val="20"/>
                <w:szCs w:val="20"/>
              </w:rPr>
            </w:pPr>
            <w:r w:rsidRPr="00AD1E01">
              <w:rPr>
                <w:rFonts w:ascii="Arial" w:hAnsi="Arial" w:cs="Arial"/>
                <w:sz w:val="20"/>
                <w:szCs w:val="20"/>
              </w:rPr>
              <w:t>Kapaciteta podatkovnega centra naj bi bila v obsegu osnovne moči sistema daljinskega ogrevanja, kar je za slovensko podnebje 7-8 % skupne moči sistema daljinskega ogrevanja.</w:t>
            </w:r>
          </w:p>
          <w:p w14:paraId="6F0B199C" w14:textId="51D3DAF7" w:rsidR="00C83435" w:rsidRDefault="00C83435" w:rsidP="00B9225D">
            <w:pPr>
              <w:jc w:val="both"/>
              <w:rPr>
                <w:rFonts w:ascii="Arial" w:eastAsia="Arial" w:hAnsi="Arial" w:cs="Arial"/>
                <w:b/>
                <w:color w:val="385522"/>
                <w:spacing w:val="1"/>
                <w:kern w:val="0"/>
                <w:sz w:val="20"/>
                <w:szCs w:val="20"/>
                <w14:ligatures w14:val="none"/>
              </w:rPr>
            </w:pPr>
          </w:p>
        </w:tc>
      </w:tr>
      <w:tr w:rsidR="00A74DB6" w14:paraId="3E830ABA" w14:textId="77777777" w:rsidTr="00811306">
        <w:tc>
          <w:tcPr>
            <w:tcW w:w="704" w:type="dxa"/>
          </w:tcPr>
          <w:p w14:paraId="50A3708D" w14:textId="4A6AF33A" w:rsidR="00A74DB6" w:rsidRPr="00EE4AEF" w:rsidRDefault="00A74DB6" w:rsidP="00545CF0">
            <w:pPr>
              <w:jc w:val="both"/>
              <w:rPr>
                <w:rFonts w:ascii="Arial" w:eastAsia="Arial" w:hAnsi="Arial" w:cs="Arial"/>
                <w:bCs/>
                <w:spacing w:val="1"/>
                <w:kern w:val="0"/>
                <w:sz w:val="20"/>
                <w:szCs w:val="20"/>
                <w14:ligatures w14:val="none"/>
              </w:rPr>
            </w:pPr>
          </w:p>
        </w:tc>
        <w:tc>
          <w:tcPr>
            <w:tcW w:w="8312" w:type="dxa"/>
            <w:gridSpan w:val="3"/>
            <w:shd w:val="clear" w:color="auto" w:fill="9BBA58"/>
          </w:tcPr>
          <w:p w14:paraId="439FC064" w14:textId="77777777" w:rsidR="00A74DB6" w:rsidRPr="00A74DB6" w:rsidRDefault="00A74DB6" w:rsidP="00A74DB6">
            <w:pPr>
              <w:jc w:val="both"/>
              <w:rPr>
                <w:rFonts w:ascii="Arial" w:eastAsia="Arial" w:hAnsi="Arial" w:cs="Arial"/>
                <w:b/>
                <w:bCs/>
                <w:spacing w:val="1"/>
                <w:kern w:val="0"/>
                <w:sz w:val="20"/>
                <w:szCs w:val="20"/>
                <w14:ligatures w14:val="none"/>
              </w:rPr>
            </w:pPr>
            <w:r w:rsidRPr="00A74DB6">
              <w:rPr>
                <w:rFonts w:ascii="Arial" w:eastAsia="Arial" w:hAnsi="Arial" w:cs="Arial"/>
                <w:b/>
                <w:bCs/>
                <w:spacing w:val="1"/>
                <w:kern w:val="0"/>
                <w:sz w:val="20"/>
                <w:szCs w:val="20"/>
                <w14:ligatures w14:val="none"/>
              </w:rPr>
              <w:t xml:space="preserve">Predmet naročila: </w:t>
            </w:r>
          </w:p>
          <w:p w14:paraId="62A4A36D" w14:textId="77777777" w:rsidR="00A74DB6" w:rsidRPr="00A74DB6" w:rsidRDefault="00A74DB6" w:rsidP="00A74DB6">
            <w:pPr>
              <w:numPr>
                <w:ilvl w:val="0"/>
                <w:numId w:val="1"/>
              </w:numPr>
              <w:jc w:val="both"/>
              <w:rPr>
                <w:rFonts w:ascii="Arial" w:eastAsia="Arial" w:hAnsi="Arial" w:cs="Arial"/>
                <w:b/>
                <w:bCs/>
                <w:spacing w:val="1"/>
                <w:kern w:val="0"/>
                <w:sz w:val="20"/>
                <w:szCs w:val="20"/>
                <w14:ligatures w14:val="none"/>
              </w:rPr>
            </w:pPr>
            <w:r w:rsidRPr="00A74DB6">
              <w:rPr>
                <w:rFonts w:ascii="Arial" w:eastAsia="Arial" w:hAnsi="Arial" w:cs="Arial"/>
                <w:b/>
                <w:bCs/>
                <w:spacing w:val="1"/>
                <w:kern w:val="0"/>
                <w:sz w:val="20"/>
                <w:szCs w:val="20"/>
                <w14:ligatures w14:val="none"/>
              </w:rPr>
              <w:t xml:space="preserve">izgradnja novega podatkovnega centra </w:t>
            </w:r>
          </w:p>
          <w:p w14:paraId="611E8A67" w14:textId="77777777" w:rsidR="00A74DB6" w:rsidRPr="00A74DB6" w:rsidRDefault="00A74DB6" w:rsidP="00A74DB6">
            <w:pPr>
              <w:numPr>
                <w:ilvl w:val="0"/>
                <w:numId w:val="1"/>
              </w:numPr>
              <w:jc w:val="both"/>
              <w:rPr>
                <w:rFonts w:ascii="Arial" w:eastAsia="Arial" w:hAnsi="Arial" w:cs="Arial"/>
                <w:b/>
                <w:bCs/>
                <w:spacing w:val="1"/>
                <w:kern w:val="0"/>
                <w:sz w:val="20"/>
                <w:szCs w:val="20"/>
                <w14:ligatures w14:val="none"/>
              </w:rPr>
            </w:pPr>
            <w:r w:rsidRPr="00A74DB6">
              <w:rPr>
                <w:rFonts w:ascii="Arial" w:eastAsia="Arial" w:hAnsi="Arial" w:cs="Arial"/>
                <w:b/>
                <w:bCs/>
                <w:spacing w:val="1"/>
                <w:kern w:val="0"/>
                <w:sz w:val="20"/>
                <w:szCs w:val="20"/>
                <w14:ligatures w14:val="none"/>
              </w:rPr>
              <w:t xml:space="preserve">razširitev obstoječe zgradbe z infrastrukturo za novi podatkovni center in strežniško sobo </w:t>
            </w:r>
          </w:p>
          <w:p w14:paraId="6BB06A48" w14:textId="77777777" w:rsidR="00A74DB6" w:rsidRPr="00A74DB6" w:rsidRDefault="00A74DB6" w:rsidP="00A74DB6">
            <w:pPr>
              <w:numPr>
                <w:ilvl w:val="0"/>
                <w:numId w:val="1"/>
              </w:numPr>
              <w:jc w:val="both"/>
              <w:rPr>
                <w:rFonts w:ascii="Arial" w:eastAsia="Arial" w:hAnsi="Arial" w:cs="Arial"/>
                <w:b/>
                <w:bCs/>
                <w:spacing w:val="1"/>
                <w:kern w:val="0"/>
                <w:sz w:val="20"/>
                <w:szCs w:val="20"/>
                <w14:ligatures w14:val="none"/>
              </w:rPr>
            </w:pPr>
            <w:r w:rsidRPr="00A74DB6">
              <w:rPr>
                <w:rFonts w:ascii="Arial" w:eastAsia="Arial" w:hAnsi="Arial" w:cs="Arial"/>
                <w:b/>
                <w:bCs/>
                <w:spacing w:val="1"/>
                <w:kern w:val="0"/>
                <w:sz w:val="20"/>
                <w:szCs w:val="20"/>
                <w14:ligatures w14:val="none"/>
              </w:rPr>
              <w:t xml:space="preserve">konsolidacija obstoječih strežniških sob in/ali podatkovnih centrov v nove ali obstoječe podatkovne centre </w:t>
            </w:r>
          </w:p>
          <w:p w14:paraId="0A0009C2" w14:textId="77777777" w:rsidR="00A74DB6" w:rsidRDefault="00A74DB6" w:rsidP="00A74DB6">
            <w:pPr>
              <w:jc w:val="both"/>
              <w:rPr>
                <w:rFonts w:ascii="Arial" w:eastAsia="Arial" w:hAnsi="Arial" w:cs="Arial"/>
                <w:b/>
                <w:color w:val="385522"/>
                <w:spacing w:val="1"/>
                <w:kern w:val="0"/>
                <w:sz w:val="20"/>
                <w:szCs w:val="20"/>
                <w14:ligatures w14:val="none"/>
              </w:rPr>
            </w:pPr>
          </w:p>
        </w:tc>
      </w:tr>
      <w:tr w:rsidR="00E02317" w14:paraId="181683FA" w14:textId="77777777" w:rsidTr="00C01CF4">
        <w:tc>
          <w:tcPr>
            <w:tcW w:w="704" w:type="dxa"/>
          </w:tcPr>
          <w:p w14:paraId="0AA02925" w14:textId="5288F4F3" w:rsidR="00E02317" w:rsidRDefault="00667FAB" w:rsidP="00545CF0">
            <w:pPr>
              <w:jc w:val="both"/>
              <w:rPr>
                <w:rFonts w:ascii="Arial" w:eastAsia="Arial" w:hAnsi="Arial" w:cs="Arial"/>
                <w:bCs/>
                <w:spacing w:val="1"/>
                <w:kern w:val="0"/>
                <w:sz w:val="20"/>
                <w:szCs w:val="20"/>
                <w14:ligatures w14:val="none"/>
              </w:rPr>
            </w:pPr>
            <w:r>
              <w:rPr>
                <w:rFonts w:ascii="Arial" w:eastAsia="Arial" w:hAnsi="Arial" w:cs="Arial"/>
                <w:bCs/>
                <w:spacing w:val="1"/>
                <w:kern w:val="0"/>
                <w:sz w:val="20"/>
                <w:szCs w:val="20"/>
                <w14:ligatures w14:val="none"/>
              </w:rPr>
              <w:t>TS</w:t>
            </w:r>
            <w:r w:rsidR="00496874">
              <w:rPr>
                <w:rFonts w:ascii="Arial" w:eastAsia="Arial" w:hAnsi="Arial" w:cs="Arial"/>
                <w:bCs/>
                <w:spacing w:val="1"/>
                <w:kern w:val="0"/>
                <w:sz w:val="20"/>
                <w:szCs w:val="20"/>
                <w14:ligatures w14:val="none"/>
              </w:rPr>
              <w:t>8</w:t>
            </w:r>
          </w:p>
        </w:tc>
        <w:tc>
          <w:tcPr>
            <w:tcW w:w="4111" w:type="dxa"/>
            <w:gridSpan w:val="2"/>
          </w:tcPr>
          <w:p w14:paraId="3D573813" w14:textId="77777777" w:rsidR="00E02317" w:rsidRDefault="00E02317" w:rsidP="00C83435">
            <w:pPr>
              <w:jc w:val="both"/>
              <w:rPr>
                <w:rFonts w:ascii="Arial" w:eastAsia="Arial" w:hAnsi="Arial" w:cs="Arial"/>
                <w:b/>
                <w:color w:val="385522"/>
                <w:spacing w:val="1"/>
                <w:kern w:val="0"/>
                <w:sz w:val="20"/>
                <w:szCs w:val="20"/>
                <w14:ligatures w14:val="none"/>
              </w:rPr>
            </w:pPr>
          </w:p>
        </w:tc>
        <w:tc>
          <w:tcPr>
            <w:tcW w:w="4201" w:type="dxa"/>
          </w:tcPr>
          <w:p w14:paraId="7320FCA6" w14:textId="2514E859" w:rsidR="00E02317" w:rsidRPr="00853340" w:rsidRDefault="00E02317" w:rsidP="00E02317">
            <w:pPr>
              <w:jc w:val="both"/>
              <w:rPr>
                <w:rFonts w:ascii="Arial" w:hAnsi="Arial" w:cs="Arial"/>
                <w:b/>
                <w:bCs/>
                <w:sz w:val="20"/>
                <w:szCs w:val="20"/>
              </w:rPr>
            </w:pPr>
            <w:r w:rsidRPr="00853340">
              <w:rPr>
                <w:rFonts w:ascii="Arial" w:hAnsi="Arial" w:cs="Arial"/>
                <w:b/>
                <w:bCs/>
                <w:sz w:val="20"/>
                <w:szCs w:val="20"/>
              </w:rPr>
              <w:t>Faktor obnovljive energije (</w:t>
            </w:r>
            <w:r w:rsidR="00E82936" w:rsidRPr="000F15EE">
              <w:rPr>
                <w:rFonts w:ascii="Arial" w:hAnsi="Arial" w:cs="Arial"/>
                <w:b/>
                <w:bCs/>
                <w:i/>
                <w:iCs/>
                <w:sz w:val="20"/>
                <w:szCs w:val="20"/>
              </w:rPr>
              <w:t>Renewable Energy Factor</w:t>
            </w:r>
            <w:r w:rsidR="00E82936" w:rsidRPr="00E82936">
              <w:rPr>
                <w:rFonts w:ascii="Arial" w:hAnsi="Arial" w:cs="Arial"/>
                <w:b/>
                <w:bCs/>
                <w:sz w:val="20"/>
                <w:szCs w:val="20"/>
              </w:rPr>
              <w:t xml:space="preserve"> </w:t>
            </w:r>
            <w:r w:rsidR="00E82936">
              <w:rPr>
                <w:rFonts w:ascii="Arial" w:hAnsi="Arial" w:cs="Arial"/>
                <w:b/>
                <w:bCs/>
                <w:sz w:val="20"/>
                <w:szCs w:val="20"/>
              </w:rPr>
              <w:t xml:space="preserve">- </w:t>
            </w:r>
            <w:r w:rsidRPr="00853340">
              <w:rPr>
                <w:rFonts w:ascii="Arial" w:hAnsi="Arial" w:cs="Arial"/>
                <w:b/>
                <w:bCs/>
                <w:sz w:val="20"/>
                <w:szCs w:val="20"/>
              </w:rPr>
              <w:t>REF) – Zahtevnejši nivo</w:t>
            </w:r>
          </w:p>
          <w:p w14:paraId="538961DE" w14:textId="77777777" w:rsidR="00E02317" w:rsidRDefault="00E02317" w:rsidP="00E02317">
            <w:pPr>
              <w:jc w:val="both"/>
              <w:rPr>
                <w:rFonts w:ascii="Arial" w:hAnsi="Arial" w:cs="Arial"/>
                <w:b/>
                <w:bCs/>
                <w:sz w:val="20"/>
                <w:szCs w:val="20"/>
              </w:rPr>
            </w:pPr>
          </w:p>
          <w:p w14:paraId="76DBADBA" w14:textId="28FA99A6" w:rsidR="00E02317" w:rsidRPr="009A3DE5" w:rsidRDefault="00E02317" w:rsidP="00E02317">
            <w:pPr>
              <w:jc w:val="both"/>
              <w:rPr>
                <w:rFonts w:ascii="Arial" w:hAnsi="Arial" w:cs="Arial"/>
                <w:i/>
                <w:iCs/>
                <w:sz w:val="20"/>
                <w:szCs w:val="20"/>
              </w:rPr>
            </w:pPr>
            <w:r w:rsidRPr="009A3DE5">
              <w:rPr>
                <w:rFonts w:ascii="Arial" w:hAnsi="Arial" w:cs="Arial"/>
                <w:i/>
                <w:iCs/>
                <w:sz w:val="20"/>
                <w:szCs w:val="20"/>
              </w:rPr>
              <w:t xml:space="preserve">Se vključijo, če podatkovni center upravlja tretja oseba. </w:t>
            </w:r>
            <w:r w:rsidR="00E82936">
              <w:rPr>
                <w:rFonts w:ascii="Arial" w:hAnsi="Arial" w:cs="Arial"/>
                <w:i/>
                <w:iCs/>
                <w:sz w:val="20"/>
                <w:szCs w:val="20"/>
              </w:rPr>
              <w:t>Nujno se p</w:t>
            </w:r>
            <w:r w:rsidRPr="009A3DE5">
              <w:rPr>
                <w:rFonts w:ascii="Arial" w:hAnsi="Arial" w:cs="Arial"/>
                <w:i/>
                <w:iCs/>
                <w:sz w:val="20"/>
                <w:szCs w:val="20"/>
              </w:rPr>
              <w:t xml:space="preserve">riporoča, da javni naročnik pred uporabo te </w:t>
            </w:r>
            <w:r w:rsidR="00E82936">
              <w:rPr>
                <w:rFonts w:ascii="Arial" w:hAnsi="Arial" w:cs="Arial"/>
                <w:i/>
                <w:iCs/>
                <w:sz w:val="20"/>
                <w:szCs w:val="20"/>
              </w:rPr>
              <w:t>zahteve</w:t>
            </w:r>
            <w:r w:rsidR="00E82936" w:rsidRPr="009A3DE5">
              <w:rPr>
                <w:rFonts w:ascii="Arial" w:hAnsi="Arial" w:cs="Arial"/>
                <w:i/>
                <w:iCs/>
                <w:sz w:val="20"/>
                <w:szCs w:val="20"/>
              </w:rPr>
              <w:t xml:space="preserve"> pre</w:t>
            </w:r>
            <w:r w:rsidR="00E82936">
              <w:rPr>
                <w:rFonts w:ascii="Arial" w:hAnsi="Arial" w:cs="Arial"/>
                <w:i/>
                <w:iCs/>
                <w:sz w:val="20"/>
                <w:szCs w:val="20"/>
              </w:rPr>
              <w:t>veri</w:t>
            </w:r>
            <w:r w:rsidR="00E82936" w:rsidRPr="009A3DE5">
              <w:rPr>
                <w:rFonts w:ascii="Arial" w:hAnsi="Arial" w:cs="Arial"/>
                <w:i/>
                <w:iCs/>
                <w:sz w:val="20"/>
                <w:szCs w:val="20"/>
              </w:rPr>
              <w:t xml:space="preserve"> </w:t>
            </w:r>
            <w:r w:rsidRPr="009A3DE5">
              <w:rPr>
                <w:rFonts w:ascii="Arial" w:hAnsi="Arial" w:cs="Arial"/>
                <w:i/>
                <w:iCs/>
                <w:sz w:val="20"/>
                <w:szCs w:val="20"/>
              </w:rPr>
              <w:t xml:space="preserve">trg z morebitnimi ponudniki ter lokalno razpoložljivost oskrbe. </w:t>
            </w:r>
          </w:p>
          <w:p w14:paraId="64A4BACB" w14:textId="77777777" w:rsidR="00E02317" w:rsidRDefault="00E02317" w:rsidP="00E02317">
            <w:pPr>
              <w:jc w:val="both"/>
            </w:pPr>
          </w:p>
          <w:p w14:paraId="1E9EF243" w14:textId="3B810640" w:rsidR="00E02317" w:rsidRDefault="00E02317" w:rsidP="00E02317">
            <w:pPr>
              <w:jc w:val="both"/>
              <w:rPr>
                <w:rFonts w:ascii="Arial" w:hAnsi="Arial" w:cs="Arial"/>
                <w:sz w:val="20"/>
                <w:szCs w:val="20"/>
              </w:rPr>
            </w:pPr>
            <w:r w:rsidRPr="009A3DE5">
              <w:rPr>
                <w:rFonts w:ascii="Arial" w:hAnsi="Arial" w:cs="Arial"/>
                <w:sz w:val="20"/>
                <w:szCs w:val="20"/>
              </w:rPr>
              <w:t xml:space="preserve">Faktor energije iz obnovljivih virov podatkovnega centra mora biti enak </w:t>
            </w:r>
            <w:r w:rsidR="00F649AC">
              <w:rPr>
                <w:rFonts w:ascii="Arial" w:hAnsi="Arial" w:cs="Arial"/>
                <w:sz w:val="20"/>
                <w:szCs w:val="20"/>
              </w:rPr>
              <w:t>0.55</w:t>
            </w:r>
            <w:r w:rsidR="00F649AC" w:rsidRPr="009A3DE5">
              <w:rPr>
                <w:rFonts w:ascii="Arial" w:hAnsi="Arial" w:cs="Arial"/>
                <w:sz w:val="20"/>
                <w:szCs w:val="20"/>
              </w:rPr>
              <w:t xml:space="preserve"> </w:t>
            </w:r>
            <w:r w:rsidRPr="009A3DE5">
              <w:rPr>
                <w:rFonts w:ascii="Arial" w:hAnsi="Arial" w:cs="Arial"/>
                <w:sz w:val="20"/>
                <w:szCs w:val="20"/>
              </w:rPr>
              <w:t>(</w:t>
            </w:r>
            <w:r w:rsidR="0060136F">
              <w:rPr>
                <w:rFonts w:ascii="Arial" w:hAnsi="Arial" w:cs="Arial"/>
                <w:sz w:val="20"/>
                <w:szCs w:val="20"/>
              </w:rPr>
              <w:t>5</w:t>
            </w:r>
            <w:r w:rsidR="00545880">
              <w:rPr>
                <w:rFonts w:ascii="Arial" w:hAnsi="Arial" w:cs="Arial"/>
                <w:sz w:val="20"/>
                <w:szCs w:val="20"/>
              </w:rPr>
              <w:t>5</w:t>
            </w:r>
            <w:r w:rsidR="0060136F" w:rsidRPr="009A3DE5">
              <w:rPr>
                <w:rFonts w:ascii="Arial" w:hAnsi="Arial" w:cs="Arial"/>
                <w:sz w:val="20"/>
                <w:szCs w:val="20"/>
              </w:rPr>
              <w:t xml:space="preserve"> </w:t>
            </w:r>
            <w:r w:rsidRPr="009A3DE5">
              <w:rPr>
                <w:rFonts w:ascii="Arial" w:hAnsi="Arial" w:cs="Arial"/>
                <w:sz w:val="20"/>
                <w:szCs w:val="20"/>
              </w:rPr>
              <w:t xml:space="preserve">% energije iz obnovljivih virov). REF za energijo, dobavljeno in porabljeno v podatkovnem centru, se izračuna skladno z EN 50600-4-3. </w:t>
            </w:r>
          </w:p>
          <w:p w14:paraId="52C0B920" w14:textId="77777777" w:rsidR="00E02317" w:rsidRDefault="00E02317" w:rsidP="00E02317">
            <w:pPr>
              <w:jc w:val="both"/>
            </w:pPr>
          </w:p>
          <w:p w14:paraId="468AD0B9" w14:textId="77777777" w:rsidR="00E02317" w:rsidRPr="00853340" w:rsidRDefault="00E02317" w:rsidP="00E02317">
            <w:pPr>
              <w:jc w:val="both"/>
              <w:rPr>
                <w:rFonts w:ascii="Arial" w:hAnsi="Arial" w:cs="Arial"/>
                <w:sz w:val="20"/>
                <w:szCs w:val="20"/>
              </w:rPr>
            </w:pPr>
            <w:r w:rsidRPr="009A3DE5">
              <w:rPr>
                <w:rFonts w:ascii="Arial" w:hAnsi="Arial" w:cs="Arial"/>
                <w:sz w:val="20"/>
                <w:szCs w:val="20"/>
              </w:rPr>
              <w:t xml:space="preserve">Električna energija, ki prispeva k REF, mora prihajati iz obnovljivih virov energije, ki so določeni v </w:t>
            </w:r>
            <w:hyperlink r:id="rId32" w:history="1">
              <w:r w:rsidRPr="00853340">
                <w:rPr>
                  <w:rStyle w:val="Hiperpovezava"/>
                  <w:rFonts w:ascii="Arial" w:hAnsi="Arial" w:cs="Arial"/>
                  <w:sz w:val="20"/>
                  <w:szCs w:val="20"/>
                </w:rPr>
                <w:t>Direktivi (EU) 2018/2001 Evropskega parlamenta in Sveta z dne 11. decembra 2018 o spodbujanju uporabe energije iz obnovljivih virov (prenovitev)</w:t>
              </w:r>
            </w:hyperlink>
            <w:r w:rsidRPr="00853340">
              <w:rPr>
                <w:rFonts w:ascii="Arial" w:hAnsi="Arial" w:cs="Arial"/>
                <w:sz w:val="20"/>
                <w:szCs w:val="20"/>
              </w:rPr>
              <w:t>.</w:t>
            </w:r>
          </w:p>
          <w:p w14:paraId="0E2B2986" w14:textId="77777777" w:rsidR="00E02317" w:rsidRDefault="00E02317" w:rsidP="00E02317">
            <w:pPr>
              <w:jc w:val="both"/>
            </w:pPr>
          </w:p>
          <w:p w14:paraId="28E4BD91" w14:textId="77777777" w:rsidR="00E02317" w:rsidRPr="009A3DE5" w:rsidRDefault="00E02317" w:rsidP="00E02317">
            <w:pPr>
              <w:jc w:val="both"/>
              <w:rPr>
                <w:rFonts w:ascii="Arial" w:hAnsi="Arial" w:cs="Arial"/>
                <w:b/>
                <w:bCs/>
                <w:sz w:val="20"/>
                <w:szCs w:val="20"/>
              </w:rPr>
            </w:pPr>
            <w:r w:rsidRPr="009A3DE5">
              <w:rPr>
                <w:rFonts w:ascii="Arial" w:hAnsi="Arial" w:cs="Arial"/>
                <w:b/>
                <w:bCs/>
                <w:sz w:val="20"/>
                <w:szCs w:val="20"/>
              </w:rPr>
              <w:t xml:space="preserve">Preverjanje: </w:t>
            </w:r>
          </w:p>
          <w:p w14:paraId="2949022A" w14:textId="77777777" w:rsidR="00E02317" w:rsidRDefault="00E02317" w:rsidP="00E02317">
            <w:pPr>
              <w:jc w:val="both"/>
              <w:rPr>
                <w:rFonts w:ascii="Arial" w:hAnsi="Arial" w:cs="Arial"/>
                <w:sz w:val="20"/>
                <w:szCs w:val="20"/>
              </w:rPr>
            </w:pPr>
            <w:r w:rsidRPr="009A3DE5">
              <w:rPr>
                <w:rFonts w:ascii="Arial" w:hAnsi="Arial" w:cs="Arial"/>
                <w:sz w:val="20"/>
                <w:szCs w:val="20"/>
              </w:rPr>
              <w:t>Navesti je treba REF, podatke o dobavi in uporabi električne energije ter profile obremenitve, na katerih temeljijo izračuni. Kot dokazilo se lahko sprejme potrdilo tretje osebe o REF. Kot dokazilo se lahko sprejmejo tudi sistemi upravljanja z energijo (na podlagi ISO 50001) ali sistemi okoljskega upravljanja (na podlagi EMAS ali ISO 14001), ki jih potrdijo tretje osebe in ki vsebujejo izračunan REF.</w:t>
            </w:r>
          </w:p>
          <w:p w14:paraId="002CBFC7" w14:textId="77777777" w:rsidR="00E82936" w:rsidRDefault="00E82936" w:rsidP="00E02317">
            <w:pPr>
              <w:jc w:val="both"/>
              <w:rPr>
                <w:rFonts w:ascii="Arial" w:hAnsi="Arial" w:cs="Arial"/>
                <w:sz w:val="20"/>
                <w:szCs w:val="20"/>
              </w:rPr>
            </w:pPr>
          </w:p>
          <w:p w14:paraId="4F8D31C1" w14:textId="746F4BDE" w:rsidR="00E82936" w:rsidRPr="00F05A29" w:rsidRDefault="00E82936" w:rsidP="00E02317">
            <w:pPr>
              <w:jc w:val="both"/>
              <w:rPr>
                <w:rFonts w:ascii="Arial" w:hAnsi="Arial" w:cs="Arial"/>
                <w:b/>
                <w:bCs/>
                <w:sz w:val="20"/>
                <w:szCs w:val="20"/>
              </w:rPr>
            </w:pPr>
            <w:r w:rsidRPr="00F05A29">
              <w:rPr>
                <w:rFonts w:ascii="Arial" w:hAnsi="Arial" w:cs="Arial"/>
                <w:b/>
                <w:bCs/>
                <w:sz w:val="20"/>
                <w:szCs w:val="20"/>
              </w:rPr>
              <w:t>Priporočilo:</w:t>
            </w:r>
          </w:p>
          <w:p w14:paraId="2287CF87" w14:textId="08894084" w:rsidR="00E82936" w:rsidRPr="00F05A29" w:rsidRDefault="00E82936" w:rsidP="00E02317">
            <w:pPr>
              <w:jc w:val="both"/>
              <w:rPr>
                <w:rFonts w:ascii="Arial" w:hAnsi="Arial" w:cs="Arial"/>
                <w:sz w:val="20"/>
                <w:szCs w:val="20"/>
              </w:rPr>
            </w:pPr>
            <w:r w:rsidRPr="00F05A29">
              <w:rPr>
                <w:rFonts w:ascii="Arial" w:hAnsi="Arial" w:cs="Arial"/>
                <w:sz w:val="20"/>
                <w:szCs w:val="20"/>
              </w:rPr>
              <w:lastRenderedPageBreak/>
              <w:t xml:space="preserve">Naročnikom se priporoča izvedba strokovnega dialoga pred uporabo te zahteve. </w:t>
            </w:r>
            <w:r w:rsidR="0060136F">
              <w:rPr>
                <w:rFonts w:ascii="Arial" w:hAnsi="Arial" w:cs="Arial"/>
                <w:sz w:val="20"/>
                <w:szCs w:val="20"/>
              </w:rPr>
              <w:t xml:space="preserve">Naročniki lahko zahtevajo tudi </w:t>
            </w:r>
            <w:r w:rsidR="002F7692">
              <w:rPr>
                <w:rFonts w:ascii="Arial" w:hAnsi="Arial" w:cs="Arial"/>
                <w:sz w:val="20"/>
                <w:szCs w:val="20"/>
              </w:rPr>
              <w:t>višji</w:t>
            </w:r>
            <w:r w:rsidR="002F7692" w:rsidRPr="00F05A29">
              <w:rPr>
                <w:rFonts w:ascii="Arial" w:hAnsi="Arial" w:cs="Arial"/>
                <w:sz w:val="20"/>
                <w:szCs w:val="20"/>
              </w:rPr>
              <w:t xml:space="preserve"> delež energije iz obnovljivih virov</w:t>
            </w:r>
            <w:r w:rsidR="006861E2">
              <w:rPr>
                <w:rFonts w:ascii="Arial" w:hAnsi="Arial" w:cs="Arial"/>
                <w:sz w:val="20"/>
                <w:szCs w:val="20"/>
              </w:rPr>
              <w:t>, torej tudi, da mora biti f</w:t>
            </w:r>
            <w:r w:rsidR="006861E2" w:rsidRPr="009A3DE5">
              <w:rPr>
                <w:rFonts w:ascii="Arial" w:hAnsi="Arial" w:cs="Arial"/>
                <w:sz w:val="20"/>
                <w:szCs w:val="20"/>
              </w:rPr>
              <w:t xml:space="preserve">aktor energije iz obnovljivih virov podatkovnega centra enak </w:t>
            </w:r>
            <w:r w:rsidR="006861E2">
              <w:rPr>
                <w:rFonts w:ascii="Arial" w:hAnsi="Arial" w:cs="Arial"/>
                <w:sz w:val="20"/>
                <w:szCs w:val="20"/>
              </w:rPr>
              <w:t>1</w:t>
            </w:r>
            <w:r w:rsidR="006861E2" w:rsidRPr="009A3DE5">
              <w:rPr>
                <w:rFonts w:ascii="Arial" w:hAnsi="Arial" w:cs="Arial"/>
                <w:sz w:val="20"/>
                <w:szCs w:val="20"/>
              </w:rPr>
              <w:t xml:space="preserve"> (</w:t>
            </w:r>
            <w:r w:rsidR="006861E2">
              <w:rPr>
                <w:rFonts w:ascii="Arial" w:hAnsi="Arial" w:cs="Arial"/>
                <w:sz w:val="20"/>
                <w:szCs w:val="20"/>
              </w:rPr>
              <w:t>100</w:t>
            </w:r>
            <w:r w:rsidR="006861E2" w:rsidRPr="009A3DE5">
              <w:rPr>
                <w:rFonts w:ascii="Arial" w:hAnsi="Arial" w:cs="Arial"/>
                <w:sz w:val="20"/>
                <w:szCs w:val="20"/>
              </w:rPr>
              <w:t xml:space="preserve"> % energije iz obnovljivih virov)</w:t>
            </w:r>
            <w:r w:rsidR="006861E2">
              <w:rPr>
                <w:rFonts w:ascii="Arial" w:hAnsi="Arial" w:cs="Arial"/>
                <w:sz w:val="20"/>
                <w:szCs w:val="20"/>
              </w:rPr>
              <w:t>, vendar pa n</w:t>
            </w:r>
            <w:r w:rsidR="0060136F">
              <w:rPr>
                <w:rFonts w:ascii="Arial" w:hAnsi="Arial" w:cs="Arial"/>
                <w:sz w:val="20"/>
                <w:szCs w:val="20"/>
              </w:rPr>
              <w:t xml:space="preserve">aročnikom priporočamo, da pred uporabo predmetne zahteve </w:t>
            </w:r>
            <w:r w:rsidR="006861E2">
              <w:rPr>
                <w:rFonts w:ascii="Arial" w:hAnsi="Arial" w:cs="Arial"/>
                <w:sz w:val="20"/>
                <w:szCs w:val="20"/>
              </w:rPr>
              <w:t>preverijo razmere na trgu</w:t>
            </w:r>
            <w:r w:rsidR="00116CDC">
              <w:rPr>
                <w:rFonts w:ascii="Arial" w:hAnsi="Arial" w:cs="Arial"/>
                <w:sz w:val="20"/>
                <w:szCs w:val="20"/>
              </w:rPr>
              <w:t xml:space="preserve"> in da potencialni ponudniki predmetno zahtevo lahko izpolnijo. </w:t>
            </w:r>
            <w:r w:rsidR="00FC20F2" w:rsidRPr="00F05A29">
              <w:rPr>
                <w:rFonts w:ascii="Arial" w:hAnsi="Arial" w:cs="Arial"/>
                <w:sz w:val="20"/>
                <w:szCs w:val="20"/>
              </w:rPr>
              <w:t>Predmetna zahteva se lahko uporabi tudi kot merilo namesto v okviru tehničnih specifikacij.</w:t>
            </w:r>
          </w:p>
          <w:p w14:paraId="560EFD41" w14:textId="144B9F57" w:rsidR="00E02317" w:rsidRPr="00E02317" w:rsidRDefault="00E02317" w:rsidP="00E02317">
            <w:pPr>
              <w:jc w:val="both"/>
              <w:rPr>
                <w:rFonts w:ascii="Arial" w:hAnsi="Arial" w:cs="Arial"/>
                <w:sz w:val="20"/>
                <w:szCs w:val="20"/>
              </w:rPr>
            </w:pPr>
          </w:p>
        </w:tc>
      </w:tr>
      <w:tr w:rsidR="00A74DB6" w14:paraId="3B812FA5" w14:textId="77777777" w:rsidTr="00811306">
        <w:tc>
          <w:tcPr>
            <w:tcW w:w="704" w:type="dxa"/>
          </w:tcPr>
          <w:p w14:paraId="439109F0" w14:textId="77777777" w:rsidR="00A74DB6" w:rsidRDefault="00A74DB6" w:rsidP="00545CF0">
            <w:pPr>
              <w:jc w:val="both"/>
              <w:rPr>
                <w:rFonts w:ascii="Arial" w:eastAsia="Arial" w:hAnsi="Arial" w:cs="Arial"/>
                <w:bCs/>
                <w:spacing w:val="1"/>
                <w:kern w:val="0"/>
                <w:sz w:val="20"/>
                <w:szCs w:val="20"/>
                <w14:ligatures w14:val="none"/>
              </w:rPr>
            </w:pPr>
          </w:p>
        </w:tc>
        <w:tc>
          <w:tcPr>
            <w:tcW w:w="8312" w:type="dxa"/>
            <w:gridSpan w:val="3"/>
            <w:shd w:val="clear" w:color="auto" w:fill="9BBA58"/>
          </w:tcPr>
          <w:p w14:paraId="13F42CD2" w14:textId="77777777" w:rsidR="00A74DB6" w:rsidRPr="00EB2BDC" w:rsidRDefault="00A74DB6" w:rsidP="00A74DB6">
            <w:pPr>
              <w:pStyle w:val="Default"/>
              <w:jc w:val="both"/>
              <w:rPr>
                <w:rFonts w:ascii="Arial" w:hAnsi="Arial" w:cs="Arial"/>
                <w:b/>
                <w:bCs/>
                <w:color w:val="auto"/>
                <w:kern w:val="2"/>
                <w:sz w:val="20"/>
                <w:szCs w:val="20"/>
              </w:rPr>
            </w:pPr>
            <w:r w:rsidRPr="00EB2BDC">
              <w:rPr>
                <w:rFonts w:ascii="Arial" w:hAnsi="Arial" w:cs="Arial"/>
                <w:b/>
                <w:bCs/>
                <w:color w:val="auto"/>
                <w:kern w:val="2"/>
                <w:sz w:val="20"/>
                <w:szCs w:val="20"/>
              </w:rPr>
              <w:t xml:space="preserve">Predmet naročila: </w:t>
            </w:r>
          </w:p>
          <w:p w14:paraId="19682346" w14:textId="77777777" w:rsidR="00A74DB6" w:rsidRPr="00EB2BDC" w:rsidRDefault="00A74DB6" w:rsidP="00A74DB6">
            <w:pPr>
              <w:pStyle w:val="Default"/>
              <w:numPr>
                <w:ilvl w:val="0"/>
                <w:numId w:val="1"/>
              </w:numPr>
              <w:jc w:val="both"/>
              <w:rPr>
                <w:rFonts w:ascii="Arial" w:hAnsi="Arial" w:cs="Arial"/>
                <w:b/>
                <w:bCs/>
                <w:color w:val="auto"/>
                <w:kern w:val="2"/>
                <w:sz w:val="20"/>
                <w:szCs w:val="20"/>
              </w:rPr>
            </w:pPr>
            <w:r w:rsidRPr="00EB2BDC">
              <w:rPr>
                <w:rFonts w:ascii="Arial" w:hAnsi="Arial" w:cs="Arial"/>
                <w:b/>
                <w:bCs/>
                <w:color w:val="auto"/>
                <w:kern w:val="2"/>
                <w:sz w:val="20"/>
                <w:szCs w:val="20"/>
              </w:rPr>
              <w:t xml:space="preserve">izgradnja novega podatkovnega centra </w:t>
            </w:r>
          </w:p>
          <w:p w14:paraId="4B1DE3A2" w14:textId="77777777" w:rsidR="00A74DB6" w:rsidRPr="00EB2BDC" w:rsidRDefault="00A74DB6" w:rsidP="00A74DB6">
            <w:pPr>
              <w:pStyle w:val="Default"/>
              <w:numPr>
                <w:ilvl w:val="0"/>
                <w:numId w:val="1"/>
              </w:numPr>
              <w:jc w:val="both"/>
              <w:rPr>
                <w:rFonts w:ascii="Arial" w:hAnsi="Arial" w:cs="Arial"/>
                <w:b/>
                <w:bCs/>
                <w:color w:val="auto"/>
                <w:kern w:val="2"/>
                <w:sz w:val="20"/>
                <w:szCs w:val="20"/>
              </w:rPr>
            </w:pPr>
            <w:r w:rsidRPr="00EB2BDC">
              <w:rPr>
                <w:rFonts w:ascii="Arial" w:hAnsi="Arial" w:cs="Arial"/>
                <w:b/>
                <w:bCs/>
                <w:color w:val="auto"/>
                <w:kern w:val="2"/>
                <w:sz w:val="20"/>
                <w:szCs w:val="20"/>
              </w:rPr>
              <w:t xml:space="preserve">razširitev obstoječe zgradbe z infrastrukturo za novi podatkovni center in strežniško sobo </w:t>
            </w:r>
          </w:p>
          <w:p w14:paraId="54B2A853" w14:textId="77777777" w:rsidR="00A74DB6" w:rsidRPr="00842C19" w:rsidRDefault="00A74DB6" w:rsidP="00A74DB6">
            <w:pPr>
              <w:pStyle w:val="Default"/>
              <w:numPr>
                <w:ilvl w:val="0"/>
                <w:numId w:val="1"/>
              </w:numPr>
              <w:jc w:val="both"/>
              <w:rPr>
                <w:rFonts w:ascii="Arial" w:hAnsi="Arial" w:cs="Arial"/>
                <w:b/>
                <w:bCs/>
                <w:color w:val="auto"/>
                <w:kern w:val="2"/>
                <w:sz w:val="20"/>
                <w:szCs w:val="20"/>
              </w:rPr>
            </w:pPr>
            <w:r w:rsidRPr="00EB2BDC">
              <w:rPr>
                <w:rFonts w:ascii="Arial" w:hAnsi="Arial" w:cs="Arial"/>
                <w:b/>
                <w:bCs/>
                <w:color w:val="auto"/>
                <w:kern w:val="2"/>
                <w:sz w:val="20"/>
                <w:szCs w:val="20"/>
              </w:rPr>
              <w:t xml:space="preserve">konsolidacija obstoječih strežniških sob in/ali podatkovnih centrov v nove ali obstoječe podatkovne centre </w:t>
            </w:r>
          </w:p>
          <w:p w14:paraId="0FD6B8EE" w14:textId="77777777" w:rsidR="00A74DB6" w:rsidRPr="00853340" w:rsidRDefault="00A74DB6" w:rsidP="00E02317">
            <w:pPr>
              <w:jc w:val="both"/>
              <w:rPr>
                <w:rFonts w:ascii="Arial" w:hAnsi="Arial" w:cs="Arial"/>
                <w:b/>
                <w:bCs/>
                <w:sz w:val="20"/>
                <w:szCs w:val="20"/>
              </w:rPr>
            </w:pPr>
          </w:p>
        </w:tc>
      </w:tr>
      <w:tr w:rsidR="00C83435" w14:paraId="4A7BB06F" w14:textId="77777777" w:rsidTr="00C01CF4">
        <w:tc>
          <w:tcPr>
            <w:tcW w:w="704" w:type="dxa"/>
          </w:tcPr>
          <w:p w14:paraId="428BB51E" w14:textId="739EAE68" w:rsidR="00C83435" w:rsidRDefault="00A74DB6" w:rsidP="00545CF0">
            <w:pPr>
              <w:jc w:val="both"/>
              <w:rPr>
                <w:rFonts w:ascii="Arial" w:eastAsia="Arial" w:hAnsi="Arial" w:cs="Arial"/>
                <w:bCs/>
                <w:spacing w:val="1"/>
                <w:kern w:val="0"/>
                <w:sz w:val="20"/>
                <w:szCs w:val="20"/>
                <w14:ligatures w14:val="none"/>
              </w:rPr>
            </w:pPr>
            <w:r>
              <w:rPr>
                <w:rFonts w:ascii="Arial" w:eastAsia="Arial" w:hAnsi="Arial" w:cs="Arial"/>
                <w:bCs/>
                <w:spacing w:val="1"/>
                <w:kern w:val="0"/>
                <w:sz w:val="20"/>
                <w:szCs w:val="20"/>
                <w14:ligatures w14:val="none"/>
              </w:rPr>
              <w:t>TS</w:t>
            </w:r>
            <w:r w:rsidR="00496874">
              <w:rPr>
                <w:rFonts w:ascii="Arial" w:eastAsia="Arial" w:hAnsi="Arial" w:cs="Arial"/>
                <w:bCs/>
                <w:spacing w:val="1"/>
                <w:kern w:val="0"/>
                <w:sz w:val="20"/>
                <w:szCs w:val="20"/>
                <w14:ligatures w14:val="none"/>
              </w:rPr>
              <w:t>9</w:t>
            </w:r>
          </w:p>
          <w:p w14:paraId="5689849B" w14:textId="77777777" w:rsidR="00C51DAF" w:rsidRPr="00EE4AEF" w:rsidRDefault="00C51DAF" w:rsidP="00545CF0">
            <w:pPr>
              <w:jc w:val="both"/>
              <w:rPr>
                <w:rFonts w:ascii="Arial" w:eastAsia="Arial" w:hAnsi="Arial" w:cs="Arial"/>
                <w:bCs/>
                <w:spacing w:val="1"/>
                <w:kern w:val="0"/>
                <w:sz w:val="20"/>
                <w:szCs w:val="20"/>
                <w14:ligatures w14:val="none"/>
              </w:rPr>
            </w:pPr>
          </w:p>
        </w:tc>
        <w:tc>
          <w:tcPr>
            <w:tcW w:w="4111" w:type="dxa"/>
            <w:gridSpan w:val="2"/>
          </w:tcPr>
          <w:p w14:paraId="74B11A34" w14:textId="77777777" w:rsidR="00C83435" w:rsidRDefault="00C83435" w:rsidP="00C83435">
            <w:pPr>
              <w:jc w:val="both"/>
              <w:rPr>
                <w:rFonts w:ascii="Arial" w:eastAsia="Arial" w:hAnsi="Arial" w:cs="Arial"/>
                <w:b/>
                <w:color w:val="385522"/>
                <w:spacing w:val="1"/>
                <w:kern w:val="0"/>
                <w:sz w:val="20"/>
                <w:szCs w:val="20"/>
                <w14:ligatures w14:val="none"/>
              </w:rPr>
            </w:pPr>
          </w:p>
        </w:tc>
        <w:tc>
          <w:tcPr>
            <w:tcW w:w="4201" w:type="dxa"/>
          </w:tcPr>
          <w:p w14:paraId="34E67C79" w14:textId="5AFB051F" w:rsidR="00E02317" w:rsidRDefault="00E02317" w:rsidP="00E02317">
            <w:pPr>
              <w:jc w:val="both"/>
              <w:rPr>
                <w:rFonts w:ascii="Arial" w:hAnsi="Arial" w:cs="Arial"/>
                <w:b/>
                <w:bCs/>
                <w:sz w:val="20"/>
                <w:szCs w:val="20"/>
              </w:rPr>
            </w:pPr>
            <w:r w:rsidRPr="00E22A8B">
              <w:rPr>
                <w:rFonts w:ascii="Arial" w:hAnsi="Arial" w:cs="Arial"/>
                <w:b/>
                <w:bCs/>
                <w:sz w:val="20"/>
                <w:szCs w:val="20"/>
              </w:rPr>
              <w:t>Potencial globalnega segrevanja zmesi hladilnih sredstev – Z</w:t>
            </w:r>
            <w:r w:rsidRPr="00853340">
              <w:rPr>
                <w:rFonts w:ascii="Arial" w:hAnsi="Arial" w:cs="Arial"/>
                <w:b/>
                <w:bCs/>
                <w:sz w:val="20"/>
                <w:szCs w:val="20"/>
              </w:rPr>
              <w:t>ahtevnejši nivo</w:t>
            </w:r>
            <w:r w:rsidR="00A23C77">
              <w:rPr>
                <w:rFonts w:ascii="Arial" w:hAnsi="Arial" w:cs="Arial"/>
                <w:b/>
                <w:bCs/>
                <w:sz w:val="20"/>
                <w:szCs w:val="20"/>
              </w:rPr>
              <w:t xml:space="preserve"> </w:t>
            </w:r>
          </w:p>
          <w:p w14:paraId="41AC2093" w14:textId="77777777" w:rsidR="00E02317" w:rsidRPr="00853340" w:rsidRDefault="00E02317" w:rsidP="00E02317">
            <w:pPr>
              <w:jc w:val="both"/>
              <w:rPr>
                <w:rFonts w:ascii="Arial" w:hAnsi="Arial" w:cs="Arial"/>
                <w:b/>
                <w:bCs/>
                <w:sz w:val="20"/>
                <w:szCs w:val="20"/>
              </w:rPr>
            </w:pPr>
          </w:p>
          <w:p w14:paraId="036A7ED9" w14:textId="77777777" w:rsidR="00E02317" w:rsidRPr="009672A1" w:rsidRDefault="00E02317" w:rsidP="00E02317">
            <w:pPr>
              <w:jc w:val="both"/>
              <w:rPr>
                <w:rFonts w:ascii="Arial" w:hAnsi="Arial" w:cs="Arial"/>
                <w:i/>
                <w:iCs/>
                <w:sz w:val="20"/>
                <w:szCs w:val="20"/>
              </w:rPr>
            </w:pPr>
            <w:r w:rsidRPr="009672A1">
              <w:rPr>
                <w:rFonts w:ascii="Arial" w:hAnsi="Arial" w:cs="Arial"/>
                <w:i/>
                <w:iCs/>
                <w:sz w:val="20"/>
                <w:szCs w:val="20"/>
              </w:rPr>
              <w:t xml:space="preserve">Se vključijo, če podatkovni center upravlja tretja oseba. </w:t>
            </w:r>
          </w:p>
          <w:p w14:paraId="2790FD56" w14:textId="77777777" w:rsidR="00E02317" w:rsidRDefault="00E02317" w:rsidP="00E02317">
            <w:pPr>
              <w:jc w:val="both"/>
            </w:pPr>
          </w:p>
          <w:p w14:paraId="0053900E" w14:textId="10B173E5" w:rsidR="00E02317" w:rsidRPr="009672A1" w:rsidRDefault="00E02317" w:rsidP="00E02317">
            <w:pPr>
              <w:jc w:val="both"/>
              <w:rPr>
                <w:rFonts w:ascii="Arial" w:hAnsi="Arial" w:cs="Arial"/>
                <w:i/>
                <w:iCs/>
                <w:sz w:val="20"/>
                <w:szCs w:val="20"/>
              </w:rPr>
            </w:pPr>
            <w:r w:rsidRPr="009672A1">
              <w:rPr>
                <w:rFonts w:ascii="Arial" w:hAnsi="Arial" w:cs="Arial"/>
                <w:i/>
                <w:iCs/>
                <w:sz w:val="20"/>
                <w:szCs w:val="20"/>
              </w:rPr>
              <w:t>Glej tudi</w:t>
            </w:r>
            <w:r w:rsidR="00A74DB6">
              <w:rPr>
                <w:rFonts w:ascii="Arial" w:hAnsi="Arial" w:cs="Arial"/>
                <w:i/>
                <w:iCs/>
                <w:sz w:val="20"/>
                <w:szCs w:val="20"/>
              </w:rPr>
              <w:t xml:space="preserve"> ME</w:t>
            </w:r>
            <w:r w:rsidRPr="009672A1">
              <w:rPr>
                <w:rFonts w:ascii="Arial" w:hAnsi="Arial" w:cs="Arial"/>
                <w:i/>
                <w:iCs/>
                <w:sz w:val="20"/>
                <w:szCs w:val="20"/>
              </w:rPr>
              <w:t>11</w:t>
            </w:r>
            <w:r w:rsidR="00A74DB6">
              <w:rPr>
                <w:rFonts w:ascii="Arial" w:hAnsi="Arial" w:cs="Arial"/>
                <w:i/>
                <w:iCs/>
                <w:sz w:val="20"/>
                <w:szCs w:val="20"/>
              </w:rPr>
              <w:t>.</w:t>
            </w:r>
            <w:r w:rsidRPr="009672A1">
              <w:rPr>
                <w:rFonts w:ascii="Arial" w:hAnsi="Arial" w:cs="Arial"/>
                <w:i/>
                <w:iCs/>
                <w:sz w:val="20"/>
                <w:szCs w:val="20"/>
              </w:rPr>
              <w:t xml:space="preserve"> </w:t>
            </w:r>
          </w:p>
          <w:p w14:paraId="20CA2B53" w14:textId="77777777" w:rsidR="00E02317" w:rsidRDefault="00E02317" w:rsidP="00E02317">
            <w:pPr>
              <w:jc w:val="both"/>
              <w:rPr>
                <w:rFonts w:ascii="Arial" w:hAnsi="Arial" w:cs="Arial"/>
                <w:sz w:val="20"/>
                <w:szCs w:val="20"/>
              </w:rPr>
            </w:pPr>
          </w:p>
          <w:p w14:paraId="06ECD883" w14:textId="00816C1B" w:rsidR="00E02317" w:rsidRDefault="00E02317" w:rsidP="00E02317">
            <w:pPr>
              <w:jc w:val="both"/>
              <w:rPr>
                <w:rFonts w:ascii="Arial" w:hAnsi="Arial" w:cs="Arial"/>
                <w:sz w:val="20"/>
                <w:szCs w:val="20"/>
              </w:rPr>
            </w:pPr>
            <w:r w:rsidRPr="009672A1">
              <w:rPr>
                <w:rFonts w:ascii="Arial" w:hAnsi="Arial" w:cs="Arial"/>
                <w:sz w:val="20"/>
                <w:szCs w:val="20"/>
              </w:rPr>
              <w:t>Tehtano povprečje potenciala globalnega segrevanja (</w:t>
            </w:r>
            <w:r w:rsidR="00DF1959" w:rsidRPr="000F15EE">
              <w:rPr>
                <w:rFonts w:ascii="Arial" w:hAnsi="Arial" w:cs="Arial"/>
                <w:i/>
                <w:iCs/>
                <w:sz w:val="20"/>
                <w:szCs w:val="20"/>
              </w:rPr>
              <w:t>Global Warming Potential</w:t>
            </w:r>
            <w:r w:rsidR="00DF1959">
              <w:rPr>
                <w:rFonts w:ascii="Arial" w:hAnsi="Arial" w:cs="Arial"/>
                <w:sz w:val="20"/>
                <w:szCs w:val="20"/>
              </w:rPr>
              <w:t xml:space="preserve"> - </w:t>
            </w:r>
            <w:r w:rsidRPr="009672A1">
              <w:rPr>
                <w:rFonts w:ascii="Arial" w:hAnsi="Arial" w:cs="Arial"/>
                <w:sz w:val="20"/>
                <w:szCs w:val="20"/>
              </w:rPr>
              <w:t xml:space="preserve">GWP) za mešanico hladilnih sredstev, ki se bo uporabljala v hladilnem sistemu podatkovnega centra, ne sme presegati 10, razen če se dokaže, da uporaba takšnih hladilnih sredstev zaradi izjemnih razmer ni možna ali bi zmanjšala energetsko učinkovitost hladilnih sistemov. </w:t>
            </w:r>
            <w:r w:rsidR="0042477C">
              <w:rPr>
                <w:rFonts w:ascii="Arial" w:hAnsi="Arial" w:cs="Arial"/>
                <w:sz w:val="20"/>
                <w:szCs w:val="20"/>
              </w:rPr>
              <w:t xml:space="preserve"> </w:t>
            </w:r>
          </w:p>
          <w:p w14:paraId="473AD4C8" w14:textId="77777777" w:rsidR="00E02317" w:rsidRDefault="00E02317" w:rsidP="00E02317">
            <w:pPr>
              <w:jc w:val="both"/>
              <w:rPr>
                <w:rFonts w:ascii="Arial" w:hAnsi="Arial" w:cs="Arial"/>
                <w:sz w:val="20"/>
                <w:szCs w:val="20"/>
              </w:rPr>
            </w:pPr>
          </w:p>
          <w:p w14:paraId="3701E987" w14:textId="77777777" w:rsidR="00E02317" w:rsidRPr="009672A1" w:rsidRDefault="00E02317" w:rsidP="00E02317">
            <w:pPr>
              <w:jc w:val="both"/>
              <w:rPr>
                <w:rFonts w:ascii="Arial" w:hAnsi="Arial" w:cs="Arial"/>
                <w:b/>
                <w:bCs/>
                <w:sz w:val="20"/>
                <w:szCs w:val="20"/>
              </w:rPr>
            </w:pPr>
            <w:r w:rsidRPr="009672A1">
              <w:rPr>
                <w:rFonts w:ascii="Arial" w:hAnsi="Arial" w:cs="Arial"/>
                <w:b/>
                <w:bCs/>
                <w:sz w:val="20"/>
                <w:szCs w:val="20"/>
              </w:rPr>
              <w:t xml:space="preserve">Preverjanje: </w:t>
            </w:r>
          </w:p>
          <w:p w14:paraId="5F68B6F5" w14:textId="77777777" w:rsidR="00E02317" w:rsidRDefault="00E02317" w:rsidP="00E02317">
            <w:pPr>
              <w:jc w:val="both"/>
              <w:rPr>
                <w:rFonts w:ascii="Arial" w:hAnsi="Arial" w:cs="Arial"/>
                <w:sz w:val="20"/>
                <w:szCs w:val="20"/>
              </w:rPr>
            </w:pPr>
            <w:r w:rsidRPr="009672A1">
              <w:rPr>
                <w:rFonts w:ascii="Arial" w:hAnsi="Arial" w:cs="Arial"/>
                <w:sz w:val="20"/>
                <w:szCs w:val="20"/>
              </w:rPr>
              <w:t xml:space="preserve">Ponudniki morajo sporočiti izračun tehtanega povprečja potenciala globalnega segrevanja, tudi za zalogo hladilnih sredstev, uporabljenih na lokacijah ali za zagotavljanje storitve, ter dokazati skladnost z metodo, opisano v Prilogi IV </w:t>
            </w:r>
            <w:hyperlink r:id="rId33" w:history="1">
              <w:r w:rsidRPr="00853340">
                <w:rPr>
                  <w:rStyle w:val="Hiperpovezava"/>
                  <w:rFonts w:ascii="Arial" w:hAnsi="Arial" w:cs="Arial"/>
                  <w:sz w:val="20"/>
                  <w:szCs w:val="20"/>
                </w:rPr>
                <w:t>Uredbe (EU)  517/2014</w:t>
              </w:r>
            </w:hyperlink>
            <w:r w:rsidRPr="009672A1">
              <w:rPr>
                <w:rFonts w:ascii="Arial" w:hAnsi="Arial" w:cs="Arial"/>
                <w:sz w:val="20"/>
                <w:szCs w:val="20"/>
              </w:rPr>
              <w:t>. Kot dokazilo se lahko sprejmejo tudi sistemi upravljanja z energijo (ISO 50001) ali sistemi okoljskega upravljanja (EMAS ali ISO 14001), ki jih potrdijo tretje osebe in ki navajajo uporabo hladilnih sredstev. Izjemne razmere, ki preprečujejo uporabo hladilnih sredstev s tehtanim povprečjem GWP v razponu od 0 do 10, se dokumentirajo.</w:t>
            </w:r>
          </w:p>
          <w:p w14:paraId="065E24F8" w14:textId="77777777" w:rsidR="00DF1959" w:rsidRDefault="00DF1959" w:rsidP="00E02317">
            <w:pPr>
              <w:jc w:val="both"/>
              <w:rPr>
                <w:rFonts w:ascii="Arial" w:hAnsi="Arial" w:cs="Arial"/>
                <w:sz w:val="20"/>
                <w:szCs w:val="20"/>
              </w:rPr>
            </w:pPr>
          </w:p>
          <w:p w14:paraId="6050D3F5" w14:textId="5082FB80" w:rsidR="00DF1959" w:rsidRPr="00E22A8B" w:rsidRDefault="00DF1959" w:rsidP="00E02317">
            <w:pPr>
              <w:jc w:val="both"/>
              <w:rPr>
                <w:rFonts w:ascii="Arial" w:hAnsi="Arial" w:cs="Arial"/>
                <w:sz w:val="20"/>
                <w:szCs w:val="20"/>
              </w:rPr>
            </w:pPr>
            <w:r w:rsidRPr="000F15EE">
              <w:rPr>
                <w:rFonts w:ascii="Arial" w:hAnsi="Arial" w:cs="Arial"/>
                <w:b/>
                <w:bCs/>
                <w:sz w:val="20"/>
                <w:szCs w:val="20"/>
              </w:rPr>
              <w:t>Priporočilo:</w:t>
            </w:r>
            <w:r>
              <w:rPr>
                <w:rFonts w:ascii="Arial" w:hAnsi="Arial" w:cs="Arial"/>
                <w:sz w:val="20"/>
                <w:szCs w:val="20"/>
              </w:rPr>
              <w:br/>
            </w:r>
            <w:r w:rsidR="007518A2">
              <w:rPr>
                <w:rFonts w:ascii="Arial" w:hAnsi="Arial" w:cs="Arial"/>
                <w:sz w:val="20"/>
                <w:szCs w:val="20"/>
              </w:rPr>
              <w:t>P</w:t>
            </w:r>
            <w:r>
              <w:rPr>
                <w:rFonts w:ascii="Arial" w:hAnsi="Arial" w:cs="Arial"/>
                <w:sz w:val="20"/>
                <w:szCs w:val="20"/>
              </w:rPr>
              <w:t>redmetno zahtevo je smiselno upoštevati</w:t>
            </w:r>
            <w:r w:rsidRPr="00DF1959">
              <w:rPr>
                <w:rFonts w:ascii="Arial" w:hAnsi="Arial" w:cs="Arial"/>
                <w:sz w:val="20"/>
                <w:szCs w:val="20"/>
              </w:rPr>
              <w:t xml:space="preserve"> za hladilne agregate in dx hladilne sisteme, vendar se omejiti z zahtevo po uporabi plinov z </w:t>
            </w:r>
            <w:r>
              <w:rPr>
                <w:rFonts w:ascii="Arial" w:hAnsi="Arial" w:cs="Arial"/>
                <w:sz w:val="20"/>
                <w:szCs w:val="20"/>
              </w:rPr>
              <w:t>GWP</w:t>
            </w:r>
            <w:r w:rsidRPr="00DF1959">
              <w:rPr>
                <w:rFonts w:ascii="Arial" w:hAnsi="Arial" w:cs="Arial"/>
                <w:sz w:val="20"/>
                <w:szCs w:val="20"/>
              </w:rPr>
              <w:t xml:space="preserve"> &lt;xy. vrednost xy pa </w:t>
            </w:r>
            <w:r>
              <w:rPr>
                <w:rFonts w:ascii="Arial" w:hAnsi="Arial" w:cs="Arial"/>
                <w:sz w:val="20"/>
                <w:szCs w:val="20"/>
              </w:rPr>
              <w:t xml:space="preserve">določiti glede </w:t>
            </w:r>
            <w:r>
              <w:rPr>
                <w:rFonts w:ascii="Arial" w:hAnsi="Arial" w:cs="Arial"/>
                <w:sz w:val="20"/>
                <w:szCs w:val="20"/>
              </w:rPr>
              <w:lastRenderedPageBreak/>
              <w:t>specifiki vsakokratnega predmeta javnega naročila</w:t>
            </w:r>
            <w:r w:rsidRPr="00DF1959">
              <w:rPr>
                <w:rFonts w:ascii="Arial" w:hAnsi="Arial" w:cs="Arial"/>
                <w:sz w:val="20"/>
                <w:szCs w:val="20"/>
              </w:rPr>
              <w:t xml:space="preserve">, saj je uporaba konkretnih plinov z manjšim </w:t>
            </w:r>
            <w:r>
              <w:rPr>
                <w:rFonts w:ascii="Arial" w:hAnsi="Arial" w:cs="Arial"/>
                <w:sz w:val="20"/>
                <w:szCs w:val="20"/>
              </w:rPr>
              <w:t>GWP</w:t>
            </w:r>
            <w:r w:rsidRPr="00DF1959">
              <w:rPr>
                <w:rFonts w:ascii="Arial" w:hAnsi="Arial" w:cs="Arial"/>
                <w:sz w:val="20"/>
                <w:szCs w:val="20"/>
              </w:rPr>
              <w:t xml:space="preserve"> odvisna od tipa in kapacitete </w:t>
            </w:r>
            <w:r>
              <w:rPr>
                <w:rFonts w:ascii="Arial" w:hAnsi="Arial" w:cs="Arial"/>
                <w:sz w:val="20"/>
                <w:szCs w:val="20"/>
              </w:rPr>
              <w:t xml:space="preserve">posameznih </w:t>
            </w:r>
            <w:r w:rsidRPr="00DF1959">
              <w:rPr>
                <w:rFonts w:ascii="Arial" w:hAnsi="Arial" w:cs="Arial"/>
                <w:sz w:val="20"/>
                <w:szCs w:val="20"/>
              </w:rPr>
              <w:t>hladilnih naprav.</w:t>
            </w:r>
            <w:r w:rsidR="000A0D96">
              <w:rPr>
                <w:rFonts w:ascii="Arial" w:hAnsi="Arial" w:cs="Arial"/>
                <w:sz w:val="20"/>
                <w:szCs w:val="20"/>
              </w:rPr>
              <w:t xml:space="preserve"> </w:t>
            </w:r>
            <w:r w:rsidR="000A0D96" w:rsidRPr="00F05A29">
              <w:rPr>
                <w:rFonts w:ascii="Arial" w:hAnsi="Arial" w:cs="Arial"/>
                <w:sz w:val="20"/>
                <w:szCs w:val="20"/>
              </w:rPr>
              <w:t xml:space="preserve">Naročnikom se priporoča izvedba strokovnega dialoga pred uporabo te zahteve. </w:t>
            </w:r>
          </w:p>
          <w:p w14:paraId="49472C4F" w14:textId="77777777" w:rsidR="00C83435" w:rsidRDefault="00C83435" w:rsidP="00C83435">
            <w:pPr>
              <w:jc w:val="both"/>
              <w:rPr>
                <w:rFonts w:ascii="Arial" w:eastAsia="Arial" w:hAnsi="Arial" w:cs="Arial"/>
                <w:b/>
                <w:color w:val="385522"/>
                <w:spacing w:val="1"/>
                <w:kern w:val="0"/>
                <w:sz w:val="20"/>
                <w:szCs w:val="20"/>
                <w14:ligatures w14:val="none"/>
              </w:rPr>
            </w:pPr>
          </w:p>
        </w:tc>
      </w:tr>
      <w:tr w:rsidR="00026A4B" w:rsidRPr="00026A4B" w14:paraId="1C2B750F" w14:textId="77777777" w:rsidTr="003275E8">
        <w:tc>
          <w:tcPr>
            <w:tcW w:w="704" w:type="dxa"/>
          </w:tcPr>
          <w:p w14:paraId="02931D28" w14:textId="77777777" w:rsidR="00477B13" w:rsidRPr="00F649AC" w:rsidRDefault="00477B13" w:rsidP="00477B13">
            <w:pPr>
              <w:jc w:val="both"/>
              <w:rPr>
                <w:rFonts w:ascii="Arial" w:eastAsia="Arial" w:hAnsi="Arial" w:cs="Arial"/>
                <w:bCs/>
                <w:color w:val="EE0000"/>
                <w:spacing w:val="1"/>
                <w:kern w:val="0"/>
                <w:sz w:val="20"/>
                <w:szCs w:val="20"/>
                <w14:ligatures w14:val="none"/>
              </w:rPr>
            </w:pPr>
          </w:p>
        </w:tc>
        <w:tc>
          <w:tcPr>
            <w:tcW w:w="8312" w:type="dxa"/>
            <w:gridSpan w:val="3"/>
            <w:shd w:val="clear" w:color="auto" w:fill="9BBA58"/>
          </w:tcPr>
          <w:p w14:paraId="17AA0875" w14:textId="77777777" w:rsidR="00477B13" w:rsidRPr="000B0E80" w:rsidRDefault="00477B13" w:rsidP="00477B13">
            <w:pPr>
              <w:pStyle w:val="Default"/>
              <w:jc w:val="both"/>
              <w:rPr>
                <w:rFonts w:ascii="Arial" w:hAnsi="Arial" w:cs="Arial"/>
                <w:b/>
                <w:bCs/>
                <w:color w:val="860000"/>
                <w:kern w:val="2"/>
                <w:sz w:val="20"/>
                <w:szCs w:val="20"/>
              </w:rPr>
            </w:pPr>
            <w:r w:rsidRPr="000B0E80">
              <w:rPr>
                <w:rFonts w:ascii="Arial" w:hAnsi="Arial" w:cs="Arial"/>
                <w:b/>
                <w:bCs/>
                <w:color w:val="860000"/>
                <w:kern w:val="2"/>
                <w:sz w:val="20"/>
                <w:szCs w:val="20"/>
              </w:rPr>
              <w:t xml:space="preserve">Predmet naročila: </w:t>
            </w:r>
          </w:p>
          <w:p w14:paraId="711323AD" w14:textId="77777777" w:rsidR="00477B13" w:rsidRPr="000B0E80" w:rsidRDefault="00477B13" w:rsidP="00477B13">
            <w:pPr>
              <w:pStyle w:val="Default"/>
              <w:numPr>
                <w:ilvl w:val="0"/>
                <w:numId w:val="1"/>
              </w:numPr>
              <w:jc w:val="both"/>
              <w:rPr>
                <w:rFonts w:ascii="Arial" w:hAnsi="Arial" w:cs="Arial"/>
                <w:b/>
                <w:bCs/>
                <w:color w:val="860000"/>
                <w:kern w:val="2"/>
                <w:sz w:val="20"/>
                <w:szCs w:val="20"/>
              </w:rPr>
            </w:pPr>
            <w:r w:rsidRPr="000B0E80">
              <w:rPr>
                <w:rFonts w:ascii="Arial" w:hAnsi="Arial" w:cs="Arial"/>
                <w:b/>
                <w:bCs/>
                <w:color w:val="860000"/>
                <w:kern w:val="2"/>
                <w:sz w:val="20"/>
                <w:szCs w:val="20"/>
              </w:rPr>
              <w:t xml:space="preserve">izgradnja novega podatkovnega centra </w:t>
            </w:r>
          </w:p>
          <w:p w14:paraId="7CC406AC" w14:textId="4BF7304C" w:rsidR="00477B13" w:rsidRPr="000B0E80" w:rsidRDefault="005D1B64" w:rsidP="0066151B">
            <w:pPr>
              <w:pStyle w:val="Default"/>
              <w:numPr>
                <w:ilvl w:val="0"/>
                <w:numId w:val="1"/>
              </w:numPr>
              <w:jc w:val="both"/>
              <w:rPr>
                <w:rFonts w:ascii="Arial" w:hAnsi="Arial" w:cs="Arial"/>
                <w:b/>
                <w:bCs/>
                <w:color w:val="860000"/>
                <w:sz w:val="20"/>
                <w:szCs w:val="20"/>
              </w:rPr>
            </w:pPr>
            <w:r w:rsidRPr="000B0E80">
              <w:rPr>
                <w:rFonts w:ascii="Arial" w:hAnsi="Arial" w:cs="Arial"/>
                <w:b/>
                <w:bCs/>
                <w:color w:val="860000"/>
                <w:kern w:val="2"/>
                <w:sz w:val="20"/>
                <w:szCs w:val="20"/>
              </w:rPr>
              <w:t>celovita nadgradnja obstoječega podatkovnega centra</w:t>
            </w:r>
            <w:r w:rsidR="00477B13" w:rsidRPr="000B0E80">
              <w:rPr>
                <w:rFonts w:ascii="Arial" w:hAnsi="Arial" w:cs="Arial"/>
                <w:b/>
                <w:bCs/>
                <w:color w:val="860000"/>
                <w:kern w:val="2"/>
                <w:sz w:val="20"/>
                <w:szCs w:val="20"/>
              </w:rPr>
              <w:t xml:space="preserve"> </w:t>
            </w:r>
          </w:p>
        </w:tc>
      </w:tr>
      <w:tr w:rsidR="00026A4B" w:rsidRPr="00026A4B" w14:paraId="37CD919F" w14:textId="77777777" w:rsidTr="00811306">
        <w:tc>
          <w:tcPr>
            <w:tcW w:w="704" w:type="dxa"/>
          </w:tcPr>
          <w:p w14:paraId="41EAE77C" w14:textId="708C59FB" w:rsidR="00477B13" w:rsidRPr="00F649AC" w:rsidRDefault="00477B13" w:rsidP="00545CF0">
            <w:pPr>
              <w:jc w:val="both"/>
              <w:rPr>
                <w:rFonts w:ascii="Arial" w:eastAsia="Arial" w:hAnsi="Arial" w:cs="Arial"/>
                <w:bCs/>
                <w:color w:val="EE0000"/>
                <w:spacing w:val="1"/>
                <w:kern w:val="0"/>
                <w:sz w:val="20"/>
                <w:szCs w:val="20"/>
                <w14:ligatures w14:val="none"/>
              </w:rPr>
            </w:pPr>
            <w:r w:rsidRPr="00F649AC">
              <w:rPr>
                <w:rFonts w:ascii="Arial" w:eastAsia="Arial" w:hAnsi="Arial" w:cs="Arial"/>
                <w:bCs/>
                <w:color w:val="EE0000"/>
                <w:spacing w:val="1"/>
                <w:kern w:val="0"/>
                <w:sz w:val="20"/>
                <w:szCs w:val="20"/>
                <w14:ligatures w14:val="none"/>
              </w:rPr>
              <w:t>TS 1</w:t>
            </w:r>
            <w:r w:rsidR="00496874">
              <w:rPr>
                <w:rFonts w:ascii="Arial" w:eastAsia="Arial" w:hAnsi="Arial" w:cs="Arial"/>
                <w:bCs/>
                <w:color w:val="EE0000"/>
                <w:spacing w:val="1"/>
                <w:kern w:val="0"/>
                <w:sz w:val="20"/>
                <w:szCs w:val="20"/>
                <w14:ligatures w14:val="none"/>
              </w:rPr>
              <w:t>0</w:t>
            </w:r>
          </w:p>
        </w:tc>
        <w:tc>
          <w:tcPr>
            <w:tcW w:w="3969" w:type="dxa"/>
          </w:tcPr>
          <w:p w14:paraId="07B4C073" w14:textId="75180890" w:rsidR="00477B13" w:rsidRPr="00F649AC" w:rsidRDefault="00477B13" w:rsidP="00F649AC">
            <w:pPr>
              <w:jc w:val="both"/>
              <w:rPr>
                <w:rFonts w:ascii="Arial" w:hAnsi="Arial" w:cs="Arial"/>
                <w:color w:val="EE0000"/>
                <w:sz w:val="20"/>
                <w:szCs w:val="20"/>
              </w:rPr>
            </w:pPr>
            <w:r w:rsidRPr="00F649AC">
              <w:rPr>
                <w:rFonts w:ascii="Arial" w:hAnsi="Arial" w:cs="Arial"/>
                <w:color w:val="EE0000"/>
                <w:sz w:val="20"/>
                <w:szCs w:val="20"/>
              </w:rPr>
              <w:t xml:space="preserve">V primeru izgradnje novega ali celovito nadgrajenega obstoječega podatkovnega centra, mora </w:t>
            </w:r>
            <w:r w:rsidR="00112623">
              <w:rPr>
                <w:rFonts w:ascii="Arial" w:hAnsi="Arial" w:cs="Arial"/>
                <w:color w:val="EE0000"/>
                <w:sz w:val="20"/>
                <w:szCs w:val="20"/>
              </w:rPr>
              <w:t>biti izkazan</w:t>
            </w:r>
            <w:r w:rsidRPr="00F649AC">
              <w:rPr>
                <w:rFonts w:ascii="Arial" w:hAnsi="Arial" w:cs="Arial"/>
                <w:color w:val="EE0000"/>
                <w:sz w:val="20"/>
                <w:szCs w:val="20"/>
              </w:rPr>
              <w:t xml:space="preserve"> faktor učinkovitost rabe energije (PUE) 1,5 ali manj. Faktor učinkovitost</w:t>
            </w:r>
            <w:r w:rsidR="00BF2AF4">
              <w:rPr>
                <w:rFonts w:ascii="Arial" w:hAnsi="Arial" w:cs="Arial"/>
                <w:color w:val="EE0000"/>
                <w:sz w:val="20"/>
                <w:szCs w:val="20"/>
              </w:rPr>
              <w:t>i</w:t>
            </w:r>
            <w:r w:rsidRPr="00F649AC">
              <w:rPr>
                <w:rFonts w:ascii="Arial" w:hAnsi="Arial" w:cs="Arial"/>
                <w:color w:val="EE0000"/>
                <w:sz w:val="20"/>
                <w:szCs w:val="20"/>
              </w:rPr>
              <w:t xml:space="preserve"> rabe energije  mora biti določen v skladu z v skladu z ISO/IEC 30134:2016, del 2, EN 50600-4-2:2016 ali enakovrednim standardom</w:t>
            </w:r>
            <w:r w:rsidR="00112623">
              <w:rPr>
                <w:rFonts w:ascii="Arial" w:hAnsi="Arial" w:cs="Arial"/>
                <w:color w:val="EE0000"/>
                <w:sz w:val="20"/>
                <w:szCs w:val="20"/>
              </w:rPr>
              <w:t>.</w:t>
            </w:r>
          </w:p>
          <w:p w14:paraId="23D6E55D" w14:textId="77777777" w:rsidR="00477B13" w:rsidRPr="00F649AC" w:rsidRDefault="00477B13" w:rsidP="00C83435">
            <w:pPr>
              <w:jc w:val="both"/>
              <w:rPr>
                <w:rFonts w:ascii="Arial" w:eastAsia="Arial" w:hAnsi="Arial" w:cs="Arial"/>
                <w:b/>
                <w:color w:val="EE0000"/>
                <w:spacing w:val="1"/>
                <w:kern w:val="0"/>
                <w:sz w:val="20"/>
                <w:szCs w:val="20"/>
                <w14:ligatures w14:val="none"/>
              </w:rPr>
            </w:pPr>
          </w:p>
          <w:p w14:paraId="62851501" w14:textId="77777777" w:rsidR="009D2B03" w:rsidRPr="00F649AC" w:rsidRDefault="009D2B03" w:rsidP="009D2B03">
            <w:pPr>
              <w:jc w:val="both"/>
              <w:rPr>
                <w:rFonts w:ascii="Arial" w:hAnsi="Arial" w:cs="Arial"/>
                <w:color w:val="EE0000"/>
                <w:sz w:val="20"/>
                <w:szCs w:val="20"/>
              </w:rPr>
            </w:pPr>
            <w:r w:rsidRPr="00F649AC">
              <w:rPr>
                <w:rFonts w:ascii="Arial" w:hAnsi="Arial" w:cs="Arial"/>
                <w:b/>
                <w:bCs/>
                <w:color w:val="EE0000"/>
                <w:sz w:val="20"/>
                <w:szCs w:val="20"/>
              </w:rPr>
              <w:t>Preverjanje:</w:t>
            </w:r>
            <w:r w:rsidRPr="00F649AC">
              <w:rPr>
                <w:rFonts w:ascii="Arial" w:hAnsi="Arial" w:cs="Arial"/>
                <w:color w:val="EE0000"/>
                <w:sz w:val="20"/>
                <w:szCs w:val="20"/>
              </w:rPr>
              <w:t xml:space="preserve"> </w:t>
            </w:r>
          </w:p>
          <w:p w14:paraId="6BBF5EFB" w14:textId="6504A26F" w:rsidR="009D2B03" w:rsidRPr="00F649AC" w:rsidRDefault="00C73B04" w:rsidP="0066151B">
            <w:pPr>
              <w:jc w:val="both"/>
              <w:rPr>
                <w:rFonts w:ascii="Arial" w:eastAsia="Arial" w:hAnsi="Arial" w:cs="Arial"/>
                <w:b/>
                <w:color w:val="EE0000"/>
                <w:spacing w:val="1"/>
                <w:kern w:val="0"/>
                <w:sz w:val="20"/>
                <w:szCs w:val="20"/>
                <w14:ligatures w14:val="none"/>
              </w:rPr>
            </w:pPr>
            <w:r w:rsidRPr="00F649AC">
              <w:rPr>
                <w:rFonts w:ascii="Arial" w:hAnsi="Arial" w:cs="Arial"/>
                <w:color w:val="EE0000"/>
                <w:sz w:val="20"/>
                <w:szCs w:val="20"/>
              </w:rPr>
              <w:t>Ponudnik mora predložiti izračune zasnove, ki dokazujejo, kako je bila PUE izračunana v skladu z ISO/IEC 30134:2016, del 2, EN 50600-4-2:2016 ali enakovrednim standardom.</w:t>
            </w:r>
          </w:p>
        </w:tc>
        <w:tc>
          <w:tcPr>
            <w:tcW w:w="4343" w:type="dxa"/>
            <w:gridSpan w:val="2"/>
          </w:tcPr>
          <w:p w14:paraId="27ABA258" w14:textId="77777777" w:rsidR="00477B13" w:rsidRPr="00F649AC" w:rsidRDefault="00477B13" w:rsidP="00E02317">
            <w:pPr>
              <w:jc w:val="both"/>
              <w:rPr>
                <w:rFonts w:ascii="Arial" w:hAnsi="Arial" w:cs="Arial"/>
                <w:b/>
                <w:bCs/>
                <w:color w:val="EE0000"/>
                <w:sz w:val="20"/>
                <w:szCs w:val="20"/>
              </w:rPr>
            </w:pPr>
          </w:p>
        </w:tc>
      </w:tr>
      <w:tr w:rsidR="00026A4B" w:rsidRPr="00026A4B" w14:paraId="3F7660D4" w14:textId="77777777" w:rsidTr="003275E8">
        <w:tc>
          <w:tcPr>
            <w:tcW w:w="704" w:type="dxa"/>
          </w:tcPr>
          <w:p w14:paraId="7FDF1145" w14:textId="77777777" w:rsidR="005D1B64" w:rsidRPr="00F649AC" w:rsidRDefault="005D1B64" w:rsidP="00CA3121">
            <w:pPr>
              <w:jc w:val="both"/>
              <w:rPr>
                <w:rFonts w:ascii="Arial" w:eastAsia="Arial" w:hAnsi="Arial" w:cs="Arial"/>
                <w:bCs/>
                <w:color w:val="EE0000"/>
                <w:spacing w:val="1"/>
                <w:kern w:val="0"/>
                <w:sz w:val="20"/>
                <w:szCs w:val="20"/>
                <w14:ligatures w14:val="none"/>
              </w:rPr>
            </w:pPr>
          </w:p>
        </w:tc>
        <w:tc>
          <w:tcPr>
            <w:tcW w:w="8312" w:type="dxa"/>
            <w:gridSpan w:val="3"/>
            <w:shd w:val="clear" w:color="auto" w:fill="9BBA58"/>
          </w:tcPr>
          <w:p w14:paraId="2BA67429" w14:textId="77777777" w:rsidR="005D1B64" w:rsidRPr="000B0E80" w:rsidRDefault="005D1B64" w:rsidP="00CA3121">
            <w:pPr>
              <w:pStyle w:val="Default"/>
              <w:jc w:val="both"/>
              <w:rPr>
                <w:rFonts w:ascii="Arial" w:hAnsi="Arial" w:cs="Arial"/>
                <w:b/>
                <w:bCs/>
                <w:color w:val="860000"/>
                <w:kern w:val="2"/>
                <w:sz w:val="20"/>
                <w:szCs w:val="20"/>
              </w:rPr>
            </w:pPr>
            <w:r w:rsidRPr="000B0E80">
              <w:rPr>
                <w:rFonts w:ascii="Arial" w:hAnsi="Arial" w:cs="Arial"/>
                <w:b/>
                <w:bCs/>
                <w:color w:val="860000"/>
                <w:kern w:val="2"/>
                <w:sz w:val="20"/>
                <w:szCs w:val="20"/>
              </w:rPr>
              <w:t xml:space="preserve">Predmet naročila: </w:t>
            </w:r>
          </w:p>
          <w:p w14:paraId="438B5D5A" w14:textId="4066B70E" w:rsidR="005D1B64" w:rsidRPr="000B0E80" w:rsidRDefault="00D94D7F" w:rsidP="00F649AC">
            <w:pPr>
              <w:pStyle w:val="Default"/>
              <w:numPr>
                <w:ilvl w:val="0"/>
                <w:numId w:val="1"/>
              </w:numPr>
              <w:jc w:val="both"/>
              <w:rPr>
                <w:rFonts w:ascii="Arial" w:hAnsi="Arial" w:cs="Arial"/>
                <w:b/>
                <w:bCs/>
                <w:color w:val="860000"/>
                <w:sz w:val="20"/>
                <w:szCs w:val="20"/>
              </w:rPr>
            </w:pPr>
            <w:r w:rsidRPr="000B0E80">
              <w:rPr>
                <w:rFonts w:ascii="Arial" w:hAnsi="Arial" w:cs="Arial"/>
                <w:b/>
                <w:bCs/>
                <w:color w:val="860000"/>
                <w:kern w:val="2"/>
                <w:sz w:val="20"/>
                <w:szCs w:val="20"/>
              </w:rPr>
              <w:t>najem storitev v oblaku</w:t>
            </w:r>
            <w:r w:rsidR="005D1B64" w:rsidRPr="000B0E80">
              <w:rPr>
                <w:rFonts w:ascii="Arial" w:hAnsi="Arial" w:cs="Arial"/>
                <w:b/>
                <w:bCs/>
                <w:color w:val="860000"/>
                <w:kern w:val="2"/>
                <w:sz w:val="20"/>
                <w:szCs w:val="20"/>
              </w:rPr>
              <w:t xml:space="preserve"> </w:t>
            </w:r>
          </w:p>
        </w:tc>
      </w:tr>
      <w:tr w:rsidR="00026A4B" w:rsidRPr="00026A4B" w14:paraId="525F91C5" w14:textId="77777777" w:rsidTr="00811306">
        <w:tc>
          <w:tcPr>
            <w:tcW w:w="704" w:type="dxa"/>
          </w:tcPr>
          <w:p w14:paraId="70DECF49" w14:textId="28ED43FA" w:rsidR="00477B13" w:rsidRPr="00F649AC" w:rsidRDefault="00477B13" w:rsidP="00545CF0">
            <w:pPr>
              <w:jc w:val="both"/>
              <w:rPr>
                <w:rFonts w:ascii="Arial" w:eastAsia="Arial" w:hAnsi="Arial" w:cs="Arial"/>
                <w:bCs/>
                <w:color w:val="EE0000"/>
                <w:spacing w:val="1"/>
                <w:kern w:val="0"/>
                <w:sz w:val="20"/>
                <w:szCs w:val="20"/>
                <w14:ligatures w14:val="none"/>
              </w:rPr>
            </w:pPr>
            <w:r w:rsidRPr="00F649AC">
              <w:rPr>
                <w:rFonts w:ascii="Arial" w:eastAsia="Arial" w:hAnsi="Arial" w:cs="Arial"/>
                <w:bCs/>
                <w:color w:val="EE0000"/>
                <w:spacing w:val="1"/>
                <w:kern w:val="0"/>
                <w:sz w:val="20"/>
                <w:szCs w:val="20"/>
                <w14:ligatures w14:val="none"/>
              </w:rPr>
              <w:t>TS 1</w:t>
            </w:r>
            <w:r w:rsidR="00496874">
              <w:rPr>
                <w:rFonts w:ascii="Arial" w:eastAsia="Arial" w:hAnsi="Arial" w:cs="Arial"/>
                <w:bCs/>
                <w:color w:val="EE0000"/>
                <w:spacing w:val="1"/>
                <w:kern w:val="0"/>
                <w:sz w:val="20"/>
                <w:szCs w:val="20"/>
                <w14:ligatures w14:val="none"/>
              </w:rPr>
              <w:t>1</w:t>
            </w:r>
          </w:p>
        </w:tc>
        <w:tc>
          <w:tcPr>
            <w:tcW w:w="3969" w:type="dxa"/>
          </w:tcPr>
          <w:p w14:paraId="04515660" w14:textId="360D79F8" w:rsidR="00477B13" w:rsidRPr="00F649AC" w:rsidRDefault="00477B13" w:rsidP="00477B13">
            <w:pPr>
              <w:jc w:val="both"/>
              <w:rPr>
                <w:rFonts w:ascii="Arial" w:hAnsi="Arial" w:cs="Arial"/>
                <w:color w:val="EE0000"/>
                <w:sz w:val="20"/>
                <w:szCs w:val="20"/>
              </w:rPr>
            </w:pPr>
            <w:r w:rsidRPr="00F649AC">
              <w:rPr>
                <w:rFonts w:ascii="Arial" w:hAnsi="Arial" w:cs="Arial"/>
                <w:color w:val="EE0000"/>
                <w:sz w:val="20"/>
                <w:szCs w:val="20"/>
              </w:rPr>
              <w:t xml:space="preserve">Pri najemu storitev v oblaku mora </w:t>
            </w:r>
            <w:r w:rsidR="00112623">
              <w:rPr>
                <w:rFonts w:ascii="Arial" w:hAnsi="Arial" w:cs="Arial"/>
                <w:color w:val="EE0000"/>
                <w:sz w:val="20"/>
                <w:szCs w:val="20"/>
              </w:rPr>
              <w:t>biti</w:t>
            </w:r>
            <w:r w:rsidRPr="00F649AC">
              <w:rPr>
                <w:rFonts w:ascii="Arial" w:hAnsi="Arial" w:cs="Arial"/>
                <w:color w:val="EE0000"/>
                <w:sz w:val="20"/>
                <w:szCs w:val="20"/>
              </w:rPr>
              <w:t xml:space="preserve"> izkaza</w:t>
            </w:r>
            <w:r w:rsidR="00112623">
              <w:rPr>
                <w:rFonts w:ascii="Arial" w:hAnsi="Arial" w:cs="Arial"/>
                <w:color w:val="EE0000"/>
                <w:sz w:val="20"/>
                <w:szCs w:val="20"/>
              </w:rPr>
              <w:t>n</w:t>
            </w:r>
            <w:r w:rsidRPr="00F649AC">
              <w:rPr>
                <w:rFonts w:ascii="Arial" w:hAnsi="Arial" w:cs="Arial"/>
                <w:color w:val="EE0000"/>
                <w:sz w:val="20"/>
                <w:szCs w:val="20"/>
              </w:rPr>
              <w:t xml:space="preserve"> faktor učinkovitost</w:t>
            </w:r>
            <w:r w:rsidR="00BF2AF4">
              <w:rPr>
                <w:rFonts w:ascii="Arial" w:hAnsi="Arial" w:cs="Arial"/>
                <w:color w:val="EE0000"/>
                <w:sz w:val="20"/>
                <w:szCs w:val="20"/>
              </w:rPr>
              <w:t>i</w:t>
            </w:r>
            <w:r w:rsidRPr="00F649AC">
              <w:rPr>
                <w:rFonts w:ascii="Arial" w:hAnsi="Arial" w:cs="Arial"/>
                <w:color w:val="EE0000"/>
                <w:sz w:val="20"/>
                <w:szCs w:val="20"/>
              </w:rPr>
              <w:t xml:space="preserve"> rabe energije (PUE) 1,8</w:t>
            </w:r>
            <w:r w:rsidR="00026A4B" w:rsidRPr="00F649AC">
              <w:rPr>
                <w:rFonts w:ascii="Arial" w:hAnsi="Arial" w:cs="Arial"/>
                <w:color w:val="EE0000"/>
                <w:sz w:val="20"/>
                <w:szCs w:val="20"/>
              </w:rPr>
              <w:t xml:space="preserve"> ali manj</w:t>
            </w:r>
            <w:r w:rsidRPr="00F649AC">
              <w:rPr>
                <w:rFonts w:ascii="Arial" w:hAnsi="Arial" w:cs="Arial"/>
                <w:color w:val="EE0000"/>
                <w:sz w:val="20"/>
                <w:szCs w:val="20"/>
              </w:rPr>
              <w:t>. Faktor učinkovitost rabe energije mora biti določen v skladu z ISO/IEC 30134:2016, del 2, EN 50600-4-2:2016 ali enakovrednim standardom.</w:t>
            </w:r>
          </w:p>
          <w:p w14:paraId="18FCC121" w14:textId="77777777" w:rsidR="00C73B04" w:rsidRPr="00F649AC" w:rsidRDefault="00C73B04" w:rsidP="00477B13">
            <w:pPr>
              <w:jc w:val="both"/>
              <w:rPr>
                <w:rFonts w:ascii="Arial" w:hAnsi="Arial" w:cs="Arial"/>
                <w:color w:val="EE0000"/>
                <w:sz w:val="20"/>
                <w:szCs w:val="20"/>
              </w:rPr>
            </w:pPr>
          </w:p>
          <w:p w14:paraId="65A3F636" w14:textId="77777777" w:rsidR="00C73B04" w:rsidRPr="00F649AC" w:rsidRDefault="00C73B04" w:rsidP="00C73B04">
            <w:pPr>
              <w:jc w:val="both"/>
              <w:rPr>
                <w:rFonts w:ascii="Arial" w:hAnsi="Arial" w:cs="Arial"/>
                <w:color w:val="EE0000"/>
                <w:sz w:val="20"/>
                <w:szCs w:val="20"/>
              </w:rPr>
            </w:pPr>
            <w:r w:rsidRPr="00F649AC">
              <w:rPr>
                <w:rFonts w:ascii="Arial" w:hAnsi="Arial" w:cs="Arial"/>
                <w:b/>
                <w:bCs/>
                <w:color w:val="EE0000"/>
                <w:sz w:val="20"/>
                <w:szCs w:val="20"/>
              </w:rPr>
              <w:t>Preverjanje:</w:t>
            </w:r>
            <w:r w:rsidRPr="00F649AC">
              <w:rPr>
                <w:rFonts w:ascii="Arial" w:hAnsi="Arial" w:cs="Arial"/>
                <w:color w:val="EE0000"/>
                <w:sz w:val="20"/>
                <w:szCs w:val="20"/>
              </w:rPr>
              <w:t xml:space="preserve"> </w:t>
            </w:r>
          </w:p>
          <w:p w14:paraId="2EC31796" w14:textId="62C6E526" w:rsidR="00C73B04" w:rsidRPr="00F649AC" w:rsidRDefault="00C73B04" w:rsidP="00477B13">
            <w:pPr>
              <w:jc w:val="both"/>
              <w:rPr>
                <w:rFonts w:ascii="Arial" w:hAnsi="Arial" w:cs="Arial"/>
                <w:color w:val="EE0000"/>
                <w:sz w:val="20"/>
                <w:szCs w:val="20"/>
              </w:rPr>
            </w:pPr>
            <w:r w:rsidRPr="00F649AC">
              <w:rPr>
                <w:rFonts w:ascii="Arial" w:hAnsi="Arial" w:cs="Arial"/>
                <w:color w:val="EE0000"/>
                <w:sz w:val="20"/>
                <w:szCs w:val="20"/>
              </w:rPr>
              <w:t>Ponudnik mora predložiti izračune zasnove, ki dokazujejo, kako je bila PUE izračunana v skladu z ISO/IEC 30134:2016, del 2, EN 50600-4-2:2016 ali enakovrednim standardom.</w:t>
            </w:r>
          </w:p>
        </w:tc>
        <w:tc>
          <w:tcPr>
            <w:tcW w:w="4343" w:type="dxa"/>
            <w:gridSpan w:val="2"/>
          </w:tcPr>
          <w:p w14:paraId="0D6C96E8" w14:textId="77777777" w:rsidR="00477B13" w:rsidRPr="00F649AC" w:rsidRDefault="00477B13" w:rsidP="00E02317">
            <w:pPr>
              <w:jc w:val="both"/>
              <w:rPr>
                <w:rFonts w:ascii="Arial" w:hAnsi="Arial" w:cs="Arial"/>
                <w:b/>
                <w:bCs/>
                <w:color w:val="EE0000"/>
                <w:sz w:val="20"/>
                <w:szCs w:val="20"/>
              </w:rPr>
            </w:pPr>
          </w:p>
        </w:tc>
      </w:tr>
    </w:tbl>
    <w:p w14:paraId="6B63D152" w14:textId="313872B9" w:rsidR="003D36BC" w:rsidRDefault="003D36BC" w:rsidP="00A61C00">
      <w:pPr>
        <w:jc w:val="both"/>
        <w:rPr>
          <w:rFonts w:ascii="Arial" w:hAnsi="Arial" w:cs="Arial"/>
          <w:sz w:val="20"/>
          <w:szCs w:val="20"/>
        </w:rPr>
      </w:pPr>
    </w:p>
    <w:p w14:paraId="5D95EDE9" w14:textId="77777777" w:rsidR="003D36BC" w:rsidRDefault="003D36BC">
      <w:pPr>
        <w:rPr>
          <w:rFonts w:ascii="Arial" w:hAnsi="Arial" w:cs="Arial"/>
          <w:sz w:val="20"/>
          <w:szCs w:val="20"/>
        </w:rPr>
      </w:pPr>
      <w:r>
        <w:rPr>
          <w:rFonts w:ascii="Arial" w:hAnsi="Arial" w:cs="Arial"/>
          <w:sz w:val="20"/>
          <w:szCs w:val="20"/>
        </w:rPr>
        <w:br w:type="page"/>
      </w:r>
    </w:p>
    <w:tbl>
      <w:tblPr>
        <w:tblStyle w:val="Tabelamrea"/>
        <w:tblW w:w="0" w:type="auto"/>
        <w:tblLayout w:type="fixed"/>
        <w:tblLook w:val="04A0" w:firstRow="1" w:lastRow="0" w:firstColumn="1" w:lastColumn="0" w:noHBand="0" w:noVBand="1"/>
        <w:tblCaption w:val="Tabela - merila"/>
        <w:tblDescription w:val="Tabela vsebuje merila za oddajo javnega naročila, ločeno na osnovni nivo in zahtevnejši nivo. "/>
      </w:tblPr>
      <w:tblGrid>
        <w:gridCol w:w="704"/>
        <w:gridCol w:w="3969"/>
        <w:gridCol w:w="284"/>
        <w:gridCol w:w="4059"/>
      </w:tblGrid>
      <w:tr w:rsidR="006007A1" w14:paraId="77204C60" w14:textId="77777777" w:rsidTr="000F15EE">
        <w:tc>
          <w:tcPr>
            <w:tcW w:w="9016" w:type="dxa"/>
            <w:gridSpan w:val="4"/>
            <w:shd w:val="clear" w:color="auto" w:fill="9BBA58"/>
          </w:tcPr>
          <w:p w14:paraId="654DDCE6" w14:textId="5E0253BB" w:rsidR="006007A1" w:rsidRPr="00C93E9C" w:rsidRDefault="006007A1" w:rsidP="00545CF0">
            <w:pPr>
              <w:jc w:val="both"/>
              <w:rPr>
                <w:rFonts w:ascii="Arial" w:eastAsia="Arial" w:hAnsi="Arial" w:cs="Arial"/>
                <w:b/>
                <w:kern w:val="0"/>
                <w:sz w:val="20"/>
                <w:szCs w:val="20"/>
                <w14:ligatures w14:val="none"/>
              </w:rPr>
            </w:pPr>
            <w:r>
              <w:rPr>
                <w:rFonts w:ascii="Arial" w:eastAsia="Arial" w:hAnsi="Arial" w:cs="Arial"/>
                <w:b/>
                <w:kern w:val="0"/>
                <w:sz w:val="20"/>
                <w:szCs w:val="20"/>
                <w14:ligatures w14:val="none"/>
              </w:rPr>
              <w:lastRenderedPageBreak/>
              <w:t>Merila za oddajo javnega naročila</w:t>
            </w:r>
            <w:r w:rsidR="00113105">
              <w:rPr>
                <w:rFonts w:ascii="Arial" w:eastAsia="Arial" w:hAnsi="Arial" w:cs="Arial"/>
                <w:b/>
                <w:kern w:val="0"/>
                <w:sz w:val="20"/>
                <w:szCs w:val="20"/>
                <w14:ligatures w14:val="none"/>
              </w:rPr>
              <w:t xml:space="preserve"> (ME)</w:t>
            </w:r>
          </w:p>
        </w:tc>
      </w:tr>
      <w:tr w:rsidR="00830E60" w14:paraId="16CBE4BE" w14:textId="77777777" w:rsidTr="00B61A1A">
        <w:tc>
          <w:tcPr>
            <w:tcW w:w="704" w:type="dxa"/>
          </w:tcPr>
          <w:p w14:paraId="43A8BEDE" w14:textId="77777777" w:rsidR="00830E60" w:rsidRDefault="00830E60" w:rsidP="00830E60">
            <w:pPr>
              <w:jc w:val="both"/>
              <w:rPr>
                <w:rFonts w:ascii="Arial" w:eastAsia="Arial" w:hAnsi="Arial" w:cs="Arial"/>
                <w:b/>
                <w:color w:val="385522"/>
                <w:spacing w:val="1"/>
                <w:kern w:val="0"/>
                <w:sz w:val="20"/>
                <w:szCs w:val="20"/>
                <w14:ligatures w14:val="none"/>
              </w:rPr>
            </w:pPr>
          </w:p>
        </w:tc>
        <w:tc>
          <w:tcPr>
            <w:tcW w:w="3969" w:type="dxa"/>
            <w:shd w:val="clear" w:color="auto" w:fill="C5E0B3" w:themeFill="accent6" w:themeFillTint="66"/>
          </w:tcPr>
          <w:p w14:paraId="3BAF26BC" w14:textId="77777777" w:rsidR="00830E60" w:rsidRDefault="00830E60" w:rsidP="00830E60">
            <w:pPr>
              <w:jc w:val="both"/>
              <w:rPr>
                <w:rFonts w:ascii="Arial" w:eastAsia="Arial" w:hAnsi="Arial" w:cs="Arial"/>
                <w:b/>
                <w:color w:val="385522"/>
                <w:spacing w:val="1"/>
                <w:kern w:val="0"/>
                <w:sz w:val="20"/>
                <w:szCs w:val="20"/>
                <w14:ligatures w14:val="none"/>
              </w:rPr>
            </w:pPr>
            <w:r w:rsidRPr="00C93E9C">
              <w:rPr>
                <w:rFonts w:ascii="Arial" w:eastAsia="Arial" w:hAnsi="Arial" w:cs="Arial"/>
                <w:b/>
                <w:kern w:val="0"/>
                <w:sz w:val="20"/>
                <w:szCs w:val="20"/>
                <w14:ligatures w14:val="none"/>
              </w:rPr>
              <w:t>Osnovni nivo</w:t>
            </w:r>
          </w:p>
        </w:tc>
        <w:tc>
          <w:tcPr>
            <w:tcW w:w="4343" w:type="dxa"/>
            <w:gridSpan w:val="2"/>
            <w:shd w:val="clear" w:color="auto" w:fill="C5E0B3" w:themeFill="accent6" w:themeFillTint="66"/>
          </w:tcPr>
          <w:p w14:paraId="496DDD34" w14:textId="77777777" w:rsidR="00830E60" w:rsidRPr="00C93E9C" w:rsidRDefault="00830E60" w:rsidP="00830E60">
            <w:pPr>
              <w:jc w:val="both"/>
              <w:rPr>
                <w:rFonts w:ascii="Arial" w:eastAsia="Arial" w:hAnsi="Arial" w:cs="Arial"/>
                <w:b/>
                <w:kern w:val="0"/>
                <w:sz w:val="20"/>
                <w:szCs w:val="20"/>
                <w14:ligatures w14:val="none"/>
              </w:rPr>
            </w:pPr>
            <w:r w:rsidRPr="00C93E9C">
              <w:rPr>
                <w:rFonts w:ascii="Arial" w:eastAsia="Arial" w:hAnsi="Arial" w:cs="Arial"/>
                <w:b/>
                <w:kern w:val="0"/>
                <w:sz w:val="20"/>
                <w:szCs w:val="20"/>
                <w14:ligatures w14:val="none"/>
              </w:rPr>
              <w:t>Zahtevnejši nivo</w:t>
            </w:r>
          </w:p>
        </w:tc>
      </w:tr>
      <w:tr w:rsidR="00CB76DB" w14:paraId="50BAAB89" w14:textId="77777777" w:rsidTr="000F15EE">
        <w:tc>
          <w:tcPr>
            <w:tcW w:w="704" w:type="dxa"/>
          </w:tcPr>
          <w:p w14:paraId="052FC78A" w14:textId="77777777" w:rsidR="00CB76DB" w:rsidRDefault="00CB76DB" w:rsidP="00830E60">
            <w:pPr>
              <w:jc w:val="both"/>
              <w:rPr>
                <w:rFonts w:ascii="Arial" w:eastAsia="Arial" w:hAnsi="Arial" w:cs="Arial"/>
                <w:b/>
                <w:color w:val="385522"/>
                <w:spacing w:val="1"/>
                <w:kern w:val="0"/>
                <w:sz w:val="20"/>
                <w:szCs w:val="20"/>
                <w14:ligatures w14:val="none"/>
              </w:rPr>
            </w:pPr>
          </w:p>
        </w:tc>
        <w:tc>
          <w:tcPr>
            <w:tcW w:w="8312" w:type="dxa"/>
            <w:gridSpan w:val="3"/>
            <w:shd w:val="clear" w:color="auto" w:fill="9BBA58"/>
          </w:tcPr>
          <w:p w14:paraId="419014CD" w14:textId="77777777" w:rsidR="00CB76DB" w:rsidRPr="00CB76DB" w:rsidRDefault="00CB76DB" w:rsidP="00CB76DB">
            <w:pPr>
              <w:jc w:val="both"/>
              <w:rPr>
                <w:rFonts w:ascii="Arial" w:eastAsia="Arial" w:hAnsi="Arial" w:cs="Arial"/>
                <w:b/>
                <w:bCs/>
                <w:kern w:val="0"/>
                <w:sz w:val="20"/>
                <w:szCs w:val="20"/>
                <w14:ligatures w14:val="none"/>
              </w:rPr>
            </w:pPr>
            <w:r w:rsidRPr="00CB76DB">
              <w:rPr>
                <w:rFonts w:ascii="Arial" w:eastAsia="Arial" w:hAnsi="Arial" w:cs="Arial"/>
                <w:b/>
                <w:bCs/>
                <w:kern w:val="0"/>
                <w:sz w:val="20"/>
                <w:szCs w:val="20"/>
                <w14:ligatures w14:val="none"/>
              </w:rPr>
              <w:t xml:space="preserve">Predmet naročila: </w:t>
            </w:r>
          </w:p>
          <w:p w14:paraId="4F7ADBC8" w14:textId="77777777" w:rsidR="00CB76DB" w:rsidRPr="00CB76DB" w:rsidRDefault="00CB76DB" w:rsidP="00CB76DB">
            <w:pPr>
              <w:numPr>
                <w:ilvl w:val="0"/>
                <w:numId w:val="1"/>
              </w:numPr>
              <w:jc w:val="both"/>
              <w:rPr>
                <w:rFonts w:ascii="Arial" w:eastAsia="Arial" w:hAnsi="Arial" w:cs="Arial"/>
                <w:b/>
                <w:bCs/>
                <w:kern w:val="0"/>
                <w:sz w:val="20"/>
                <w:szCs w:val="20"/>
                <w14:ligatures w14:val="none"/>
              </w:rPr>
            </w:pPr>
            <w:r w:rsidRPr="00CB76DB">
              <w:rPr>
                <w:rFonts w:ascii="Arial" w:eastAsia="Arial" w:hAnsi="Arial" w:cs="Arial"/>
                <w:b/>
                <w:bCs/>
                <w:kern w:val="0"/>
                <w:sz w:val="20"/>
                <w:szCs w:val="20"/>
                <w14:ligatures w14:val="none"/>
              </w:rPr>
              <w:t>nakup opreme IT z manjšim vplivom na okolje</w:t>
            </w:r>
          </w:p>
          <w:p w14:paraId="3DED3944" w14:textId="77777777" w:rsidR="00CB76DB" w:rsidRPr="00C93E9C" w:rsidRDefault="00CB76DB" w:rsidP="00830E60">
            <w:pPr>
              <w:jc w:val="both"/>
              <w:rPr>
                <w:rFonts w:ascii="Arial" w:eastAsia="Arial" w:hAnsi="Arial" w:cs="Arial"/>
                <w:b/>
                <w:kern w:val="0"/>
                <w:sz w:val="20"/>
                <w:szCs w:val="20"/>
                <w14:ligatures w14:val="none"/>
              </w:rPr>
            </w:pPr>
          </w:p>
        </w:tc>
      </w:tr>
      <w:tr w:rsidR="00830E60" w14:paraId="4D7BA4E5" w14:textId="77777777" w:rsidTr="000F15EE">
        <w:tc>
          <w:tcPr>
            <w:tcW w:w="704" w:type="dxa"/>
          </w:tcPr>
          <w:p w14:paraId="27130020" w14:textId="6F6D5E8A" w:rsidR="00830E60" w:rsidRPr="00EE4AEF" w:rsidRDefault="00592B64" w:rsidP="00830E60">
            <w:pPr>
              <w:jc w:val="both"/>
              <w:rPr>
                <w:rFonts w:ascii="Arial" w:eastAsia="Arial" w:hAnsi="Arial" w:cs="Arial"/>
                <w:bCs/>
                <w:color w:val="385522"/>
                <w:spacing w:val="1"/>
                <w:kern w:val="0"/>
                <w:sz w:val="20"/>
                <w:szCs w:val="20"/>
                <w14:ligatures w14:val="none"/>
              </w:rPr>
            </w:pPr>
            <w:r>
              <w:rPr>
                <w:rFonts w:ascii="Arial" w:eastAsia="Arial" w:hAnsi="Arial" w:cs="Arial"/>
                <w:bCs/>
                <w:spacing w:val="1"/>
                <w:kern w:val="0"/>
                <w:sz w:val="20"/>
                <w:szCs w:val="20"/>
                <w14:ligatures w14:val="none"/>
              </w:rPr>
              <w:t>ME</w:t>
            </w:r>
            <w:r w:rsidR="00830E60" w:rsidRPr="00EE4AEF">
              <w:rPr>
                <w:rFonts w:ascii="Arial" w:eastAsia="Arial" w:hAnsi="Arial" w:cs="Arial"/>
                <w:bCs/>
                <w:spacing w:val="1"/>
                <w:kern w:val="0"/>
                <w:sz w:val="20"/>
                <w:szCs w:val="20"/>
                <w14:ligatures w14:val="none"/>
              </w:rPr>
              <w:t>1</w:t>
            </w:r>
          </w:p>
        </w:tc>
        <w:tc>
          <w:tcPr>
            <w:tcW w:w="8312" w:type="dxa"/>
            <w:gridSpan w:val="3"/>
          </w:tcPr>
          <w:p w14:paraId="465F289D" w14:textId="77777777" w:rsidR="00830E60" w:rsidRPr="00853340" w:rsidRDefault="00830E60" w:rsidP="00830E60">
            <w:pPr>
              <w:jc w:val="both"/>
              <w:rPr>
                <w:rFonts w:ascii="Arial" w:hAnsi="Arial" w:cs="Arial"/>
                <w:b/>
                <w:bCs/>
                <w:sz w:val="20"/>
                <w:szCs w:val="20"/>
              </w:rPr>
            </w:pPr>
            <w:r>
              <w:rPr>
                <w:rFonts w:ascii="Arial" w:hAnsi="Arial" w:cs="Arial"/>
                <w:b/>
                <w:bCs/>
                <w:sz w:val="20"/>
                <w:szCs w:val="20"/>
              </w:rPr>
              <w:t>Moč</w:t>
            </w:r>
            <w:r w:rsidRPr="00853340">
              <w:rPr>
                <w:rFonts w:ascii="Arial" w:hAnsi="Arial" w:cs="Arial"/>
                <w:b/>
                <w:bCs/>
                <w:sz w:val="20"/>
                <w:szCs w:val="20"/>
              </w:rPr>
              <w:t xml:space="preserve"> strežnika v stanju nedejavnosti – </w:t>
            </w:r>
            <w:r w:rsidRPr="00CB76DB">
              <w:rPr>
                <w:rFonts w:ascii="Arial" w:hAnsi="Arial" w:cs="Arial"/>
                <w:b/>
                <w:bCs/>
                <w:i/>
                <w:iCs/>
                <w:sz w:val="20"/>
                <w:szCs w:val="20"/>
              </w:rPr>
              <w:t>Osnovni in zahtevnejši nivo</w:t>
            </w:r>
          </w:p>
          <w:p w14:paraId="63B1C0A8" w14:textId="77777777" w:rsidR="00830E60" w:rsidRDefault="00830E60" w:rsidP="00830E60">
            <w:pPr>
              <w:jc w:val="both"/>
              <w:rPr>
                <w:rFonts w:ascii="Arial" w:hAnsi="Arial" w:cs="Arial"/>
                <w:sz w:val="20"/>
                <w:szCs w:val="20"/>
              </w:rPr>
            </w:pPr>
          </w:p>
          <w:p w14:paraId="3538CE24" w14:textId="724F1064" w:rsidR="00830E60" w:rsidRPr="00FF0F1D" w:rsidRDefault="00830E60" w:rsidP="00830E60">
            <w:pPr>
              <w:jc w:val="both"/>
              <w:rPr>
                <w:rFonts w:ascii="Arial" w:hAnsi="Arial" w:cs="Arial"/>
                <w:i/>
                <w:iCs/>
                <w:sz w:val="20"/>
                <w:szCs w:val="20"/>
              </w:rPr>
            </w:pPr>
            <w:r w:rsidRPr="00FF0F1D">
              <w:rPr>
                <w:rFonts w:ascii="Arial" w:hAnsi="Arial" w:cs="Arial"/>
                <w:i/>
                <w:iCs/>
                <w:sz w:val="20"/>
                <w:szCs w:val="20"/>
              </w:rPr>
              <w:t>T</w:t>
            </w:r>
            <w:r w:rsidR="00592B64">
              <w:rPr>
                <w:rFonts w:ascii="Arial" w:hAnsi="Arial" w:cs="Arial"/>
                <w:i/>
                <w:iCs/>
                <w:sz w:val="20"/>
                <w:szCs w:val="20"/>
              </w:rPr>
              <w:t>o</w:t>
            </w:r>
            <w:r w:rsidRPr="00FF0F1D">
              <w:rPr>
                <w:rFonts w:ascii="Arial" w:hAnsi="Arial" w:cs="Arial"/>
                <w:i/>
                <w:iCs/>
                <w:sz w:val="20"/>
                <w:szCs w:val="20"/>
              </w:rPr>
              <w:t xml:space="preserve"> meril</w:t>
            </w:r>
            <w:r w:rsidR="00592B64">
              <w:rPr>
                <w:rFonts w:ascii="Arial" w:hAnsi="Arial" w:cs="Arial"/>
                <w:i/>
                <w:iCs/>
                <w:sz w:val="20"/>
                <w:szCs w:val="20"/>
              </w:rPr>
              <w:t>o</w:t>
            </w:r>
            <w:r w:rsidRPr="00FF0F1D">
              <w:rPr>
                <w:rFonts w:ascii="Arial" w:hAnsi="Arial" w:cs="Arial"/>
                <w:i/>
                <w:iCs/>
                <w:sz w:val="20"/>
                <w:szCs w:val="20"/>
              </w:rPr>
              <w:t xml:space="preserve"> se uporabi v kombinaciji s TS 1. Strežnikom, ki so skladni s TS 1, se lahko dodelijo dodatne točke za njihovo moč v stanju nedejavnosti. </w:t>
            </w:r>
          </w:p>
          <w:p w14:paraId="5F48FE23" w14:textId="77777777" w:rsidR="00830E60" w:rsidRPr="00FF0F1D" w:rsidRDefault="00830E60" w:rsidP="00830E60">
            <w:pPr>
              <w:jc w:val="both"/>
              <w:rPr>
                <w:rFonts w:ascii="Arial" w:hAnsi="Arial" w:cs="Arial"/>
                <w:i/>
                <w:iCs/>
                <w:sz w:val="20"/>
                <w:szCs w:val="20"/>
              </w:rPr>
            </w:pPr>
          </w:p>
          <w:p w14:paraId="0E4A745D" w14:textId="5E34BCF2" w:rsidR="00830E60" w:rsidRPr="00FF0F1D" w:rsidRDefault="00830E60" w:rsidP="00830E60">
            <w:pPr>
              <w:jc w:val="both"/>
              <w:rPr>
                <w:rFonts w:ascii="Arial" w:hAnsi="Arial" w:cs="Arial"/>
                <w:i/>
                <w:iCs/>
                <w:sz w:val="20"/>
                <w:szCs w:val="20"/>
              </w:rPr>
            </w:pPr>
            <w:r w:rsidRPr="00FF0F1D">
              <w:rPr>
                <w:rFonts w:ascii="Arial" w:hAnsi="Arial" w:cs="Arial"/>
                <w:i/>
                <w:iCs/>
                <w:sz w:val="20"/>
                <w:szCs w:val="20"/>
              </w:rPr>
              <w:t xml:space="preserve">Uporabi se samo, če so vrsta izdelka (npr. vgradni ali pokončni strežniki, strežniki z eno ali dvema vtičnicama) in značilnosti sistema, ki vplivajo na porabo električne energije (npr. zmogljivost CPE, strežnik z električno redundanco ali brez nje, pomnilnik, pogoni, dodatne naprave), opisane v tehničnih specifikacijah. </w:t>
            </w:r>
          </w:p>
          <w:p w14:paraId="595EB99F" w14:textId="77777777" w:rsidR="00830E60" w:rsidRDefault="00830E60" w:rsidP="00830E60">
            <w:pPr>
              <w:jc w:val="both"/>
              <w:rPr>
                <w:rFonts w:ascii="Arial" w:hAnsi="Arial" w:cs="Arial"/>
                <w:sz w:val="20"/>
                <w:szCs w:val="20"/>
              </w:rPr>
            </w:pPr>
          </w:p>
          <w:p w14:paraId="2203FE8D" w14:textId="77777777" w:rsidR="00830E60" w:rsidRDefault="00830E60" w:rsidP="00830E60">
            <w:pPr>
              <w:jc w:val="both"/>
              <w:rPr>
                <w:rFonts w:ascii="Arial" w:hAnsi="Arial" w:cs="Arial"/>
                <w:sz w:val="20"/>
                <w:szCs w:val="20"/>
              </w:rPr>
            </w:pPr>
            <w:r w:rsidRPr="00FF0F1D">
              <w:rPr>
                <w:rFonts w:ascii="Arial" w:hAnsi="Arial" w:cs="Arial"/>
                <w:sz w:val="20"/>
                <w:szCs w:val="20"/>
              </w:rPr>
              <w:t xml:space="preserve">Z izjemo odpornih strežnikov se lahko strežnikom za visokozmogljivostno računalništvo in strežnikom z integriranim pomožnim procesorskim pospeševalnikom dodeli največ x točk [število se določi]. Modelom strežnikov se dodelijo točke na podlagi stopnje izboljšanja glede na najnižje prage zmogljivosti, kakor so izračunani za vrsto strežnika v skladu z </w:t>
            </w:r>
            <w:hyperlink r:id="rId34" w:history="1">
              <w:r w:rsidRPr="00853340">
                <w:rPr>
                  <w:rStyle w:val="Hiperpovezava"/>
                  <w:rFonts w:ascii="Arial" w:hAnsi="Arial" w:cs="Arial"/>
                  <w:sz w:val="20"/>
                  <w:szCs w:val="20"/>
                </w:rPr>
                <w:t>Uredbo Komisije (EU) 2019/424</w:t>
              </w:r>
            </w:hyperlink>
            <w:r>
              <w:rPr>
                <w:rStyle w:val="Hiperpovezava"/>
                <w:rFonts w:ascii="Arial" w:hAnsi="Arial" w:cs="Arial"/>
                <w:sz w:val="20"/>
                <w:szCs w:val="20"/>
              </w:rPr>
              <w:t xml:space="preserve"> </w:t>
            </w:r>
            <w:r w:rsidRPr="00FF0F1D">
              <w:rPr>
                <w:rFonts w:ascii="Arial" w:hAnsi="Arial" w:cs="Arial"/>
                <w:sz w:val="20"/>
                <w:szCs w:val="20"/>
              </w:rPr>
              <w:t xml:space="preserve">o določitvi zahtev za okoljsko primerno zasnovo strežnikov in izdelkov za shranjevanje podatkov. </w:t>
            </w:r>
          </w:p>
          <w:p w14:paraId="690AF800" w14:textId="77777777" w:rsidR="00F05A29" w:rsidRDefault="00F05A29" w:rsidP="00830E60">
            <w:pPr>
              <w:jc w:val="both"/>
              <w:rPr>
                <w:rFonts w:ascii="Arial" w:hAnsi="Arial" w:cs="Arial"/>
                <w:sz w:val="20"/>
                <w:szCs w:val="20"/>
              </w:rPr>
            </w:pPr>
          </w:p>
          <w:p w14:paraId="745233FB" w14:textId="77777777" w:rsidR="00F05A29" w:rsidRPr="00F05A29" w:rsidRDefault="00F05A29" w:rsidP="00830E60">
            <w:pPr>
              <w:jc w:val="both"/>
              <w:rPr>
                <w:rFonts w:ascii="Arial" w:hAnsi="Arial" w:cs="Arial"/>
                <w:b/>
                <w:bCs/>
                <w:sz w:val="20"/>
                <w:szCs w:val="20"/>
              </w:rPr>
            </w:pPr>
            <w:r w:rsidRPr="00F05A29">
              <w:rPr>
                <w:rFonts w:ascii="Arial" w:hAnsi="Arial" w:cs="Arial"/>
                <w:b/>
                <w:bCs/>
                <w:sz w:val="20"/>
                <w:szCs w:val="20"/>
              </w:rPr>
              <w:t>Pojasnilo:</w:t>
            </w:r>
          </w:p>
          <w:p w14:paraId="47A1EA5E" w14:textId="3B8DD842" w:rsidR="00F05A29" w:rsidRPr="00F05A29" w:rsidRDefault="00F05A29" w:rsidP="00F05A29">
            <w:pPr>
              <w:pStyle w:val="Default"/>
              <w:jc w:val="both"/>
              <w:rPr>
                <w:rFonts w:ascii="Arial" w:hAnsi="Arial" w:cs="Arial"/>
                <w:color w:val="auto"/>
                <w:kern w:val="2"/>
                <w:sz w:val="20"/>
                <w:szCs w:val="20"/>
              </w:rPr>
            </w:pPr>
            <w:r w:rsidRPr="00F05A29">
              <w:rPr>
                <w:rFonts w:ascii="Arial" w:hAnsi="Arial" w:cs="Arial"/>
                <w:color w:val="auto"/>
                <w:kern w:val="2"/>
                <w:sz w:val="20"/>
                <w:szCs w:val="20"/>
              </w:rPr>
              <w:t>Izračun moči v stanju nedejavnosti v skladu z Uredbo Komisije (EU) 2019/424: EN 303 470 temelji na različici 2 metodologije preizkušanja SERT in vključuje poseben preskus moči v stanju nedejavnosti, izračun moči v aktivnem stanju in metriko aktivne učinkovitosti. Proizvajalci morajo te podatke skladno z zahtevami za okoljsko primerno zasnovo izdelkov dati na voljo javnosti.</w:t>
            </w:r>
            <w:r>
              <w:rPr>
                <w:rFonts w:ascii="Arial" w:hAnsi="Arial" w:cs="Arial"/>
                <w:color w:val="auto"/>
                <w:kern w:val="2"/>
                <w:sz w:val="20"/>
                <w:szCs w:val="20"/>
              </w:rPr>
              <w:t xml:space="preserve"> </w:t>
            </w:r>
            <w:r w:rsidRPr="00F05A29">
              <w:rPr>
                <w:rFonts w:ascii="Arial" w:hAnsi="Arial" w:cs="Arial"/>
                <w:color w:val="auto"/>
                <w:kern w:val="2"/>
                <w:sz w:val="20"/>
                <w:szCs w:val="20"/>
              </w:rPr>
              <w:t>Za uporabo osnovnih meril mora biti najnižji prag za vsako vrsto strežnika izračunan na podlagi dodatnih sestavnih delov strežnika, ki jih je treba vključiti v ponudbo in v razpis za zbiranje ponudb.</w:t>
            </w:r>
            <w:r w:rsidR="000F15EE">
              <w:rPr>
                <w:rFonts w:ascii="Arial" w:hAnsi="Arial" w:cs="Arial"/>
                <w:color w:val="auto"/>
                <w:kern w:val="2"/>
                <w:sz w:val="20"/>
                <w:szCs w:val="20"/>
              </w:rPr>
              <w:t xml:space="preserve"> </w:t>
            </w:r>
            <w:r w:rsidRPr="00F05A29">
              <w:rPr>
                <w:rFonts w:ascii="Arial" w:hAnsi="Arial" w:cs="Arial"/>
                <w:color w:val="auto"/>
                <w:kern w:val="2"/>
                <w:sz w:val="20"/>
                <w:szCs w:val="20"/>
              </w:rPr>
              <w:t xml:space="preserve">Metoda za okoljsko primerno zasnovo izdelkov je podrobno opisana v Prilogi III </w:t>
            </w:r>
            <w:r w:rsidR="000F15EE">
              <w:rPr>
                <w:rFonts w:ascii="Arial" w:hAnsi="Arial" w:cs="Arial"/>
                <w:color w:val="auto"/>
                <w:kern w:val="2"/>
                <w:sz w:val="20"/>
                <w:szCs w:val="20"/>
              </w:rPr>
              <w:t xml:space="preserve"> Meril EU</w:t>
            </w:r>
            <w:r w:rsidRPr="00F05A29">
              <w:rPr>
                <w:rFonts w:ascii="Arial" w:hAnsi="Arial" w:cs="Arial"/>
                <w:color w:val="auto"/>
                <w:kern w:val="2"/>
                <w:sz w:val="20"/>
                <w:szCs w:val="20"/>
              </w:rPr>
              <w:t>. Vsak prag mora biti določen v skladu z naslednjo enačbo:Pidle = Pbase+ΣPadd_i</w:t>
            </w:r>
            <w:r w:rsidR="000F15EE">
              <w:rPr>
                <w:rFonts w:ascii="Arial" w:hAnsi="Arial" w:cs="Arial"/>
                <w:color w:val="auto"/>
                <w:kern w:val="2"/>
                <w:sz w:val="20"/>
                <w:szCs w:val="20"/>
              </w:rPr>
              <w:t>,</w:t>
            </w:r>
            <w:r w:rsidR="00C41E7C">
              <w:rPr>
                <w:rFonts w:ascii="Arial" w:hAnsi="Arial" w:cs="Arial"/>
                <w:color w:val="auto"/>
                <w:kern w:val="2"/>
                <w:sz w:val="20"/>
                <w:szCs w:val="20"/>
              </w:rPr>
              <w:t xml:space="preserve"> </w:t>
            </w:r>
            <w:r w:rsidRPr="00F05A29">
              <w:rPr>
                <w:rFonts w:ascii="Arial" w:hAnsi="Arial" w:cs="Arial"/>
                <w:color w:val="auto"/>
                <w:kern w:val="2"/>
                <w:sz w:val="20"/>
                <w:szCs w:val="20"/>
              </w:rPr>
              <w:t>pri čemer je Pbase osnovna dodelitev moči v stanju nedejavnosti iz preglednice 3, ΣPadd_i pa je vsota dodelitev moči v stanju nedejavnosti za ustrezne dodatne sestavne dele, kot so določene v preglednici 4. Za rezinske strežnike je moč Pidle izračunana kot skupna izmerjena moč, deljena s številom rezinskih strežnikov, nameščenih v preizkušeni rezinski omari.</w:t>
            </w:r>
          </w:p>
          <w:p w14:paraId="0E492F62" w14:textId="77777777" w:rsidR="00830E60" w:rsidRDefault="00830E60" w:rsidP="00830E60">
            <w:pPr>
              <w:jc w:val="both"/>
              <w:rPr>
                <w:rFonts w:ascii="Arial" w:hAnsi="Arial" w:cs="Arial"/>
                <w:sz w:val="20"/>
                <w:szCs w:val="20"/>
              </w:rPr>
            </w:pPr>
          </w:p>
          <w:p w14:paraId="28AB7302" w14:textId="77777777" w:rsidR="00830E60" w:rsidRPr="00FF0F1D" w:rsidRDefault="00830E60" w:rsidP="00830E60">
            <w:pPr>
              <w:jc w:val="both"/>
              <w:rPr>
                <w:rFonts w:ascii="Arial" w:hAnsi="Arial" w:cs="Arial"/>
                <w:b/>
                <w:bCs/>
                <w:sz w:val="20"/>
                <w:szCs w:val="20"/>
              </w:rPr>
            </w:pPr>
            <w:r w:rsidRPr="00FF0F1D">
              <w:rPr>
                <w:rFonts w:ascii="Arial" w:hAnsi="Arial" w:cs="Arial"/>
                <w:b/>
                <w:bCs/>
                <w:sz w:val="20"/>
                <w:szCs w:val="20"/>
              </w:rPr>
              <w:t xml:space="preserve">Preverjanje: </w:t>
            </w:r>
          </w:p>
          <w:p w14:paraId="5467D43D" w14:textId="77777777" w:rsidR="00830E60" w:rsidRPr="00853340" w:rsidRDefault="00830E60" w:rsidP="00830E60">
            <w:pPr>
              <w:jc w:val="both"/>
              <w:rPr>
                <w:rFonts w:ascii="Arial" w:hAnsi="Arial" w:cs="Arial"/>
                <w:sz w:val="20"/>
                <w:szCs w:val="20"/>
              </w:rPr>
            </w:pPr>
            <w:r w:rsidRPr="00FF0F1D">
              <w:rPr>
                <w:rFonts w:ascii="Arial" w:hAnsi="Arial" w:cs="Arial"/>
                <w:sz w:val="20"/>
                <w:szCs w:val="20"/>
              </w:rPr>
              <w:t>Ponudnik mora predložiti natančen izračun moči posameznih strežnikov v stanju nedejavnosti na podlagi preizkusa iz EN 303470 ter skladno z Uredbo Komisije (EU) 2019/424 (glej tudi priloženo pojasnilo). Če za uporabo predlaga drugačne konfiguracije modelov strežnikov, mora opredeliti preverjeno zmogljivost visoke in nizke konfiguracije. Ponudnik lahko skladnost dokaže tudi s poročilom o preskusu za podobno konfiguriran enak model strežnika.</w:t>
            </w:r>
          </w:p>
          <w:p w14:paraId="5C6FF0F4" w14:textId="77777777" w:rsidR="00830E60" w:rsidRDefault="00830E60" w:rsidP="00830E60">
            <w:pPr>
              <w:jc w:val="both"/>
              <w:rPr>
                <w:rFonts w:ascii="Arial" w:eastAsia="Arial" w:hAnsi="Arial" w:cs="Arial"/>
                <w:b/>
                <w:color w:val="385522"/>
                <w:spacing w:val="1"/>
                <w:kern w:val="0"/>
                <w:sz w:val="20"/>
                <w:szCs w:val="20"/>
                <w14:ligatures w14:val="none"/>
              </w:rPr>
            </w:pPr>
          </w:p>
        </w:tc>
      </w:tr>
      <w:tr w:rsidR="00CB76DB" w14:paraId="333D4786" w14:textId="77777777" w:rsidTr="000F15EE">
        <w:tc>
          <w:tcPr>
            <w:tcW w:w="704" w:type="dxa"/>
          </w:tcPr>
          <w:p w14:paraId="2C893EAA" w14:textId="77777777" w:rsidR="00CB76DB" w:rsidRDefault="00CB76DB" w:rsidP="00830E60">
            <w:pPr>
              <w:jc w:val="both"/>
              <w:rPr>
                <w:rFonts w:ascii="Arial" w:eastAsia="Arial" w:hAnsi="Arial" w:cs="Arial"/>
                <w:bCs/>
                <w:spacing w:val="1"/>
                <w:kern w:val="0"/>
                <w:sz w:val="20"/>
                <w:szCs w:val="20"/>
                <w14:ligatures w14:val="none"/>
              </w:rPr>
            </w:pPr>
          </w:p>
        </w:tc>
        <w:tc>
          <w:tcPr>
            <w:tcW w:w="8312" w:type="dxa"/>
            <w:gridSpan w:val="3"/>
            <w:shd w:val="clear" w:color="auto" w:fill="9BBA58"/>
          </w:tcPr>
          <w:p w14:paraId="2F4AC12D" w14:textId="77777777" w:rsidR="00CB76DB" w:rsidRPr="00CB76DB" w:rsidRDefault="00CB76DB" w:rsidP="00CB76DB">
            <w:pPr>
              <w:jc w:val="both"/>
              <w:rPr>
                <w:rFonts w:ascii="Arial" w:hAnsi="Arial" w:cs="Arial"/>
                <w:b/>
                <w:bCs/>
                <w:sz w:val="20"/>
                <w:szCs w:val="20"/>
              </w:rPr>
            </w:pPr>
            <w:r w:rsidRPr="00CB76DB">
              <w:rPr>
                <w:rFonts w:ascii="Arial" w:hAnsi="Arial" w:cs="Arial"/>
                <w:b/>
                <w:bCs/>
                <w:sz w:val="20"/>
                <w:szCs w:val="20"/>
              </w:rPr>
              <w:t xml:space="preserve">Predmet naročila: </w:t>
            </w:r>
          </w:p>
          <w:p w14:paraId="61E1986A" w14:textId="77777777" w:rsidR="00CB76DB" w:rsidRPr="00CB76DB" w:rsidRDefault="00CB76DB" w:rsidP="00CB76DB">
            <w:pPr>
              <w:numPr>
                <w:ilvl w:val="0"/>
                <w:numId w:val="1"/>
              </w:numPr>
              <w:jc w:val="both"/>
              <w:rPr>
                <w:rFonts w:ascii="Arial" w:hAnsi="Arial" w:cs="Arial"/>
                <w:b/>
                <w:bCs/>
                <w:sz w:val="20"/>
                <w:szCs w:val="20"/>
              </w:rPr>
            </w:pPr>
            <w:r w:rsidRPr="00CB76DB">
              <w:rPr>
                <w:rFonts w:ascii="Arial" w:hAnsi="Arial" w:cs="Arial"/>
                <w:b/>
                <w:bCs/>
                <w:sz w:val="20"/>
                <w:szCs w:val="20"/>
              </w:rPr>
              <w:t>nakup opreme IT z manjšim vplivom na okolje</w:t>
            </w:r>
          </w:p>
          <w:p w14:paraId="2835CE6F" w14:textId="77777777" w:rsidR="00CB76DB" w:rsidRDefault="00CB76DB" w:rsidP="00830E60">
            <w:pPr>
              <w:jc w:val="both"/>
              <w:rPr>
                <w:rFonts w:ascii="Arial" w:hAnsi="Arial" w:cs="Arial"/>
                <w:b/>
                <w:bCs/>
                <w:sz w:val="20"/>
                <w:szCs w:val="20"/>
              </w:rPr>
            </w:pPr>
          </w:p>
        </w:tc>
      </w:tr>
      <w:tr w:rsidR="00830E60" w14:paraId="740203B6" w14:textId="77777777" w:rsidTr="00195DD9">
        <w:tc>
          <w:tcPr>
            <w:tcW w:w="704" w:type="dxa"/>
          </w:tcPr>
          <w:p w14:paraId="1B71C062" w14:textId="62C30A42" w:rsidR="00830E60" w:rsidRPr="00EE4AEF" w:rsidRDefault="00A74DB6" w:rsidP="00830E60">
            <w:pPr>
              <w:jc w:val="both"/>
              <w:rPr>
                <w:rFonts w:ascii="Arial" w:eastAsia="Arial" w:hAnsi="Arial" w:cs="Arial"/>
                <w:bCs/>
                <w:color w:val="385522"/>
                <w:spacing w:val="1"/>
                <w:kern w:val="0"/>
                <w:sz w:val="20"/>
                <w:szCs w:val="20"/>
                <w14:ligatures w14:val="none"/>
              </w:rPr>
            </w:pPr>
            <w:r>
              <w:rPr>
                <w:rFonts w:ascii="Arial" w:eastAsia="Arial" w:hAnsi="Arial" w:cs="Arial"/>
                <w:bCs/>
                <w:spacing w:val="1"/>
                <w:kern w:val="0"/>
                <w:sz w:val="20"/>
                <w:szCs w:val="20"/>
                <w14:ligatures w14:val="none"/>
              </w:rPr>
              <w:t>ME</w:t>
            </w:r>
            <w:r w:rsidR="00830E60" w:rsidRPr="00EE4AEF">
              <w:rPr>
                <w:rFonts w:ascii="Arial" w:eastAsia="Arial" w:hAnsi="Arial" w:cs="Arial"/>
                <w:bCs/>
                <w:spacing w:val="1"/>
                <w:kern w:val="0"/>
                <w:sz w:val="20"/>
                <w:szCs w:val="20"/>
                <w14:ligatures w14:val="none"/>
              </w:rPr>
              <w:t>2</w:t>
            </w:r>
          </w:p>
        </w:tc>
        <w:tc>
          <w:tcPr>
            <w:tcW w:w="3969" w:type="dxa"/>
          </w:tcPr>
          <w:p w14:paraId="3FCB3D2A" w14:textId="77777777" w:rsidR="00830E60" w:rsidRDefault="00830E60" w:rsidP="00830E60">
            <w:pPr>
              <w:jc w:val="both"/>
              <w:rPr>
                <w:rFonts w:ascii="Arial" w:eastAsia="Arial" w:hAnsi="Arial" w:cs="Arial"/>
                <w:b/>
                <w:color w:val="385522"/>
                <w:spacing w:val="1"/>
                <w:kern w:val="0"/>
                <w:sz w:val="20"/>
                <w:szCs w:val="20"/>
                <w14:ligatures w14:val="none"/>
              </w:rPr>
            </w:pPr>
          </w:p>
        </w:tc>
        <w:tc>
          <w:tcPr>
            <w:tcW w:w="4343" w:type="dxa"/>
            <w:gridSpan w:val="2"/>
          </w:tcPr>
          <w:p w14:paraId="62941A3E" w14:textId="77777777" w:rsidR="00830E60" w:rsidRPr="00853340" w:rsidRDefault="00830E60" w:rsidP="00830E60">
            <w:pPr>
              <w:jc w:val="both"/>
              <w:rPr>
                <w:rFonts w:ascii="Arial" w:hAnsi="Arial" w:cs="Arial"/>
                <w:b/>
                <w:bCs/>
                <w:sz w:val="20"/>
                <w:szCs w:val="20"/>
              </w:rPr>
            </w:pPr>
            <w:r w:rsidRPr="00853340">
              <w:rPr>
                <w:rFonts w:ascii="Arial" w:hAnsi="Arial" w:cs="Arial"/>
                <w:b/>
                <w:bCs/>
                <w:sz w:val="20"/>
                <w:szCs w:val="20"/>
              </w:rPr>
              <w:t xml:space="preserve">Poraba energije nameščenega strežnika – </w:t>
            </w:r>
            <w:r w:rsidRPr="00CB76DB">
              <w:rPr>
                <w:rFonts w:ascii="Arial" w:hAnsi="Arial" w:cs="Arial"/>
                <w:b/>
                <w:bCs/>
                <w:i/>
                <w:iCs/>
                <w:sz w:val="20"/>
                <w:szCs w:val="20"/>
              </w:rPr>
              <w:t>Zahtevnejši nivo</w:t>
            </w:r>
          </w:p>
          <w:p w14:paraId="61C8D43F" w14:textId="77777777" w:rsidR="00830E60" w:rsidRPr="00853340" w:rsidRDefault="00830E60" w:rsidP="00830E60">
            <w:pPr>
              <w:jc w:val="both"/>
              <w:rPr>
                <w:rFonts w:ascii="Arial" w:hAnsi="Arial" w:cs="Arial"/>
                <w:b/>
                <w:bCs/>
                <w:sz w:val="20"/>
                <w:szCs w:val="20"/>
              </w:rPr>
            </w:pPr>
          </w:p>
          <w:p w14:paraId="70834F3F" w14:textId="4E342DB6" w:rsidR="00830E60" w:rsidRPr="00846402" w:rsidRDefault="00830E60" w:rsidP="00830E60">
            <w:pPr>
              <w:jc w:val="both"/>
              <w:rPr>
                <w:rFonts w:ascii="Arial" w:hAnsi="Arial" w:cs="Arial"/>
                <w:i/>
                <w:iCs/>
                <w:sz w:val="20"/>
                <w:szCs w:val="20"/>
              </w:rPr>
            </w:pPr>
            <w:r w:rsidRPr="00846402">
              <w:rPr>
                <w:rFonts w:ascii="Arial" w:hAnsi="Arial" w:cs="Arial"/>
                <w:i/>
                <w:iCs/>
                <w:sz w:val="20"/>
                <w:szCs w:val="20"/>
              </w:rPr>
              <w:t xml:space="preserve">Ta merila se priporočajo, če naročnik želi pridobiti ponudbe na podlagi porabe električne energije pričakovane delovne obremenitve IT in jo nato spremljati med delovanjem. Uporabijo se v povezavi s </w:t>
            </w:r>
            <w:r w:rsidR="00592B64">
              <w:rPr>
                <w:rFonts w:ascii="Arial" w:hAnsi="Arial" w:cs="Arial"/>
                <w:i/>
                <w:iCs/>
                <w:sz w:val="20"/>
                <w:szCs w:val="20"/>
              </w:rPr>
              <w:t>PK</w:t>
            </w:r>
            <w:r w:rsidR="00592B64" w:rsidRPr="00846402">
              <w:rPr>
                <w:rFonts w:ascii="Arial" w:hAnsi="Arial" w:cs="Arial"/>
                <w:i/>
                <w:iCs/>
                <w:sz w:val="20"/>
                <w:szCs w:val="20"/>
              </w:rPr>
              <w:t xml:space="preserve"> </w:t>
            </w:r>
            <w:r w:rsidRPr="00846402">
              <w:rPr>
                <w:rFonts w:ascii="Arial" w:hAnsi="Arial" w:cs="Arial"/>
                <w:i/>
                <w:iCs/>
                <w:sz w:val="20"/>
                <w:szCs w:val="20"/>
              </w:rPr>
              <w:t xml:space="preserve">1. </w:t>
            </w:r>
          </w:p>
          <w:p w14:paraId="78842655" w14:textId="77777777" w:rsidR="00830E60" w:rsidRDefault="00830E60" w:rsidP="00830E60">
            <w:pPr>
              <w:jc w:val="both"/>
              <w:rPr>
                <w:rFonts w:ascii="Arial" w:hAnsi="Arial" w:cs="Arial"/>
                <w:sz w:val="20"/>
                <w:szCs w:val="20"/>
              </w:rPr>
            </w:pPr>
          </w:p>
          <w:p w14:paraId="60750D46" w14:textId="4EB0AB9C" w:rsidR="00830E60" w:rsidRDefault="00830E60" w:rsidP="00830E60">
            <w:pPr>
              <w:jc w:val="both"/>
              <w:rPr>
                <w:rFonts w:ascii="Arial" w:hAnsi="Arial" w:cs="Arial"/>
                <w:sz w:val="20"/>
                <w:szCs w:val="20"/>
              </w:rPr>
            </w:pPr>
            <w:r w:rsidRPr="00846402">
              <w:rPr>
                <w:rFonts w:ascii="Arial" w:hAnsi="Arial" w:cs="Arial"/>
                <w:sz w:val="20"/>
                <w:szCs w:val="20"/>
              </w:rPr>
              <w:t xml:space="preserve">Točke bodo dodeljene na podlagi ocene uporabljene energije, izračunane za vse vrste strežnikov in njihove konfiguracije, ki se bodo </w:t>
            </w:r>
            <w:r w:rsidRPr="00846402">
              <w:rPr>
                <w:rFonts w:ascii="Arial" w:hAnsi="Arial" w:cs="Arial"/>
                <w:sz w:val="20"/>
                <w:szCs w:val="20"/>
              </w:rPr>
              <w:lastRenderedPageBreak/>
              <w:t xml:space="preserve">uporabile v podatkovnem centru. Zmogljivost različnih konfiguracij strežnikov je nato mogoče interpolirati s pomočjo najvišjih in najnižjih preskusnih podatkov za konfiguracije. Izračun lahko temelji na delovnih obremenitvah, ki jih določi javni naročnik. Največ točk bo dodeljenih ponudbi z najnižjo uporabljeno energijo. Vsem drugim ponudbam se dodelijo točke sorazmerno z najboljšo ponudbo. </w:t>
            </w:r>
          </w:p>
          <w:p w14:paraId="058B26AD" w14:textId="77777777" w:rsidR="00830E60" w:rsidRDefault="00830E60" w:rsidP="00830E60">
            <w:pPr>
              <w:jc w:val="both"/>
              <w:rPr>
                <w:rFonts w:ascii="Arial" w:hAnsi="Arial" w:cs="Arial"/>
                <w:sz w:val="20"/>
                <w:szCs w:val="20"/>
              </w:rPr>
            </w:pPr>
          </w:p>
          <w:p w14:paraId="46577212" w14:textId="77777777" w:rsidR="00830E60" w:rsidRPr="00846402" w:rsidRDefault="00830E60" w:rsidP="00830E60">
            <w:pPr>
              <w:jc w:val="both"/>
              <w:rPr>
                <w:rFonts w:ascii="Arial" w:hAnsi="Arial" w:cs="Arial"/>
                <w:b/>
                <w:bCs/>
                <w:sz w:val="20"/>
                <w:szCs w:val="20"/>
              </w:rPr>
            </w:pPr>
            <w:r w:rsidRPr="00846402">
              <w:rPr>
                <w:rFonts w:ascii="Arial" w:hAnsi="Arial" w:cs="Arial"/>
                <w:b/>
                <w:bCs/>
                <w:sz w:val="20"/>
                <w:szCs w:val="20"/>
              </w:rPr>
              <w:t xml:space="preserve">Preverjanje: </w:t>
            </w:r>
          </w:p>
          <w:p w14:paraId="23BFF15C" w14:textId="77777777" w:rsidR="00830E60" w:rsidRDefault="00830E60" w:rsidP="00830E60">
            <w:pPr>
              <w:jc w:val="both"/>
              <w:rPr>
                <w:rFonts w:ascii="Arial" w:hAnsi="Arial" w:cs="Arial"/>
                <w:sz w:val="20"/>
                <w:szCs w:val="20"/>
              </w:rPr>
            </w:pPr>
            <w:r w:rsidRPr="00846402">
              <w:rPr>
                <w:rFonts w:ascii="Arial" w:hAnsi="Arial" w:cs="Arial"/>
                <w:sz w:val="20"/>
                <w:szCs w:val="20"/>
              </w:rPr>
              <w:t xml:space="preserve">Ponudnik mora predložiti podroben izračun porabe energije, bodisi na podlagi [je treba določiti]: </w:t>
            </w:r>
          </w:p>
          <w:p w14:paraId="7B63E55B" w14:textId="6EB09073" w:rsidR="00830E60" w:rsidRPr="00592B64" w:rsidRDefault="00830E60" w:rsidP="00592B64">
            <w:pPr>
              <w:pStyle w:val="Odstavekseznama"/>
              <w:numPr>
                <w:ilvl w:val="0"/>
                <w:numId w:val="29"/>
              </w:numPr>
              <w:jc w:val="both"/>
              <w:rPr>
                <w:rFonts w:ascii="Arial" w:hAnsi="Arial" w:cs="Arial"/>
                <w:sz w:val="20"/>
                <w:szCs w:val="20"/>
              </w:rPr>
            </w:pPr>
            <w:r w:rsidRPr="00592B64">
              <w:rPr>
                <w:rFonts w:ascii="Arial" w:hAnsi="Arial" w:cs="Arial"/>
                <w:sz w:val="20"/>
                <w:szCs w:val="20"/>
              </w:rPr>
              <w:t xml:space="preserve">metode uporabljene energije s standardiziranimi delovnimi obremenitvami iz EN 303470 ali </w:t>
            </w:r>
          </w:p>
          <w:p w14:paraId="4262D5E9" w14:textId="5DD21B34" w:rsidR="00830E60" w:rsidRPr="00592B64" w:rsidRDefault="00830E60" w:rsidP="00592B64">
            <w:pPr>
              <w:pStyle w:val="Odstavekseznama"/>
              <w:numPr>
                <w:ilvl w:val="0"/>
                <w:numId w:val="29"/>
              </w:numPr>
              <w:jc w:val="both"/>
              <w:rPr>
                <w:rFonts w:ascii="Arial" w:hAnsi="Arial" w:cs="Arial"/>
                <w:sz w:val="20"/>
                <w:szCs w:val="20"/>
              </w:rPr>
            </w:pPr>
            <w:r w:rsidRPr="00592B64">
              <w:rPr>
                <w:rFonts w:ascii="Arial" w:hAnsi="Arial" w:cs="Arial"/>
                <w:sz w:val="20"/>
                <w:szCs w:val="20"/>
              </w:rPr>
              <w:t xml:space="preserve">s preizkusnim protokolom, ki ga določi naročnik. </w:t>
            </w:r>
          </w:p>
          <w:p w14:paraId="64B51D3D" w14:textId="77777777" w:rsidR="00830E60" w:rsidRDefault="00830E60" w:rsidP="00830E60">
            <w:pPr>
              <w:jc w:val="both"/>
              <w:rPr>
                <w:rFonts w:ascii="Arial" w:hAnsi="Arial" w:cs="Arial"/>
                <w:sz w:val="20"/>
                <w:szCs w:val="20"/>
              </w:rPr>
            </w:pPr>
          </w:p>
          <w:p w14:paraId="5A2C63EB" w14:textId="132FA5F3" w:rsidR="00830E60" w:rsidRDefault="00830E60" w:rsidP="00830E60">
            <w:pPr>
              <w:jc w:val="both"/>
              <w:rPr>
                <w:rFonts w:ascii="Arial" w:eastAsia="Arial" w:hAnsi="Arial" w:cs="Arial"/>
                <w:b/>
                <w:color w:val="385522"/>
                <w:spacing w:val="1"/>
                <w:kern w:val="0"/>
                <w:sz w:val="20"/>
                <w:szCs w:val="20"/>
                <w14:ligatures w14:val="none"/>
              </w:rPr>
            </w:pPr>
            <w:r w:rsidRPr="00846402">
              <w:rPr>
                <w:rFonts w:ascii="Arial" w:hAnsi="Arial" w:cs="Arial"/>
                <w:sz w:val="20"/>
                <w:szCs w:val="20"/>
              </w:rPr>
              <w:t>Če je zmogljivost konfiguracij interpolirana iz preizkusnih podatkov, je treba predložiti informacije o uporabljeni metodi.</w:t>
            </w:r>
          </w:p>
        </w:tc>
      </w:tr>
      <w:tr w:rsidR="00CB76DB" w14:paraId="1FE070FA" w14:textId="77777777" w:rsidTr="000F15EE">
        <w:tc>
          <w:tcPr>
            <w:tcW w:w="704" w:type="dxa"/>
            <w:shd w:val="clear" w:color="auto" w:fill="FFFFFF" w:themeFill="background1"/>
          </w:tcPr>
          <w:p w14:paraId="3038651E" w14:textId="77777777" w:rsidR="00CB76DB" w:rsidRDefault="00CB76DB" w:rsidP="00830E60">
            <w:pPr>
              <w:jc w:val="both"/>
              <w:rPr>
                <w:rFonts w:ascii="Arial" w:eastAsia="Arial" w:hAnsi="Arial" w:cs="Arial"/>
                <w:bCs/>
                <w:spacing w:val="1"/>
                <w:kern w:val="0"/>
                <w:sz w:val="20"/>
                <w:szCs w:val="20"/>
                <w14:ligatures w14:val="none"/>
              </w:rPr>
            </w:pPr>
          </w:p>
        </w:tc>
        <w:tc>
          <w:tcPr>
            <w:tcW w:w="8312" w:type="dxa"/>
            <w:gridSpan w:val="3"/>
            <w:shd w:val="clear" w:color="auto" w:fill="9BBA58"/>
          </w:tcPr>
          <w:p w14:paraId="4B810C0E" w14:textId="77777777" w:rsidR="00CB76DB" w:rsidRPr="00842C19" w:rsidRDefault="00CB76DB" w:rsidP="00CB76DB">
            <w:pPr>
              <w:pStyle w:val="Default"/>
              <w:jc w:val="both"/>
              <w:rPr>
                <w:rFonts w:ascii="Arial" w:hAnsi="Arial" w:cs="Arial"/>
                <w:b/>
                <w:bCs/>
                <w:color w:val="auto"/>
                <w:kern w:val="2"/>
                <w:sz w:val="20"/>
                <w:szCs w:val="20"/>
              </w:rPr>
            </w:pPr>
            <w:r w:rsidRPr="00842C19">
              <w:rPr>
                <w:rFonts w:ascii="Arial" w:hAnsi="Arial" w:cs="Arial"/>
                <w:b/>
                <w:bCs/>
                <w:color w:val="auto"/>
                <w:kern w:val="2"/>
                <w:sz w:val="20"/>
                <w:szCs w:val="20"/>
              </w:rPr>
              <w:t xml:space="preserve">Predmet naročila: </w:t>
            </w:r>
          </w:p>
          <w:p w14:paraId="30B84AE1" w14:textId="77777777" w:rsidR="00CB76DB" w:rsidRPr="00842C19" w:rsidRDefault="00CB76DB" w:rsidP="00CB76DB">
            <w:pPr>
              <w:pStyle w:val="Default"/>
              <w:numPr>
                <w:ilvl w:val="0"/>
                <w:numId w:val="1"/>
              </w:numPr>
              <w:jc w:val="both"/>
              <w:rPr>
                <w:rFonts w:ascii="Arial" w:hAnsi="Arial" w:cs="Arial"/>
                <w:b/>
                <w:bCs/>
                <w:color w:val="auto"/>
                <w:kern w:val="2"/>
                <w:sz w:val="20"/>
                <w:szCs w:val="20"/>
              </w:rPr>
            </w:pPr>
            <w:r w:rsidRPr="00842C19">
              <w:rPr>
                <w:rFonts w:ascii="Arial" w:hAnsi="Arial" w:cs="Arial"/>
                <w:b/>
                <w:bCs/>
                <w:color w:val="auto"/>
                <w:kern w:val="2"/>
                <w:sz w:val="20"/>
                <w:szCs w:val="20"/>
              </w:rPr>
              <w:t xml:space="preserve">nakup storitev virtualizacije ali konsolidacije IT </w:t>
            </w:r>
          </w:p>
          <w:p w14:paraId="5BF9F95E" w14:textId="77777777" w:rsidR="00CB76DB" w:rsidRPr="00853340" w:rsidRDefault="00CB76DB" w:rsidP="00830E60">
            <w:pPr>
              <w:jc w:val="both"/>
              <w:rPr>
                <w:rFonts w:ascii="Arial" w:hAnsi="Arial" w:cs="Arial"/>
                <w:b/>
                <w:bCs/>
                <w:sz w:val="20"/>
                <w:szCs w:val="20"/>
              </w:rPr>
            </w:pPr>
          </w:p>
        </w:tc>
      </w:tr>
      <w:tr w:rsidR="00830E60" w14:paraId="553BC265" w14:textId="77777777" w:rsidTr="000F15EE">
        <w:tc>
          <w:tcPr>
            <w:tcW w:w="704" w:type="dxa"/>
          </w:tcPr>
          <w:p w14:paraId="6FDB12C8" w14:textId="0268F886" w:rsidR="00830E60" w:rsidRPr="00EE4AEF" w:rsidRDefault="00592B64" w:rsidP="00830E60">
            <w:pPr>
              <w:jc w:val="both"/>
              <w:rPr>
                <w:rFonts w:ascii="Arial" w:eastAsia="Arial" w:hAnsi="Arial" w:cs="Arial"/>
                <w:bCs/>
                <w:spacing w:val="1"/>
                <w:kern w:val="0"/>
                <w:sz w:val="20"/>
                <w:szCs w:val="20"/>
                <w14:ligatures w14:val="none"/>
              </w:rPr>
            </w:pPr>
            <w:r>
              <w:rPr>
                <w:rFonts w:ascii="Arial" w:eastAsia="Arial" w:hAnsi="Arial" w:cs="Arial"/>
                <w:bCs/>
                <w:spacing w:val="1"/>
                <w:kern w:val="0"/>
                <w:sz w:val="20"/>
                <w:szCs w:val="20"/>
                <w14:ligatures w14:val="none"/>
              </w:rPr>
              <w:t>ME</w:t>
            </w:r>
            <w:r w:rsidR="00830E60">
              <w:rPr>
                <w:rFonts w:ascii="Arial" w:eastAsia="Arial" w:hAnsi="Arial" w:cs="Arial"/>
                <w:bCs/>
                <w:spacing w:val="1"/>
                <w:kern w:val="0"/>
                <w:sz w:val="20"/>
                <w:szCs w:val="20"/>
                <w14:ligatures w14:val="none"/>
              </w:rPr>
              <w:t>3</w:t>
            </w:r>
          </w:p>
        </w:tc>
        <w:tc>
          <w:tcPr>
            <w:tcW w:w="8312" w:type="dxa"/>
            <w:gridSpan w:val="3"/>
          </w:tcPr>
          <w:p w14:paraId="53B2EBBF" w14:textId="2B3AA795" w:rsidR="00830E60" w:rsidRDefault="00830E60" w:rsidP="00830E60">
            <w:pPr>
              <w:jc w:val="both"/>
              <w:rPr>
                <w:rFonts w:ascii="Arial" w:hAnsi="Arial" w:cs="Arial"/>
                <w:b/>
                <w:bCs/>
                <w:sz w:val="20"/>
                <w:szCs w:val="20"/>
              </w:rPr>
            </w:pPr>
            <w:r w:rsidRPr="00853340">
              <w:rPr>
                <w:rFonts w:ascii="Arial" w:hAnsi="Arial" w:cs="Arial"/>
                <w:b/>
                <w:bCs/>
                <w:sz w:val="20"/>
                <w:szCs w:val="20"/>
              </w:rPr>
              <w:t>Iz</w:t>
            </w:r>
            <w:r w:rsidR="00592B64">
              <w:rPr>
                <w:rFonts w:ascii="Arial" w:hAnsi="Arial" w:cs="Arial"/>
                <w:b/>
                <w:bCs/>
                <w:sz w:val="20"/>
                <w:szCs w:val="20"/>
              </w:rPr>
              <w:t>koriščenost</w:t>
            </w:r>
            <w:r w:rsidRPr="00853340">
              <w:rPr>
                <w:rFonts w:ascii="Arial" w:hAnsi="Arial" w:cs="Arial"/>
                <w:b/>
                <w:bCs/>
                <w:sz w:val="20"/>
                <w:szCs w:val="20"/>
              </w:rPr>
              <w:t xml:space="preserve"> strežnika – </w:t>
            </w:r>
            <w:r w:rsidRPr="00CB76DB">
              <w:rPr>
                <w:rFonts w:ascii="Arial" w:hAnsi="Arial" w:cs="Arial"/>
                <w:b/>
                <w:bCs/>
                <w:i/>
                <w:iCs/>
                <w:sz w:val="20"/>
                <w:szCs w:val="20"/>
              </w:rPr>
              <w:t>Osnovni in zahtevnejši nivo</w:t>
            </w:r>
          </w:p>
          <w:p w14:paraId="0760C3E8" w14:textId="77777777" w:rsidR="00830E60" w:rsidRPr="00853340" w:rsidRDefault="00830E60" w:rsidP="00830E60">
            <w:pPr>
              <w:jc w:val="both"/>
              <w:rPr>
                <w:rFonts w:ascii="Arial" w:hAnsi="Arial" w:cs="Arial"/>
                <w:b/>
                <w:bCs/>
                <w:sz w:val="20"/>
                <w:szCs w:val="20"/>
              </w:rPr>
            </w:pPr>
          </w:p>
          <w:p w14:paraId="2648586D" w14:textId="0F388F0D" w:rsidR="00830E60" w:rsidRPr="0081716D" w:rsidRDefault="00830E60" w:rsidP="00830E60">
            <w:pPr>
              <w:jc w:val="both"/>
              <w:rPr>
                <w:rFonts w:ascii="Arial" w:hAnsi="Arial" w:cs="Arial"/>
                <w:i/>
                <w:iCs/>
                <w:sz w:val="20"/>
                <w:szCs w:val="20"/>
              </w:rPr>
            </w:pPr>
            <w:r w:rsidRPr="0081716D">
              <w:rPr>
                <w:rFonts w:ascii="Arial" w:hAnsi="Arial" w:cs="Arial"/>
                <w:i/>
                <w:iCs/>
                <w:sz w:val="20"/>
                <w:szCs w:val="20"/>
              </w:rPr>
              <w:t xml:space="preserve">Se vključijo, če podatkovni center upravlja tretja oseba. Uporabijo se v povezavi s </w:t>
            </w:r>
            <w:r w:rsidR="00592B64">
              <w:rPr>
                <w:rFonts w:ascii="Arial" w:hAnsi="Arial" w:cs="Arial"/>
                <w:i/>
                <w:iCs/>
                <w:sz w:val="20"/>
                <w:szCs w:val="20"/>
              </w:rPr>
              <w:t>PK</w:t>
            </w:r>
            <w:r w:rsidR="00592B64" w:rsidRPr="0081716D">
              <w:rPr>
                <w:rFonts w:ascii="Arial" w:hAnsi="Arial" w:cs="Arial"/>
                <w:i/>
                <w:iCs/>
                <w:sz w:val="20"/>
                <w:szCs w:val="20"/>
              </w:rPr>
              <w:t xml:space="preserve"> </w:t>
            </w:r>
            <w:r w:rsidRPr="0081716D">
              <w:rPr>
                <w:rFonts w:ascii="Arial" w:hAnsi="Arial" w:cs="Arial"/>
                <w:i/>
                <w:iCs/>
                <w:sz w:val="20"/>
                <w:szCs w:val="20"/>
              </w:rPr>
              <w:t xml:space="preserve">4.2. </w:t>
            </w:r>
          </w:p>
          <w:p w14:paraId="40750977" w14:textId="77777777" w:rsidR="00830E60" w:rsidRPr="0081716D" w:rsidRDefault="00830E60" w:rsidP="00830E60">
            <w:pPr>
              <w:jc w:val="both"/>
              <w:rPr>
                <w:rFonts w:ascii="Arial" w:hAnsi="Arial" w:cs="Arial"/>
                <w:i/>
                <w:iCs/>
                <w:sz w:val="20"/>
                <w:szCs w:val="20"/>
              </w:rPr>
            </w:pPr>
          </w:p>
          <w:p w14:paraId="39592FAF" w14:textId="5C794328" w:rsidR="00830E60" w:rsidRPr="0081716D" w:rsidRDefault="0066151B" w:rsidP="00830E60">
            <w:pPr>
              <w:jc w:val="both"/>
              <w:rPr>
                <w:rFonts w:ascii="Arial" w:hAnsi="Arial" w:cs="Arial"/>
                <w:b/>
                <w:bCs/>
                <w:sz w:val="20"/>
                <w:szCs w:val="20"/>
              </w:rPr>
            </w:pPr>
            <w:r>
              <w:rPr>
                <w:rFonts w:ascii="Arial" w:hAnsi="Arial" w:cs="Arial"/>
                <w:b/>
                <w:bCs/>
                <w:sz w:val="20"/>
                <w:szCs w:val="20"/>
              </w:rPr>
              <w:t>ME</w:t>
            </w:r>
            <w:r w:rsidR="00830E60" w:rsidRPr="0081716D">
              <w:rPr>
                <w:rFonts w:ascii="Arial" w:hAnsi="Arial" w:cs="Arial"/>
                <w:b/>
                <w:bCs/>
                <w:sz w:val="20"/>
                <w:szCs w:val="20"/>
              </w:rPr>
              <w:t xml:space="preserve"> 3. Izkoriščenost strežnika </w:t>
            </w:r>
          </w:p>
          <w:p w14:paraId="2D870D8A" w14:textId="77777777" w:rsidR="00830E60" w:rsidRDefault="00830E60" w:rsidP="00830E60">
            <w:pPr>
              <w:jc w:val="both"/>
              <w:rPr>
                <w:rFonts w:ascii="Arial" w:hAnsi="Arial" w:cs="Arial"/>
                <w:sz w:val="20"/>
                <w:szCs w:val="20"/>
              </w:rPr>
            </w:pPr>
          </w:p>
          <w:p w14:paraId="311F2D1E" w14:textId="004BA3FF" w:rsidR="00830E60" w:rsidRDefault="00830E60" w:rsidP="00830E60">
            <w:pPr>
              <w:jc w:val="both"/>
              <w:rPr>
                <w:rFonts w:ascii="Arial" w:hAnsi="Arial" w:cs="Arial"/>
                <w:sz w:val="20"/>
                <w:szCs w:val="20"/>
              </w:rPr>
            </w:pPr>
            <w:r w:rsidRPr="0081716D">
              <w:rPr>
                <w:rFonts w:ascii="Arial" w:hAnsi="Arial" w:cs="Arial"/>
                <w:sz w:val="20"/>
                <w:szCs w:val="20"/>
              </w:rPr>
              <w:t xml:space="preserve">Točke bodo dodeljene na podlagi pričakovane povprečne letne stopnje izkoriščenosti strežnika na podlagi zahtev naročnika v zvezi z ravnanjem s podatki in z njihovo obdelavo. Točke bodo dodeljene skladno z naslednjimi razponi: </w:t>
            </w:r>
          </w:p>
          <w:p w14:paraId="2A39C85B" w14:textId="77777777" w:rsidR="00830E60" w:rsidRDefault="00830E60" w:rsidP="000F15EE">
            <w:pPr>
              <w:ind w:left="720"/>
              <w:jc w:val="both"/>
              <w:rPr>
                <w:rFonts w:ascii="Arial" w:hAnsi="Arial" w:cs="Arial"/>
                <w:sz w:val="20"/>
                <w:szCs w:val="20"/>
              </w:rPr>
            </w:pPr>
            <w:r w:rsidRPr="0081716D">
              <w:rPr>
                <w:rFonts w:ascii="Arial" w:hAnsi="Arial" w:cs="Arial"/>
                <w:sz w:val="20"/>
                <w:szCs w:val="20"/>
              </w:rPr>
              <w:t xml:space="preserve">&gt; 70 %: [določeno število] točk </w:t>
            </w:r>
          </w:p>
          <w:p w14:paraId="05C802BC" w14:textId="77777777" w:rsidR="00830E60" w:rsidRDefault="00830E60" w:rsidP="000F15EE">
            <w:pPr>
              <w:ind w:left="720"/>
              <w:jc w:val="both"/>
              <w:rPr>
                <w:rFonts w:ascii="Arial" w:hAnsi="Arial" w:cs="Arial"/>
                <w:sz w:val="20"/>
                <w:szCs w:val="20"/>
              </w:rPr>
            </w:pPr>
            <w:r w:rsidRPr="0081716D">
              <w:rPr>
                <w:rFonts w:ascii="Arial" w:hAnsi="Arial" w:cs="Arial"/>
                <w:sz w:val="20"/>
                <w:szCs w:val="20"/>
              </w:rPr>
              <w:t xml:space="preserve">40–70 %: 0,8 x [določeno število] točk </w:t>
            </w:r>
          </w:p>
          <w:p w14:paraId="651D9832" w14:textId="77777777" w:rsidR="00830E60" w:rsidRDefault="00830E60" w:rsidP="000F15EE">
            <w:pPr>
              <w:ind w:left="720"/>
              <w:jc w:val="both"/>
              <w:rPr>
                <w:rFonts w:ascii="Arial" w:hAnsi="Arial" w:cs="Arial"/>
                <w:sz w:val="20"/>
                <w:szCs w:val="20"/>
              </w:rPr>
            </w:pPr>
            <w:r w:rsidRPr="0081716D">
              <w:rPr>
                <w:rFonts w:ascii="Arial" w:hAnsi="Arial" w:cs="Arial"/>
                <w:sz w:val="20"/>
                <w:szCs w:val="20"/>
              </w:rPr>
              <w:t xml:space="preserve">25–40 %: 0,5 x [določeno število] točk </w:t>
            </w:r>
          </w:p>
          <w:p w14:paraId="06BCBDC7" w14:textId="6D49446F" w:rsidR="00A06CA9" w:rsidRPr="0081716D" w:rsidRDefault="00A06CA9" w:rsidP="000F15EE">
            <w:pPr>
              <w:ind w:left="720"/>
              <w:jc w:val="both"/>
              <w:rPr>
                <w:rFonts w:ascii="Arial" w:hAnsi="Arial" w:cs="Arial"/>
                <w:sz w:val="20"/>
                <w:szCs w:val="20"/>
              </w:rPr>
            </w:pPr>
            <w:r w:rsidRPr="00A06CA9">
              <w:rPr>
                <w:rFonts w:ascii="Arial" w:hAnsi="Arial" w:cs="Arial"/>
                <w:sz w:val="20"/>
                <w:szCs w:val="20"/>
              </w:rPr>
              <w:t>&lt; 25 %: 0 točk</w:t>
            </w:r>
            <w:r w:rsidR="00D37FB9">
              <w:rPr>
                <w:rFonts w:ascii="Arial" w:hAnsi="Arial" w:cs="Arial"/>
                <w:sz w:val="20"/>
                <w:szCs w:val="20"/>
              </w:rPr>
              <w:t>.</w:t>
            </w:r>
          </w:p>
          <w:p w14:paraId="3B64B551" w14:textId="77777777" w:rsidR="00830E60" w:rsidRPr="0081716D" w:rsidRDefault="00830E60" w:rsidP="00830E60">
            <w:pPr>
              <w:jc w:val="both"/>
              <w:rPr>
                <w:rFonts w:ascii="Arial" w:hAnsi="Arial" w:cs="Arial"/>
                <w:sz w:val="20"/>
                <w:szCs w:val="20"/>
              </w:rPr>
            </w:pPr>
          </w:p>
          <w:p w14:paraId="218CC7A2" w14:textId="77777777" w:rsidR="00830E60" w:rsidRPr="0081716D" w:rsidRDefault="00830E60" w:rsidP="00830E60">
            <w:pPr>
              <w:jc w:val="both"/>
              <w:rPr>
                <w:rFonts w:ascii="Arial" w:hAnsi="Arial" w:cs="Arial"/>
                <w:b/>
                <w:bCs/>
                <w:sz w:val="20"/>
                <w:szCs w:val="20"/>
              </w:rPr>
            </w:pPr>
            <w:r w:rsidRPr="0081716D">
              <w:rPr>
                <w:rFonts w:ascii="Arial" w:hAnsi="Arial" w:cs="Arial"/>
                <w:b/>
                <w:bCs/>
                <w:sz w:val="20"/>
                <w:szCs w:val="20"/>
              </w:rPr>
              <w:t xml:space="preserve">Preverjanje: </w:t>
            </w:r>
          </w:p>
          <w:p w14:paraId="1D2C4DDF" w14:textId="1AC70639" w:rsidR="00830E60" w:rsidRDefault="00830E60" w:rsidP="00830E60">
            <w:pPr>
              <w:jc w:val="both"/>
              <w:rPr>
                <w:rFonts w:ascii="Arial" w:hAnsi="Arial" w:cs="Arial"/>
                <w:sz w:val="20"/>
                <w:szCs w:val="20"/>
              </w:rPr>
            </w:pPr>
            <w:r w:rsidRPr="0081716D">
              <w:rPr>
                <w:rFonts w:ascii="Arial" w:hAnsi="Arial" w:cs="Arial"/>
                <w:sz w:val="20"/>
                <w:szCs w:val="20"/>
              </w:rPr>
              <w:t xml:space="preserve">Ponudnik mora predložiti modeliranje, izračune ali ocene pričakovane izkoriščenosti na podlagi orodij, opisanih v </w:t>
            </w:r>
            <w:r w:rsidR="005C65AD">
              <w:rPr>
                <w:rFonts w:ascii="Arial" w:hAnsi="Arial" w:cs="Arial"/>
                <w:sz w:val="20"/>
                <w:szCs w:val="20"/>
              </w:rPr>
              <w:t>PS</w:t>
            </w:r>
            <w:r w:rsidR="005C65AD" w:rsidRPr="0081716D">
              <w:rPr>
                <w:rFonts w:ascii="Arial" w:hAnsi="Arial" w:cs="Arial"/>
                <w:sz w:val="20"/>
                <w:szCs w:val="20"/>
              </w:rPr>
              <w:t xml:space="preserve"> </w:t>
            </w:r>
            <w:r w:rsidRPr="0081716D">
              <w:rPr>
                <w:rFonts w:ascii="Arial" w:hAnsi="Arial" w:cs="Arial"/>
                <w:sz w:val="20"/>
                <w:szCs w:val="20"/>
              </w:rPr>
              <w:t>1.</w:t>
            </w:r>
          </w:p>
          <w:p w14:paraId="6B72AD48" w14:textId="77777777" w:rsidR="005C65AD" w:rsidRPr="006C54F7" w:rsidRDefault="005C65AD" w:rsidP="00830E60">
            <w:pPr>
              <w:jc w:val="both"/>
              <w:rPr>
                <w:rFonts w:ascii="Arial" w:hAnsi="Arial" w:cs="Arial"/>
                <w:b/>
                <w:bCs/>
                <w:sz w:val="20"/>
                <w:szCs w:val="20"/>
              </w:rPr>
            </w:pPr>
          </w:p>
          <w:p w14:paraId="6837305E" w14:textId="4A6E44FF" w:rsidR="005C65AD" w:rsidRPr="006C54F7" w:rsidRDefault="005C65AD" w:rsidP="00830E60">
            <w:pPr>
              <w:jc w:val="both"/>
              <w:rPr>
                <w:rFonts w:ascii="Arial" w:hAnsi="Arial" w:cs="Arial"/>
                <w:b/>
                <w:bCs/>
                <w:sz w:val="20"/>
                <w:szCs w:val="20"/>
              </w:rPr>
            </w:pPr>
            <w:r w:rsidRPr="006C54F7">
              <w:rPr>
                <w:rFonts w:ascii="Arial" w:hAnsi="Arial" w:cs="Arial"/>
                <w:b/>
                <w:bCs/>
                <w:sz w:val="20"/>
                <w:szCs w:val="20"/>
              </w:rPr>
              <w:t>Priporočilo:</w:t>
            </w:r>
          </w:p>
          <w:p w14:paraId="426C711A" w14:textId="00CDE006" w:rsidR="005C65AD" w:rsidRPr="000F15EE" w:rsidRDefault="005C65AD" w:rsidP="005C65AD">
            <w:pPr>
              <w:jc w:val="both"/>
              <w:rPr>
                <w:rFonts w:ascii="Arial" w:hAnsi="Arial" w:cs="Arial"/>
                <w:sz w:val="20"/>
                <w:szCs w:val="20"/>
              </w:rPr>
            </w:pPr>
            <w:r w:rsidRPr="005C65AD">
              <w:rPr>
                <w:rFonts w:ascii="Arial" w:hAnsi="Arial" w:cs="Arial"/>
                <w:sz w:val="20"/>
                <w:szCs w:val="20"/>
              </w:rPr>
              <w:t xml:space="preserve">Določeni kritični sistemi morajo biti oblikovani tako, da uspešno delujejo tudi ob </w:t>
            </w:r>
            <w:r>
              <w:rPr>
                <w:rFonts w:ascii="Arial" w:hAnsi="Arial" w:cs="Arial"/>
                <w:sz w:val="20"/>
                <w:szCs w:val="20"/>
              </w:rPr>
              <w:t>največjih obremenitvah</w:t>
            </w:r>
            <w:r w:rsidRPr="005C65AD">
              <w:rPr>
                <w:rFonts w:ascii="Arial" w:hAnsi="Arial" w:cs="Arial"/>
                <w:sz w:val="20"/>
                <w:szCs w:val="20"/>
              </w:rPr>
              <w:t xml:space="preserve">, zato </w:t>
            </w:r>
            <w:r>
              <w:rPr>
                <w:rFonts w:ascii="Arial" w:hAnsi="Arial" w:cs="Arial"/>
                <w:sz w:val="20"/>
                <w:szCs w:val="20"/>
              </w:rPr>
              <w:t>naročnikom predlagamo kritičen razmislek o</w:t>
            </w:r>
            <w:r w:rsidR="00BF2AF4">
              <w:rPr>
                <w:rFonts w:ascii="Arial" w:hAnsi="Arial" w:cs="Arial"/>
                <w:sz w:val="20"/>
                <w:szCs w:val="20"/>
              </w:rPr>
              <w:t xml:space="preserve"> </w:t>
            </w:r>
            <w:r>
              <w:rPr>
                <w:rFonts w:ascii="Arial" w:hAnsi="Arial" w:cs="Arial"/>
                <w:sz w:val="20"/>
                <w:szCs w:val="20"/>
              </w:rPr>
              <w:t>uporabi predmetnega kriterija.</w:t>
            </w:r>
          </w:p>
        </w:tc>
      </w:tr>
      <w:tr w:rsidR="00CB76DB" w14:paraId="78D9941C" w14:textId="77777777" w:rsidTr="000F15EE">
        <w:tc>
          <w:tcPr>
            <w:tcW w:w="704" w:type="dxa"/>
          </w:tcPr>
          <w:p w14:paraId="530510D4" w14:textId="77777777" w:rsidR="00CB76DB" w:rsidRDefault="00CB76DB" w:rsidP="00830E60">
            <w:pPr>
              <w:jc w:val="both"/>
              <w:rPr>
                <w:rFonts w:ascii="Arial" w:eastAsia="Arial" w:hAnsi="Arial" w:cs="Arial"/>
                <w:bCs/>
                <w:spacing w:val="1"/>
                <w:kern w:val="0"/>
                <w:sz w:val="20"/>
                <w:szCs w:val="20"/>
                <w14:ligatures w14:val="none"/>
              </w:rPr>
            </w:pPr>
          </w:p>
        </w:tc>
        <w:tc>
          <w:tcPr>
            <w:tcW w:w="8312" w:type="dxa"/>
            <w:gridSpan w:val="3"/>
            <w:shd w:val="clear" w:color="auto" w:fill="9BBA58"/>
          </w:tcPr>
          <w:p w14:paraId="1B38C7C7" w14:textId="77777777" w:rsidR="00CB76DB" w:rsidRPr="00CB76DB" w:rsidRDefault="00CB76DB" w:rsidP="00CB76DB">
            <w:pPr>
              <w:jc w:val="both"/>
              <w:rPr>
                <w:rFonts w:ascii="Arial" w:hAnsi="Arial" w:cs="Arial"/>
                <w:b/>
                <w:bCs/>
                <w:sz w:val="20"/>
                <w:szCs w:val="20"/>
              </w:rPr>
            </w:pPr>
            <w:r w:rsidRPr="00CB76DB">
              <w:rPr>
                <w:rFonts w:ascii="Arial" w:hAnsi="Arial" w:cs="Arial"/>
                <w:b/>
                <w:bCs/>
                <w:sz w:val="20"/>
                <w:szCs w:val="20"/>
              </w:rPr>
              <w:t xml:space="preserve">Predmet naročila: </w:t>
            </w:r>
          </w:p>
          <w:p w14:paraId="6C54D7CF" w14:textId="77777777" w:rsidR="00CB76DB" w:rsidRPr="00CB76DB" w:rsidRDefault="00CB76DB" w:rsidP="00CB76DB">
            <w:pPr>
              <w:numPr>
                <w:ilvl w:val="0"/>
                <w:numId w:val="1"/>
              </w:numPr>
              <w:jc w:val="both"/>
              <w:rPr>
                <w:rFonts w:ascii="Arial" w:hAnsi="Arial" w:cs="Arial"/>
                <w:b/>
                <w:bCs/>
                <w:sz w:val="20"/>
                <w:szCs w:val="20"/>
              </w:rPr>
            </w:pPr>
            <w:r w:rsidRPr="00CB76DB">
              <w:rPr>
                <w:rFonts w:ascii="Arial" w:hAnsi="Arial" w:cs="Arial"/>
                <w:b/>
                <w:bCs/>
                <w:sz w:val="20"/>
                <w:szCs w:val="20"/>
              </w:rPr>
              <w:t xml:space="preserve">nakup storitev za izrabljene strežnike </w:t>
            </w:r>
          </w:p>
          <w:p w14:paraId="0463845D" w14:textId="77777777" w:rsidR="00CB76DB" w:rsidRPr="00853340" w:rsidRDefault="00CB76DB" w:rsidP="00830E60">
            <w:pPr>
              <w:jc w:val="both"/>
              <w:rPr>
                <w:rFonts w:ascii="Arial" w:hAnsi="Arial" w:cs="Arial"/>
                <w:b/>
                <w:bCs/>
                <w:sz w:val="20"/>
                <w:szCs w:val="20"/>
              </w:rPr>
            </w:pPr>
          </w:p>
        </w:tc>
      </w:tr>
      <w:tr w:rsidR="00830E60" w14:paraId="2BE79AD4" w14:textId="77777777" w:rsidTr="000F15EE">
        <w:tc>
          <w:tcPr>
            <w:tcW w:w="704" w:type="dxa"/>
          </w:tcPr>
          <w:p w14:paraId="50C2E656" w14:textId="07EDDD0F" w:rsidR="00830E60" w:rsidRPr="00EE4AEF" w:rsidRDefault="00A74DB6" w:rsidP="00830E60">
            <w:pPr>
              <w:jc w:val="both"/>
              <w:rPr>
                <w:rFonts w:ascii="Arial" w:eastAsia="Arial" w:hAnsi="Arial" w:cs="Arial"/>
                <w:bCs/>
                <w:spacing w:val="1"/>
                <w:kern w:val="0"/>
                <w:sz w:val="20"/>
                <w:szCs w:val="20"/>
                <w14:ligatures w14:val="none"/>
              </w:rPr>
            </w:pPr>
            <w:r>
              <w:rPr>
                <w:rFonts w:ascii="Arial" w:eastAsia="Arial" w:hAnsi="Arial" w:cs="Arial"/>
                <w:bCs/>
                <w:spacing w:val="1"/>
                <w:kern w:val="0"/>
                <w:sz w:val="20"/>
                <w:szCs w:val="20"/>
                <w14:ligatures w14:val="none"/>
              </w:rPr>
              <w:t>ME</w:t>
            </w:r>
            <w:r w:rsidR="00830E60">
              <w:rPr>
                <w:rFonts w:ascii="Arial" w:eastAsia="Arial" w:hAnsi="Arial" w:cs="Arial"/>
                <w:bCs/>
                <w:spacing w:val="1"/>
                <w:kern w:val="0"/>
                <w:sz w:val="20"/>
                <w:szCs w:val="20"/>
                <w14:ligatures w14:val="none"/>
              </w:rPr>
              <w:t>4</w:t>
            </w:r>
          </w:p>
        </w:tc>
        <w:tc>
          <w:tcPr>
            <w:tcW w:w="8312" w:type="dxa"/>
            <w:gridSpan w:val="3"/>
          </w:tcPr>
          <w:p w14:paraId="25BF50C2" w14:textId="63E07500" w:rsidR="00830E60" w:rsidRPr="00D34281" w:rsidRDefault="00830E60" w:rsidP="00830E60">
            <w:pPr>
              <w:jc w:val="both"/>
              <w:rPr>
                <w:rFonts w:ascii="Arial" w:hAnsi="Arial" w:cs="Arial"/>
                <w:b/>
                <w:bCs/>
                <w:sz w:val="20"/>
                <w:szCs w:val="20"/>
              </w:rPr>
            </w:pPr>
            <w:r w:rsidRPr="00D34281">
              <w:rPr>
                <w:rFonts w:ascii="Arial" w:hAnsi="Arial" w:cs="Arial"/>
                <w:b/>
                <w:bCs/>
                <w:sz w:val="20"/>
                <w:szCs w:val="20"/>
              </w:rPr>
              <w:t xml:space="preserve">Upravljanje </w:t>
            </w:r>
            <w:r w:rsidR="00EE7FC1">
              <w:rPr>
                <w:rFonts w:ascii="Arial" w:hAnsi="Arial" w:cs="Arial"/>
                <w:b/>
                <w:bCs/>
                <w:sz w:val="20"/>
                <w:szCs w:val="20"/>
              </w:rPr>
              <w:t xml:space="preserve">s </w:t>
            </w:r>
            <w:r w:rsidRPr="00D34281">
              <w:rPr>
                <w:rFonts w:ascii="Arial" w:hAnsi="Arial" w:cs="Arial"/>
                <w:b/>
                <w:bCs/>
                <w:sz w:val="20"/>
                <w:szCs w:val="20"/>
              </w:rPr>
              <w:t>strežnik</w:t>
            </w:r>
            <w:r w:rsidR="00EE7FC1">
              <w:rPr>
                <w:rFonts w:ascii="Arial" w:hAnsi="Arial" w:cs="Arial"/>
                <w:b/>
                <w:bCs/>
                <w:sz w:val="20"/>
                <w:szCs w:val="20"/>
              </w:rPr>
              <w:t>i</w:t>
            </w:r>
            <w:r w:rsidRPr="00D34281">
              <w:rPr>
                <w:rFonts w:ascii="Arial" w:hAnsi="Arial" w:cs="Arial"/>
                <w:b/>
                <w:bCs/>
                <w:sz w:val="20"/>
                <w:szCs w:val="20"/>
              </w:rPr>
              <w:t xml:space="preserve"> ob koncu življenjske dobe – </w:t>
            </w:r>
            <w:r w:rsidRPr="00CB76DB">
              <w:rPr>
                <w:rFonts w:ascii="Arial" w:hAnsi="Arial" w:cs="Arial"/>
                <w:b/>
                <w:bCs/>
                <w:i/>
                <w:iCs/>
                <w:sz w:val="20"/>
                <w:szCs w:val="20"/>
              </w:rPr>
              <w:t>osnovni in zahtevnejši nivo</w:t>
            </w:r>
          </w:p>
          <w:p w14:paraId="3789E2FE" w14:textId="77777777" w:rsidR="00830E60" w:rsidRDefault="00830E60" w:rsidP="00830E60">
            <w:pPr>
              <w:jc w:val="both"/>
              <w:rPr>
                <w:rFonts w:ascii="Arial" w:hAnsi="Arial" w:cs="Arial"/>
                <w:b/>
                <w:bCs/>
                <w:sz w:val="20"/>
                <w:szCs w:val="20"/>
              </w:rPr>
            </w:pPr>
          </w:p>
          <w:p w14:paraId="55FDC7F3" w14:textId="5EEBFBF0" w:rsidR="00830E60" w:rsidRPr="00E47827" w:rsidRDefault="00830E60" w:rsidP="00830E60">
            <w:pPr>
              <w:jc w:val="both"/>
              <w:rPr>
                <w:rFonts w:ascii="Arial" w:hAnsi="Arial" w:cs="Arial"/>
                <w:i/>
                <w:iCs/>
                <w:sz w:val="20"/>
                <w:szCs w:val="20"/>
              </w:rPr>
            </w:pPr>
            <w:r w:rsidRPr="00E47827">
              <w:rPr>
                <w:rFonts w:ascii="Arial" w:hAnsi="Arial" w:cs="Arial"/>
                <w:i/>
                <w:iCs/>
                <w:sz w:val="20"/>
                <w:szCs w:val="20"/>
              </w:rPr>
              <w:t xml:space="preserve">Uporabijo se v povezavi s TS </w:t>
            </w:r>
            <w:r w:rsidR="0066151B">
              <w:rPr>
                <w:rFonts w:ascii="Arial" w:hAnsi="Arial" w:cs="Arial"/>
                <w:i/>
                <w:iCs/>
                <w:sz w:val="20"/>
                <w:szCs w:val="20"/>
              </w:rPr>
              <w:t>3</w:t>
            </w:r>
            <w:r w:rsidRPr="00E47827">
              <w:rPr>
                <w:rFonts w:ascii="Arial" w:hAnsi="Arial" w:cs="Arial"/>
                <w:i/>
                <w:iCs/>
                <w:sz w:val="20"/>
                <w:szCs w:val="20"/>
              </w:rPr>
              <w:t xml:space="preserve">. </w:t>
            </w:r>
          </w:p>
          <w:p w14:paraId="03EC8F0C" w14:textId="77777777" w:rsidR="00830E60" w:rsidRDefault="00830E60" w:rsidP="00830E60">
            <w:pPr>
              <w:jc w:val="both"/>
              <w:rPr>
                <w:rFonts w:ascii="Arial" w:hAnsi="Arial" w:cs="Arial"/>
                <w:sz w:val="20"/>
                <w:szCs w:val="20"/>
              </w:rPr>
            </w:pPr>
          </w:p>
          <w:p w14:paraId="253863B4" w14:textId="77777777" w:rsidR="00830E60" w:rsidRPr="00E47827" w:rsidRDefault="00830E60" w:rsidP="00830E60">
            <w:pPr>
              <w:jc w:val="both"/>
              <w:rPr>
                <w:rFonts w:ascii="Arial" w:hAnsi="Arial" w:cs="Arial"/>
                <w:sz w:val="20"/>
                <w:szCs w:val="20"/>
              </w:rPr>
            </w:pPr>
            <w:r w:rsidRPr="00E47827">
              <w:rPr>
                <w:rFonts w:ascii="Arial" w:hAnsi="Arial" w:cs="Arial"/>
                <w:sz w:val="20"/>
                <w:szCs w:val="20"/>
              </w:rPr>
              <w:t>Točke bodo dodeljene ponudnikom storitev ponovne uporabe in recikliranja, ki zagotovijo ločevanje in recikliranje tiskanih vezij in zunanjih kablov, ki niso primerni za ponovno uporabo.</w:t>
            </w:r>
          </w:p>
          <w:p w14:paraId="7F55A789" w14:textId="77777777" w:rsidR="00830E60" w:rsidRPr="00E47827" w:rsidRDefault="00830E60" w:rsidP="00830E60">
            <w:pPr>
              <w:jc w:val="both"/>
              <w:rPr>
                <w:rFonts w:ascii="Arial" w:hAnsi="Arial" w:cs="Arial"/>
                <w:sz w:val="20"/>
                <w:szCs w:val="20"/>
              </w:rPr>
            </w:pPr>
          </w:p>
          <w:p w14:paraId="140926FC" w14:textId="77777777" w:rsidR="00830E60" w:rsidRPr="00E47827" w:rsidRDefault="00830E60" w:rsidP="00830E60">
            <w:pPr>
              <w:jc w:val="both"/>
              <w:rPr>
                <w:rFonts w:ascii="Arial" w:hAnsi="Arial" w:cs="Arial"/>
                <w:b/>
                <w:bCs/>
                <w:sz w:val="20"/>
                <w:szCs w:val="20"/>
              </w:rPr>
            </w:pPr>
            <w:r w:rsidRPr="00E47827">
              <w:rPr>
                <w:rFonts w:ascii="Arial" w:hAnsi="Arial" w:cs="Arial"/>
                <w:b/>
                <w:bCs/>
                <w:sz w:val="20"/>
                <w:szCs w:val="20"/>
              </w:rPr>
              <w:t xml:space="preserve">Preverjanje: </w:t>
            </w:r>
          </w:p>
          <w:p w14:paraId="600B4875" w14:textId="5C627B97" w:rsidR="00830E60" w:rsidRDefault="00830E60" w:rsidP="00D91A3A">
            <w:pPr>
              <w:jc w:val="both"/>
              <w:rPr>
                <w:rFonts w:ascii="Arial" w:eastAsia="Arial" w:hAnsi="Arial" w:cs="Arial"/>
                <w:b/>
                <w:color w:val="385522"/>
                <w:spacing w:val="1"/>
                <w:kern w:val="0"/>
                <w:sz w:val="20"/>
                <w:szCs w:val="20"/>
                <w14:ligatures w14:val="none"/>
              </w:rPr>
            </w:pPr>
            <w:r w:rsidRPr="00E47827">
              <w:rPr>
                <w:rFonts w:ascii="Arial" w:hAnsi="Arial" w:cs="Arial"/>
                <w:sz w:val="20"/>
                <w:szCs w:val="20"/>
              </w:rPr>
              <w:lastRenderedPageBreak/>
              <w:t>Ponudnik mora predložiti potrdilo, da so bili opredeljeni sestavni deli reciklirani.</w:t>
            </w:r>
          </w:p>
        </w:tc>
      </w:tr>
      <w:tr w:rsidR="00CB76DB" w14:paraId="1F5BB882" w14:textId="77777777" w:rsidTr="000F15EE">
        <w:tc>
          <w:tcPr>
            <w:tcW w:w="704" w:type="dxa"/>
          </w:tcPr>
          <w:p w14:paraId="74F65BE6" w14:textId="77777777" w:rsidR="00CB76DB" w:rsidRDefault="00CB76DB" w:rsidP="00830E60">
            <w:pPr>
              <w:jc w:val="both"/>
              <w:rPr>
                <w:rFonts w:ascii="Arial" w:eastAsia="Arial" w:hAnsi="Arial" w:cs="Arial"/>
                <w:bCs/>
                <w:spacing w:val="1"/>
                <w:kern w:val="0"/>
                <w:sz w:val="20"/>
                <w:szCs w:val="20"/>
                <w14:ligatures w14:val="none"/>
              </w:rPr>
            </w:pPr>
          </w:p>
        </w:tc>
        <w:tc>
          <w:tcPr>
            <w:tcW w:w="8312" w:type="dxa"/>
            <w:gridSpan w:val="3"/>
            <w:shd w:val="clear" w:color="auto" w:fill="9BBA58"/>
          </w:tcPr>
          <w:p w14:paraId="098A18F6" w14:textId="77777777" w:rsidR="00755F5A" w:rsidRPr="00304BE2" w:rsidRDefault="00755F5A" w:rsidP="00755F5A">
            <w:pPr>
              <w:pStyle w:val="Default"/>
              <w:jc w:val="both"/>
              <w:rPr>
                <w:rFonts w:ascii="Arial" w:hAnsi="Arial" w:cs="Arial"/>
                <w:b/>
                <w:bCs/>
                <w:color w:val="auto"/>
                <w:kern w:val="2"/>
                <w:sz w:val="20"/>
                <w:szCs w:val="20"/>
              </w:rPr>
            </w:pPr>
            <w:r w:rsidRPr="00304BE2">
              <w:rPr>
                <w:rFonts w:ascii="Arial" w:hAnsi="Arial" w:cs="Arial"/>
                <w:b/>
                <w:bCs/>
                <w:color w:val="auto"/>
                <w:kern w:val="2"/>
                <w:sz w:val="20"/>
                <w:szCs w:val="20"/>
              </w:rPr>
              <w:t xml:space="preserve">Predmet naročila: </w:t>
            </w:r>
          </w:p>
          <w:p w14:paraId="2A307094" w14:textId="6B9FF11B" w:rsidR="00CB76DB" w:rsidRPr="00D34281" w:rsidRDefault="00755F5A" w:rsidP="00D91A3A">
            <w:pPr>
              <w:pStyle w:val="Odstavekseznama"/>
              <w:numPr>
                <w:ilvl w:val="0"/>
                <w:numId w:val="1"/>
              </w:numPr>
              <w:jc w:val="both"/>
              <w:rPr>
                <w:rFonts w:ascii="Arial" w:hAnsi="Arial" w:cs="Arial"/>
                <w:b/>
                <w:bCs/>
                <w:sz w:val="20"/>
                <w:szCs w:val="20"/>
              </w:rPr>
            </w:pPr>
            <w:r w:rsidRPr="00304BE2">
              <w:rPr>
                <w:rFonts w:ascii="Arial" w:hAnsi="Arial" w:cs="Arial"/>
                <w:b/>
                <w:bCs/>
                <w:sz w:val="20"/>
                <w:szCs w:val="20"/>
              </w:rPr>
              <w:t xml:space="preserve">izgradnja/nadgradnja novega/obstoječega podatkovnega centra </w:t>
            </w:r>
          </w:p>
        </w:tc>
      </w:tr>
      <w:tr w:rsidR="00830E60" w14:paraId="124A71A8" w14:textId="77777777" w:rsidTr="000F15EE">
        <w:tc>
          <w:tcPr>
            <w:tcW w:w="704" w:type="dxa"/>
          </w:tcPr>
          <w:p w14:paraId="11E49C01" w14:textId="3CE713C2" w:rsidR="00830E60" w:rsidRPr="00EE4AEF" w:rsidRDefault="00A74DB6" w:rsidP="00830E60">
            <w:pPr>
              <w:jc w:val="both"/>
              <w:rPr>
                <w:rFonts w:ascii="Arial" w:eastAsia="Arial" w:hAnsi="Arial" w:cs="Arial"/>
                <w:bCs/>
                <w:spacing w:val="1"/>
                <w:kern w:val="0"/>
                <w:sz w:val="20"/>
                <w:szCs w:val="20"/>
                <w14:ligatures w14:val="none"/>
              </w:rPr>
            </w:pPr>
            <w:r>
              <w:rPr>
                <w:rFonts w:ascii="Arial" w:eastAsia="Arial" w:hAnsi="Arial" w:cs="Arial"/>
                <w:bCs/>
                <w:spacing w:val="1"/>
                <w:kern w:val="0"/>
                <w:sz w:val="20"/>
                <w:szCs w:val="20"/>
                <w14:ligatures w14:val="none"/>
              </w:rPr>
              <w:t>ME</w:t>
            </w:r>
            <w:r w:rsidR="00830E60">
              <w:rPr>
                <w:rFonts w:ascii="Arial" w:eastAsia="Arial" w:hAnsi="Arial" w:cs="Arial"/>
                <w:bCs/>
                <w:spacing w:val="1"/>
                <w:kern w:val="0"/>
                <w:sz w:val="20"/>
                <w:szCs w:val="20"/>
                <w14:ligatures w14:val="none"/>
              </w:rPr>
              <w:t>5</w:t>
            </w:r>
          </w:p>
        </w:tc>
        <w:tc>
          <w:tcPr>
            <w:tcW w:w="8312" w:type="dxa"/>
            <w:gridSpan w:val="3"/>
          </w:tcPr>
          <w:p w14:paraId="60EE1346" w14:textId="463E3895" w:rsidR="00830E60" w:rsidRDefault="00830E60" w:rsidP="00830E60">
            <w:pPr>
              <w:jc w:val="both"/>
              <w:rPr>
                <w:rFonts w:ascii="Arial" w:hAnsi="Arial" w:cs="Arial"/>
                <w:b/>
                <w:bCs/>
                <w:sz w:val="20"/>
                <w:szCs w:val="20"/>
              </w:rPr>
            </w:pPr>
            <w:r w:rsidRPr="00D34281">
              <w:rPr>
                <w:rFonts w:ascii="Arial" w:hAnsi="Arial" w:cs="Arial"/>
                <w:b/>
                <w:bCs/>
                <w:sz w:val="20"/>
                <w:szCs w:val="20"/>
              </w:rPr>
              <w:t>Učinkovitost</w:t>
            </w:r>
            <w:r w:rsidR="0013429C">
              <w:rPr>
                <w:rFonts w:ascii="Arial" w:hAnsi="Arial" w:cs="Arial"/>
                <w:b/>
                <w:bCs/>
                <w:sz w:val="20"/>
                <w:szCs w:val="20"/>
              </w:rPr>
              <w:t xml:space="preserve"> </w:t>
            </w:r>
            <w:r w:rsidRPr="00D34281">
              <w:rPr>
                <w:rFonts w:ascii="Arial" w:hAnsi="Arial" w:cs="Arial"/>
                <w:b/>
                <w:bCs/>
                <w:sz w:val="20"/>
                <w:szCs w:val="20"/>
              </w:rPr>
              <w:t>rabe energije (</w:t>
            </w:r>
            <w:r w:rsidR="0013429C" w:rsidRPr="000F15EE">
              <w:rPr>
                <w:rFonts w:ascii="Arial" w:hAnsi="Arial" w:cs="Arial"/>
                <w:b/>
                <w:bCs/>
                <w:i/>
                <w:iCs/>
                <w:sz w:val="20"/>
                <w:szCs w:val="20"/>
              </w:rPr>
              <w:t>Power Usage Effectiveness</w:t>
            </w:r>
            <w:r w:rsidR="0013429C">
              <w:rPr>
                <w:rFonts w:ascii="Arial" w:hAnsi="Arial" w:cs="Arial"/>
                <w:b/>
                <w:bCs/>
                <w:sz w:val="20"/>
                <w:szCs w:val="20"/>
              </w:rPr>
              <w:t xml:space="preserve"> - </w:t>
            </w:r>
            <w:r w:rsidRPr="00D34281">
              <w:rPr>
                <w:rFonts w:ascii="Arial" w:hAnsi="Arial" w:cs="Arial"/>
                <w:b/>
                <w:bCs/>
                <w:sz w:val="20"/>
                <w:szCs w:val="20"/>
              </w:rPr>
              <w:t xml:space="preserve">PUE) – </w:t>
            </w:r>
            <w:r w:rsidR="00EE7FC1">
              <w:rPr>
                <w:rFonts w:ascii="Arial" w:hAnsi="Arial" w:cs="Arial"/>
                <w:b/>
                <w:bCs/>
                <w:sz w:val="20"/>
                <w:szCs w:val="20"/>
              </w:rPr>
              <w:t>Zasnovana</w:t>
            </w:r>
            <w:r w:rsidR="00EE7FC1" w:rsidRPr="00D34281">
              <w:rPr>
                <w:rFonts w:ascii="Arial" w:hAnsi="Arial" w:cs="Arial"/>
                <w:b/>
                <w:bCs/>
                <w:sz w:val="20"/>
                <w:szCs w:val="20"/>
              </w:rPr>
              <w:t xml:space="preserve"> </w:t>
            </w:r>
            <w:r w:rsidRPr="00D34281">
              <w:rPr>
                <w:rFonts w:ascii="Arial" w:hAnsi="Arial" w:cs="Arial"/>
                <w:b/>
                <w:bCs/>
                <w:sz w:val="20"/>
                <w:szCs w:val="20"/>
              </w:rPr>
              <w:t xml:space="preserve">PUE – </w:t>
            </w:r>
            <w:r w:rsidRPr="00755F5A">
              <w:rPr>
                <w:rFonts w:ascii="Arial" w:hAnsi="Arial" w:cs="Arial"/>
                <w:b/>
                <w:bCs/>
                <w:i/>
                <w:iCs/>
                <w:sz w:val="20"/>
                <w:szCs w:val="20"/>
              </w:rPr>
              <w:t>osnovni in zahtevnejši nivo</w:t>
            </w:r>
          </w:p>
          <w:p w14:paraId="6A733F8E" w14:textId="77777777" w:rsidR="00830E60" w:rsidRPr="00853340" w:rsidRDefault="00830E60" w:rsidP="00830E60">
            <w:pPr>
              <w:jc w:val="both"/>
              <w:rPr>
                <w:rFonts w:ascii="Arial" w:hAnsi="Arial" w:cs="Arial"/>
                <w:b/>
                <w:bCs/>
                <w:sz w:val="20"/>
                <w:szCs w:val="20"/>
              </w:rPr>
            </w:pPr>
          </w:p>
          <w:p w14:paraId="79389B48" w14:textId="77777777" w:rsidR="00830E60" w:rsidRPr="00E47827" w:rsidRDefault="00830E60" w:rsidP="00830E60">
            <w:pPr>
              <w:jc w:val="both"/>
              <w:rPr>
                <w:rFonts w:ascii="Arial" w:hAnsi="Arial" w:cs="Arial"/>
                <w:i/>
                <w:iCs/>
                <w:sz w:val="20"/>
                <w:szCs w:val="20"/>
              </w:rPr>
            </w:pPr>
            <w:r w:rsidRPr="00E47827">
              <w:rPr>
                <w:rFonts w:ascii="Arial" w:hAnsi="Arial" w:cs="Arial"/>
                <w:i/>
                <w:iCs/>
                <w:sz w:val="20"/>
                <w:szCs w:val="20"/>
              </w:rPr>
              <w:t xml:space="preserve">Uporabijo se v primeru izgradnje/nadgradnje novega/obstoječega podatkovnega centra, če je uporabo energije IT že mogoče določiti. </w:t>
            </w:r>
          </w:p>
          <w:p w14:paraId="0BAA0BA6" w14:textId="77777777" w:rsidR="00830E60" w:rsidRDefault="00830E60" w:rsidP="00830E60">
            <w:pPr>
              <w:jc w:val="both"/>
              <w:rPr>
                <w:rFonts w:ascii="Arial" w:hAnsi="Arial" w:cs="Arial"/>
                <w:sz w:val="20"/>
                <w:szCs w:val="20"/>
              </w:rPr>
            </w:pPr>
          </w:p>
          <w:p w14:paraId="158DA7C3" w14:textId="77777777" w:rsidR="00830E60" w:rsidRDefault="00830E60" w:rsidP="00830E60">
            <w:pPr>
              <w:jc w:val="both"/>
              <w:rPr>
                <w:rFonts w:ascii="Arial" w:hAnsi="Arial" w:cs="Arial"/>
                <w:sz w:val="20"/>
                <w:szCs w:val="20"/>
              </w:rPr>
            </w:pPr>
            <w:r w:rsidRPr="00E47827">
              <w:rPr>
                <w:rFonts w:ascii="Arial" w:hAnsi="Arial" w:cs="Arial"/>
                <w:sz w:val="20"/>
                <w:szCs w:val="20"/>
              </w:rPr>
              <w:t xml:space="preserve">Točke bodo dodeljene ponudbi z najučinkovitejšo zasnovano PUE (dPUE) (vse določene točke) pri določeni obremenitvi IT (npr. 50 % zasnove) in pod določenimi okoljskimi pogoji. Vrednost PUE mora biti določena v skladu z ISO/IEC 30134:2016, del 2, EN 50600-4-2:2016 ali enakovrednim standardom. </w:t>
            </w:r>
          </w:p>
          <w:p w14:paraId="7669B01D" w14:textId="77777777" w:rsidR="00830E60" w:rsidRDefault="00830E60" w:rsidP="00830E60">
            <w:pPr>
              <w:jc w:val="both"/>
              <w:rPr>
                <w:rFonts w:ascii="Arial" w:hAnsi="Arial" w:cs="Arial"/>
                <w:sz w:val="20"/>
                <w:szCs w:val="20"/>
              </w:rPr>
            </w:pPr>
          </w:p>
          <w:p w14:paraId="4F96454A" w14:textId="77777777" w:rsidR="00830E60" w:rsidRPr="00E47827" w:rsidRDefault="00830E60" w:rsidP="00830E60">
            <w:pPr>
              <w:jc w:val="both"/>
              <w:rPr>
                <w:rFonts w:ascii="Arial" w:hAnsi="Arial" w:cs="Arial"/>
                <w:b/>
                <w:bCs/>
                <w:sz w:val="20"/>
                <w:szCs w:val="20"/>
              </w:rPr>
            </w:pPr>
            <w:r w:rsidRPr="00E47827">
              <w:rPr>
                <w:rFonts w:ascii="Arial" w:hAnsi="Arial" w:cs="Arial"/>
                <w:b/>
                <w:bCs/>
                <w:sz w:val="20"/>
                <w:szCs w:val="20"/>
              </w:rPr>
              <w:t xml:space="preserve">Preverjanje: </w:t>
            </w:r>
          </w:p>
          <w:p w14:paraId="52ED125B" w14:textId="77777777" w:rsidR="00830E60" w:rsidRDefault="00830E60" w:rsidP="00830E60">
            <w:pPr>
              <w:jc w:val="both"/>
              <w:rPr>
                <w:rFonts w:ascii="Arial" w:hAnsi="Arial" w:cs="Arial"/>
                <w:sz w:val="20"/>
                <w:szCs w:val="20"/>
              </w:rPr>
            </w:pPr>
            <w:r w:rsidRPr="00E47827">
              <w:rPr>
                <w:rFonts w:ascii="Arial" w:hAnsi="Arial" w:cs="Arial"/>
                <w:sz w:val="20"/>
                <w:szCs w:val="20"/>
              </w:rPr>
              <w:t>Ponudnik mora predložiti izračune zasnove, ki dokazujejo, kako je bila PUE izračunana v skladu z ISO/IEC 30134:2016, del 2, EN 50600-4-2:2016 ali enakovrednim standardom.</w:t>
            </w:r>
          </w:p>
          <w:p w14:paraId="4F6952B5" w14:textId="77777777" w:rsidR="0013429C" w:rsidRDefault="0013429C" w:rsidP="00830E60">
            <w:pPr>
              <w:jc w:val="both"/>
              <w:rPr>
                <w:rFonts w:ascii="Arial" w:hAnsi="Arial" w:cs="Arial"/>
                <w:sz w:val="20"/>
                <w:szCs w:val="20"/>
              </w:rPr>
            </w:pPr>
          </w:p>
          <w:p w14:paraId="2BC2B88B" w14:textId="4626E4BC" w:rsidR="0013429C" w:rsidRPr="000F15EE" w:rsidRDefault="0013429C" w:rsidP="00830E60">
            <w:pPr>
              <w:jc w:val="both"/>
              <w:rPr>
                <w:rFonts w:ascii="Arial" w:hAnsi="Arial" w:cs="Arial"/>
                <w:b/>
                <w:bCs/>
                <w:sz w:val="20"/>
                <w:szCs w:val="20"/>
              </w:rPr>
            </w:pPr>
            <w:r w:rsidRPr="000F15EE">
              <w:rPr>
                <w:rFonts w:ascii="Arial" w:hAnsi="Arial" w:cs="Arial"/>
                <w:b/>
                <w:bCs/>
                <w:sz w:val="20"/>
                <w:szCs w:val="20"/>
              </w:rPr>
              <w:t>Priporočilo:</w:t>
            </w:r>
          </w:p>
          <w:p w14:paraId="0A419DAB" w14:textId="40511E98" w:rsidR="003E4941" w:rsidRPr="003E4941" w:rsidRDefault="0013429C" w:rsidP="003E4941">
            <w:pPr>
              <w:jc w:val="both"/>
              <w:rPr>
                <w:rFonts w:ascii="Arial" w:hAnsi="Arial" w:cs="Arial"/>
                <w:sz w:val="20"/>
                <w:szCs w:val="20"/>
              </w:rPr>
            </w:pPr>
            <w:r>
              <w:rPr>
                <w:rFonts w:ascii="Arial" w:hAnsi="Arial" w:cs="Arial"/>
                <w:sz w:val="20"/>
                <w:szCs w:val="20"/>
              </w:rPr>
              <w:t>Velja smiselno enako priporočilo kot pri TS</w:t>
            </w:r>
            <w:r w:rsidR="003E4941">
              <w:rPr>
                <w:rFonts w:ascii="Arial" w:hAnsi="Arial" w:cs="Arial"/>
                <w:sz w:val="20"/>
                <w:szCs w:val="20"/>
              </w:rPr>
              <w:t>4</w:t>
            </w:r>
            <w:r>
              <w:rPr>
                <w:rFonts w:ascii="Arial" w:hAnsi="Arial" w:cs="Arial"/>
                <w:sz w:val="20"/>
                <w:szCs w:val="20"/>
              </w:rPr>
              <w:t>.</w:t>
            </w:r>
          </w:p>
        </w:tc>
      </w:tr>
      <w:tr w:rsidR="00755F5A" w14:paraId="3C210D49" w14:textId="77777777" w:rsidTr="000F15EE">
        <w:tc>
          <w:tcPr>
            <w:tcW w:w="704" w:type="dxa"/>
          </w:tcPr>
          <w:p w14:paraId="788897A6" w14:textId="77777777" w:rsidR="00755F5A" w:rsidRDefault="00755F5A" w:rsidP="00830E60">
            <w:pPr>
              <w:jc w:val="both"/>
              <w:rPr>
                <w:rFonts w:ascii="Arial" w:eastAsia="Arial" w:hAnsi="Arial" w:cs="Arial"/>
                <w:bCs/>
                <w:spacing w:val="1"/>
                <w:kern w:val="0"/>
                <w:sz w:val="20"/>
                <w:szCs w:val="20"/>
                <w14:ligatures w14:val="none"/>
              </w:rPr>
            </w:pPr>
          </w:p>
        </w:tc>
        <w:tc>
          <w:tcPr>
            <w:tcW w:w="8312" w:type="dxa"/>
            <w:gridSpan w:val="3"/>
            <w:shd w:val="clear" w:color="auto" w:fill="9BBA58"/>
          </w:tcPr>
          <w:p w14:paraId="1A2E4341" w14:textId="77777777" w:rsidR="00755F5A" w:rsidRPr="00755F5A" w:rsidRDefault="00755F5A" w:rsidP="00755F5A">
            <w:pPr>
              <w:jc w:val="both"/>
              <w:rPr>
                <w:rFonts w:ascii="Arial" w:hAnsi="Arial" w:cs="Arial"/>
                <w:b/>
                <w:bCs/>
                <w:sz w:val="20"/>
                <w:szCs w:val="20"/>
              </w:rPr>
            </w:pPr>
            <w:r w:rsidRPr="00755F5A">
              <w:rPr>
                <w:rFonts w:ascii="Arial" w:hAnsi="Arial" w:cs="Arial"/>
                <w:b/>
                <w:bCs/>
                <w:sz w:val="20"/>
                <w:szCs w:val="20"/>
              </w:rPr>
              <w:t xml:space="preserve">Predmet naročila: </w:t>
            </w:r>
          </w:p>
          <w:p w14:paraId="2B2EC3FA" w14:textId="71F19809" w:rsidR="00755F5A" w:rsidRPr="00D34281" w:rsidRDefault="00755F5A" w:rsidP="00D91A3A">
            <w:pPr>
              <w:numPr>
                <w:ilvl w:val="0"/>
                <w:numId w:val="1"/>
              </w:numPr>
              <w:jc w:val="both"/>
              <w:rPr>
                <w:rFonts w:ascii="Arial" w:hAnsi="Arial" w:cs="Arial"/>
                <w:b/>
                <w:bCs/>
                <w:sz w:val="20"/>
                <w:szCs w:val="20"/>
              </w:rPr>
            </w:pPr>
            <w:r w:rsidRPr="00755F5A">
              <w:rPr>
                <w:rFonts w:ascii="Arial" w:hAnsi="Arial" w:cs="Arial"/>
                <w:b/>
                <w:bCs/>
                <w:sz w:val="20"/>
                <w:szCs w:val="20"/>
              </w:rPr>
              <w:t xml:space="preserve">nakup storitev za upravljanje in vzdrževanje podjetniškega podatkovnega centra/strežniških sob </w:t>
            </w:r>
          </w:p>
        </w:tc>
      </w:tr>
      <w:tr w:rsidR="00830E60" w14:paraId="29717B5C" w14:textId="77777777" w:rsidTr="000F15EE">
        <w:tc>
          <w:tcPr>
            <w:tcW w:w="704" w:type="dxa"/>
          </w:tcPr>
          <w:p w14:paraId="66D79B90" w14:textId="368C3C03" w:rsidR="00830E60" w:rsidRPr="00EE4AEF" w:rsidRDefault="00A74DB6" w:rsidP="00830E60">
            <w:pPr>
              <w:jc w:val="both"/>
              <w:rPr>
                <w:rFonts w:ascii="Arial" w:eastAsia="Arial" w:hAnsi="Arial" w:cs="Arial"/>
                <w:bCs/>
                <w:spacing w:val="1"/>
                <w:kern w:val="0"/>
                <w:sz w:val="20"/>
                <w:szCs w:val="20"/>
                <w14:ligatures w14:val="none"/>
              </w:rPr>
            </w:pPr>
            <w:r>
              <w:rPr>
                <w:rFonts w:ascii="Arial" w:eastAsia="Arial" w:hAnsi="Arial" w:cs="Arial"/>
                <w:bCs/>
                <w:spacing w:val="1"/>
                <w:kern w:val="0"/>
                <w:sz w:val="20"/>
                <w:szCs w:val="20"/>
                <w14:ligatures w14:val="none"/>
              </w:rPr>
              <w:t>ME</w:t>
            </w:r>
            <w:r w:rsidR="00830E60">
              <w:rPr>
                <w:rFonts w:ascii="Arial" w:eastAsia="Arial" w:hAnsi="Arial" w:cs="Arial"/>
                <w:bCs/>
                <w:spacing w:val="1"/>
                <w:kern w:val="0"/>
                <w:sz w:val="20"/>
                <w:szCs w:val="20"/>
                <w14:ligatures w14:val="none"/>
              </w:rPr>
              <w:t>6</w:t>
            </w:r>
          </w:p>
        </w:tc>
        <w:tc>
          <w:tcPr>
            <w:tcW w:w="8312" w:type="dxa"/>
            <w:gridSpan w:val="3"/>
          </w:tcPr>
          <w:p w14:paraId="04521CBE" w14:textId="34F57CB5" w:rsidR="00830E60" w:rsidRDefault="00830E60" w:rsidP="00830E60">
            <w:pPr>
              <w:jc w:val="both"/>
              <w:rPr>
                <w:rFonts w:ascii="Arial" w:hAnsi="Arial" w:cs="Arial"/>
                <w:b/>
                <w:bCs/>
                <w:sz w:val="20"/>
                <w:szCs w:val="20"/>
              </w:rPr>
            </w:pPr>
            <w:r w:rsidRPr="0000419F">
              <w:rPr>
                <w:rFonts w:ascii="Arial" w:hAnsi="Arial" w:cs="Arial"/>
                <w:b/>
                <w:bCs/>
                <w:sz w:val="20"/>
                <w:szCs w:val="20"/>
              </w:rPr>
              <w:t>Učinkovitost rabe energije (PUE) – Potencial za izboljšanje PUE – O</w:t>
            </w:r>
            <w:r w:rsidRPr="00853340">
              <w:rPr>
                <w:rFonts w:ascii="Arial" w:hAnsi="Arial" w:cs="Arial"/>
                <w:b/>
                <w:bCs/>
                <w:sz w:val="20"/>
                <w:szCs w:val="20"/>
              </w:rPr>
              <w:t>snovni in zahtevnejši nivo</w:t>
            </w:r>
          </w:p>
          <w:p w14:paraId="5D256828" w14:textId="77777777" w:rsidR="00830E60" w:rsidRDefault="00830E60" w:rsidP="00830E60">
            <w:pPr>
              <w:jc w:val="both"/>
              <w:rPr>
                <w:rFonts w:ascii="Arial" w:hAnsi="Arial" w:cs="Arial"/>
                <w:b/>
                <w:bCs/>
                <w:sz w:val="20"/>
                <w:szCs w:val="20"/>
              </w:rPr>
            </w:pPr>
          </w:p>
          <w:p w14:paraId="196FED40" w14:textId="1DED68CE" w:rsidR="00830E60" w:rsidRPr="00E47827" w:rsidRDefault="00830E60" w:rsidP="00830E60">
            <w:pPr>
              <w:jc w:val="both"/>
              <w:rPr>
                <w:rFonts w:ascii="Arial" w:hAnsi="Arial" w:cs="Arial"/>
                <w:i/>
                <w:iCs/>
                <w:sz w:val="20"/>
                <w:szCs w:val="20"/>
              </w:rPr>
            </w:pPr>
            <w:r w:rsidRPr="00E47827">
              <w:rPr>
                <w:rFonts w:ascii="Arial" w:hAnsi="Arial" w:cs="Arial"/>
                <w:i/>
                <w:iCs/>
                <w:sz w:val="20"/>
                <w:szCs w:val="20"/>
              </w:rPr>
              <w:t xml:space="preserve">Uporabijo se v primeru </w:t>
            </w:r>
            <w:r w:rsidR="0013429C">
              <w:rPr>
                <w:rFonts w:ascii="Arial" w:hAnsi="Arial" w:cs="Arial"/>
                <w:i/>
                <w:iCs/>
                <w:sz w:val="20"/>
                <w:szCs w:val="20"/>
              </w:rPr>
              <w:t xml:space="preserve">temeljite prenove celotnega sistema v smislu </w:t>
            </w:r>
            <w:r w:rsidRPr="00E47827">
              <w:rPr>
                <w:rFonts w:ascii="Arial" w:hAnsi="Arial" w:cs="Arial"/>
                <w:i/>
                <w:iCs/>
                <w:sz w:val="20"/>
                <w:szCs w:val="20"/>
              </w:rPr>
              <w:t xml:space="preserve">upravljanja in vzdrževanja obstoječega podatkovnega centra, kjer je znana pretekla PUE. Uporabijo se lahko tudi za strežniške sobe, če imajo namensko infrastrukturo za hlajenje. </w:t>
            </w:r>
          </w:p>
          <w:p w14:paraId="75ED7F39" w14:textId="77777777" w:rsidR="00830E60" w:rsidRDefault="00830E60" w:rsidP="00830E60">
            <w:pPr>
              <w:jc w:val="both"/>
              <w:rPr>
                <w:rFonts w:ascii="Arial" w:hAnsi="Arial" w:cs="Arial"/>
                <w:sz w:val="20"/>
                <w:szCs w:val="20"/>
              </w:rPr>
            </w:pPr>
          </w:p>
          <w:p w14:paraId="333698C8" w14:textId="1F2A6FC2" w:rsidR="00830E60" w:rsidRDefault="00830E60" w:rsidP="00830E60">
            <w:pPr>
              <w:jc w:val="both"/>
              <w:rPr>
                <w:rFonts w:ascii="Arial" w:hAnsi="Arial" w:cs="Arial"/>
                <w:sz w:val="20"/>
                <w:szCs w:val="20"/>
              </w:rPr>
            </w:pPr>
            <w:r w:rsidRPr="00E47827">
              <w:rPr>
                <w:rFonts w:ascii="Arial" w:hAnsi="Arial" w:cs="Arial"/>
                <w:sz w:val="20"/>
                <w:szCs w:val="20"/>
              </w:rPr>
              <w:t xml:space="preserve">Točke bodo dodeljene na podlagi ponudnikovega ocenjenega potenciala izboljšanja glede na zgodovinsko izhodišče za PUE [ki ga določi naročnik]. Ocene v ponudbah morajo biti izvedene na podlagi zgodovinske obremenitve IT in okoljskih pogojev, kakor jih določi naročnik. Vrednost PUE mora biti določena v skladu z ISO/IEC 30134:2016, del 2, EN 50600-4-2:2016 ali enakovrednim standardom. </w:t>
            </w:r>
          </w:p>
          <w:p w14:paraId="508FF9DC" w14:textId="77777777" w:rsidR="00830E60" w:rsidRDefault="00830E60" w:rsidP="00830E60">
            <w:pPr>
              <w:jc w:val="both"/>
              <w:rPr>
                <w:rFonts w:ascii="Arial" w:hAnsi="Arial" w:cs="Arial"/>
                <w:sz w:val="20"/>
                <w:szCs w:val="20"/>
              </w:rPr>
            </w:pPr>
          </w:p>
          <w:p w14:paraId="3E715885" w14:textId="77777777" w:rsidR="00830E60" w:rsidRPr="00E47827" w:rsidRDefault="00830E60" w:rsidP="00830E60">
            <w:pPr>
              <w:jc w:val="both"/>
              <w:rPr>
                <w:rFonts w:ascii="Arial" w:hAnsi="Arial" w:cs="Arial"/>
                <w:b/>
                <w:bCs/>
                <w:sz w:val="20"/>
                <w:szCs w:val="20"/>
              </w:rPr>
            </w:pPr>
            <w:r w:rsidRPr="00E47827">
              <w:rPr>
                <w:rFonts w:ascii="Arial" w:hAnsi="Arial" w:cs="Arial"/>
                <w:b/>
                <w:bCs/>
                <w:sz w:val="20"/>
                <w:szCs w:val="20"/>
              </w:rPr>
              <w:t xml:space="preserve">Preverjanje: </w:t>
            </w:r>
          </w:p>
          <w:p w14:paraId="1D5DB9DD" w14:textId="3E2CAB3F" w:rsidR="00830E60" w:rsidRPr="00E47827" w:rsidRDefault="00830E60" w:rsidP="00830E60">
            <w:pPr>
              <w:jc w:val="both"/>
              <w:rPr>
                <w:rFonts w:ascii="Arial" w:hAnsi="Arial" w:cs="Arial"/>
                <w:sz w:val="20"/>
                <w:szCs w:val="20"/>
              </w:rPr>
            </w:pPr>
            <w:r w:rsidRPr="00E47827">
              <w:rPr>
                <w:rFonts w:ascii="Arial" w:hAnsi="Arial" w:cs="Arial"/>
                <w:sz w:val="20"/>
                <w:szCs w:val="20"/>
              </w:rPr>
              <w:t>Ponudniki morajo predložiti izračune, ki dokazujejo, kako je bila PUE izračunana v skladu z ISO/IEC 30134:2016, del 2, EN 50600-4-2:2016 ali enakovrednim standardom.</w:t>
            </w:r>
          </w:p>
          <w:p w14:paraId="7877DD4B" w14:textId="77777777" w:rsidR="00830E60" w:rsidRDefault="00830E60" w:rsidP="00830E60">
            <w:pPr>
              <w:jc w:val="both"/>
              <w:rPr>
                <w:rFonts w:ascii="Arial" w:eastAsia="Arial" w:hAnsi="Arial" w:cs="Arial"/>
                <w:b/>
                <w:color w:val="385522"/>
                <w:spacing w:val="1"/>
                <w:kern w:val="0"/>
                <w:sz w:val="20"/>
                <w:szCs w:val="20"/>
                <w14:ligatures w14:val="none"/>
              </w:rPr>
            </w:pPr>
          </w:p>
        </w:tc>
      </w:tr>
      <w:tr w:rsidR="00755F5A" w14:paraId="6E1708AF" w14:textId="77777777" w:rsidTr="000F15EE">
        <w:tc>
          <w:tcPr>
            <w:tcW w:w="704" w:type="dxa"/>
          </w:tcPr>
          <w:p w14:paraId="4EC74DA2" w14:textId="77777777" w:rsidR="00755F5A" w:rsidRDefault="00755F5A" w:rsidP="00830E60">
            <w:pPr>
              <w:jc w:val="both"/>
              <w:rPr>
                <w:rFonts w:ascii="Arial" w:eastAsia="Arial" w:hAnsi="Arial" w:cs="Arial"/>
                <w:bCs/>
                <w:spacing w:val="1"/>
                <w:kern w:val="0"/>
                <w:sz w:val="20"/>
                <w:szCs w:val="20"/>
                <w14:ligatures w14:val="none"/>
              </w:rPr>
            </w:pPr>
          </w:p>
        </w:tc>
        <w:tc>
          <w:tcPr>
            <w:tcW w:w="8312" w:type="dxa"/>
            <w:gridSpan w:val="3"/>
            <w:shd w:val="clear" w:color="auto" w:fill="9BBA58"/>
          </w:tcPr>
          <w:p w14:paraId="73EDB300" w14:textId="77777777" w:rsidR="00755F5A" w:rsidRPr="00755F5A" w:rsidRDefault="00755F5A" w:rsidP="00755F5A">
            <w:pPr>
              <w:jc w:val="both"/>
              <w:rPr>
                <w:rFonts w:ascii="Arial" w:hAnsi="Arial" w:cs="Arial"/>
                <w:b/>
                <w:bCs/>
                <w:sz w:val="20"/>
                <w:szCs w:val="20"/>
              </w:rPr>
            </w:pPr>
            <w:r w:rsidRPr="00755F5A">
              <w:rPr>
                <w:rFonts w:ascii="Arial" w:hAnsi="Arial" w:cs="Arial"/>
                <w:b/>
                <w:bCs/>
                <w:sz w:val="20"/>
                <w:szCs w:val="20"/>
              </w:rPr>
              <w:t xml:space="preserve">Predmet naročila: </w:t>
            </w:r>
          </w:p>
          <w:p w14:paraId="00F8F141" w14:textId="77777777" w:rsidR="00755F5A" w:rsidRPr="00755F5A" w:rsidRDefault="00755F5A" w:rsidP="00755F5A">
            <w:pPr>
              <w:numPr>
                <w:ilvl w:val="0"/>
                <w:numId w:val="1"/>
              </w:numPr>
              <w:jc w:val="both"/>
              <w:rPr>
                <w:rFonts w:ascii="Arial" w:hAnsi="Arial" w:cs="Arial"/>
                <w:b/>
                <w:bCs/>
                <w:sz w:val="20"/>
                <w:szCs w:val="20"/>
              </w:rPr>
            </w:pPr>
            <w:r w:rsidRPr="00755F5A">
              <w:rPr>
                <w:rFonts w:ascii="Arial" w:hAnsi="Arial" w:cs="Arial"/>
                <w:b/>
                <w:bCs/>
                <w:sz w:val="20"/>
                <w:szCs w:val="20"/>
              </w:rPr>
              <w:t xml:space="preserve">izgradnja/nadgradnja novega/obstoječega podatkovnega centra </w:t>
            </w:r>
          </w:p>
          <w:p w14:paraId="4EFA2981" w14:textId="77777777" w:rsidR="00755F5A" w:rsidRPr="0000419F" w:rsidRDefault="00755F5A" w:rsidP="00830E60">
            <w:pPr>
              <w:jc w:val="both"/>
              <w:rPr>
                <w:rFonts w:ascii="Arial" w:hAnsi="Arial" w:cs="Arial"/>
                <w:b/>
                <w:bCs/>
                <w:sz w:val="20"/>
                <w:szCs w:val="20"/>
              </w:rPr>
            </w:pPr>
          </w:p>
        </w:tc>
      </w:tr>
      <w:tr w:rsidR="00830E60" w14:paraId="5C9B96A3" w14:textId="77777777" w:rsidTr="00D91A3A">
        <w:tc>
          <w:tcPr>
            <w:tcW w:w="704" w:type="dxa"/>
          </w:tcPr>
          <w:p w14:paraId="115FBFBB" w14:textId="53E29573" w:rsidR="00830E60" w:rsidRPr="00EE4AEF" w:rsidRDefault="00A74DB6" w:rsidP="00830E60">
            <w:pPr>
              <w:jc w:val="both"/>
              <w:rPr>
                <w:rFonts w:ascii="Arial" w:eastAsia="Arial" w:hAnsi="Arial" w:cs="Arial"/>
                <w:bCs/>
                <w:spacing w:val="1"/>
                <w:kern w:val="0"/>
                <w:sz w:val="20"/>
                <w:szCs w:val="20"/>
                <w14:ligatures w14:val="none"/>
              </w:rPr>
            </w:pPr>
            <w:r>
              <w:rPr>
                <w:rFonts w:ascii="Arial" w:eastAsia="Arial" w:hAnsi="Arial" w:cs="Arial"/>
                <w:bCs/>
                <w:spacing w:val="1"/>
                <w:kern w:val="0"/>
                <w:sz w:val="20"/>
                <w:szCs w:val="20"/>
                <w14:ligatures w14:val="none"/>
              </w:rPr>
              <w:t>ME</w:t>
            </w:r>
            <w:r w:rsidR="00830E60">
              <w:rPr>
                <w:rFonts w:ascii="Arial" w:eastAsia="Arial" w:hAnsi="Arial" w:cs="Arial"/>
                <w:bCs/>
                <w:spacing w:val="1"/>
                <w:kern w:val="0"/>
                <w:sz w:val="20"/>
                <w:szCs w:val="20"/>
                <w14:ligatures w14:val="none"/>
              </w:rPr>
              <w:t>7</w:t>
            </w:r>
          </w:p>
        </w:tc>
        <w:tc>
          <w:tcPr>
            <w:tcW w:w="4253" w:type="dxa"/>
            <w:gridSpan w:val="2"/>
          </w:tcPr>
          <w:p w14:paraId="0BF9D1B5" w14:textId="77777777" w:rsidR="00830E60" w:rsidRDefault="00830E60" w:rsidP="00830E60">
            <w:pPr>
              <w:jc w:val="both"/>
              <w:rPr>
                <w:rFonts w:ascii="Arial" w:eastAsia="Arial" w:hAnsi="Arial" w:cs="Arial"/>
                <w:b/>
                <w:color w:val="385522"/>
                <w:spacing w:val="1"/>
                <w:kern w:val="0"/>
                <w:sz w:val="20"/>
                <w:szCs w:val="20"/>
                <w14:ligatures w14:val="none"/>
              </w:rPr>
            </w:pPr>
          </w:p>
        </w:tc>
        <w:tc>
          <w:tcPr>
            <w:tcW w:w="4059" w:type="dxa"/>
          </w:tcPr>
          <w:p w14:paraId="5CCEB085" w14:textId="77777777" w:rsidR="00830E60" w:rsidRDefault="00830E60" w:rsidP="00830E60">
            <w:pPr>
              <w:jc w:val="both"/>
              <w:rPr>
                <w:rFonts w:ascii="Arial" w:hAnsi="Arial" w:cs="Arial"/>
                <w:b/>
                <w:bCs/>
                <w:sz w:val="20"/>
                <w:szCs w:val="20"/>
              </w:rPr>
            </w:pPr>
            <w:r w:rsidRPr="0000419F">
              <w:rPr>
                <w:rFonts w:ascii="Arial" w:hAnsi="Arial" w:cs="Arial"/>
                <w:b/>
                <w:bCs/>
                <w:sz w:val="20"/>
                <w:szCs w:val="20"/>
              </w:rPr>
              <w:t>Poraba energije hladilnega sistema – Z</w:t>
            </w:r>
            <w:r w:rsidRPr="00853340">
              <w:rPr>
                <w:rFonts w:ascii="Arial" w:hAnsi="Arial" w:cs="Arial"/>
                <w:b/>
                <w:bCs/>
                <w:sz w:val="20"/>
                <w:szCs w:val="20"/>
              </w:rPr>
              <w:t>ahtevnejši nivo</w:t>
            </w:r>
          </w:p>
          <w:p w14:paraId="19226052" w14:textId="77777777" w:rsidR="00830E60" w:rsidRPr="003D36BC" w:rsidRDefault="00830E60" w:rsidP="00830E60">
            <w:pPr>
              <w:jc w:val="both"/>
              <w:rPr>
                <w:rFonts w:ascii="Arial" w:hAnsi="Arial" w:cs="Arial"/>
                <w:b/>
                <w:bCs/>
                <w:sz w:val="12"/>
                <w:szCs w:val="12"/>
              </w:rPr>
            </w:pPr>
          </w:p>
          <w:p w14:paraId="6D2DC8F5" w14:textId="77AEAB80" w:rsidR="003D36BC" w:rsidRDefault="00830E60" w:rsidP="00830E60">
            <w:pPr>
              <w:jc w:val="both"/>
              <w:rPr>
                <w:rFonts w:ascii="Arial" w:hAnsi="Arial" w:cs="Arial"/>
                <w:sz w:val="20"/>
                <w:szCs w:val="20"/>
              </w:rPr>
            </w:pPr>
            <w:r w:rsidRPr="000D0655">
              <w:rPr>
                <w:rFonts w:ascii="Arial" w:hAnsi="Arial" w:cs="Arial"/>
                <w:sz w:val="20"/>
                <w:szCs w:val="20"/>
              </w:rPr>
              <w:t xml:space="preserve">Točke bodo dodeljene na podlagi ocenjene porabe energije za hlajenje, potrebne za obratovanje zasnove podatkovnega centra pod referenčnimi podnebnimi pogoji za izbrano lokacijo. Točke bodo dodeljene ponudbi z najučinkovitejšo zasnovo (vse določene točke). </w:t>
            </w:r>
          </w:p>
          <w:p w14:paraId="15EEDF38" w14:textId="77777777" w:rsidR="003D36BC" w:rsidRPr="003D36BC" w:rsidRDefault="003D36BC" w:rsidP="00830E60">
            <w:pPr>
              <w:jc w:val="both"/>
              <w:rPr>
                <w:rFonts w:ascii="Arial" w:hAnsi="Arial" w:cs="Arial"/>
                <w:sz w:val="12"/>
                <w:szCs w:val="12"/>
              </w:rPr>
            </w:pPr>
          </w:p>
          <w:p w14:paraId="65B52FA6" w14:textId="77777777" w:rsidR="00830E60" w:rsidRPr="000D0655" w:rsidRDefault="00830E60" w:rsidP="00830E60">
            <w:pPr>
              <w:jc w:val="both"/>
              <w:rPr>
                <w:rFonts w:ascii="Arial" w:hAnsi="Arial" w:cs="Arial"/>
                <w:b/>
                <w:bCs/>
                <w:sz w:val="20"/>
                <w:szCs w:val="20"/>
              </w:rPr>
            </w:pPr>
            <w:r w:rsidRPr="000D0655">
              <w:rPr>
                <w:rFonts w:ascii="Arial" w:hAnsi="Arial" w:cs="Arial"/>
                <w:b/>
                <w:bCs/>
                <w:sz w:val="20"/>
                <w:szCs w:val="20"/>
              </w:rPr>
              <w:t xml:space="preserve">Preverjanje: </w:t>
            </w:r>
          </w:p>
          <w:p w14:paraId="35954903" w14:textId="77777777" w:rsidR="00830E60" w:rsidRDefault="00830E60" w:rsidP="00830E60">
            <w:pPr>
              <w:jc w:val="both"/>
              <w:rPr>
                <w:rFonts w:ascii="Arial" w:hAnsi="Arial" w:cs="Arial"/>
                <w:sz w:val="20"/>
                <w:szCs w:val="20"/>
              </w:rPr>
            </w:pPr>
            <w:r w:rsidRPr="000D0655">
              <w:rPr>
                <w:rFonts w:ascii="Arial" w:hAnsi="Arial" w:cs="Arial"/>
                <w:sz w:val="20"/>
                <w:szCs w:val="20"/>
              </w:rPr>
              <w:t>Ponudnik mora predložiti dokumentacijo, modeliranje in izračune za oceno zasnove.</w:t>
            </w:r>
          </w:p>
          <w:p w14:paraId="5B36313C" w14:textId="77777777" w:rsidR="00FD25FD" w:rsidRDefault="00FD25FD" w:rsidP="00830E60">
            <w:pPr>
              <w:jc w:val="both"/>
              <w:rPr>
                <w:rFonts w:ascii="Arial" w:eastAsia="Arial" w:hAnsi="Arial" w:cs="Arial"/>
                <w:b/>
                <w:color w:val="385522"/>
                <w:spacing w:val="1"/>
                <w:kern w:val="0"/>
                <w:sz w:val="20"/>
                <w:szCs w:val="20"/>
                <w14:ligatures w14:val="none"/>
              </w:rPr>
            </w:pPr>
          </w:p>
          <w:p w14:paraId="36FAA46C" w14:textId="77777777" w:rsidR="00FD25FD" w:rsidRPr="0065590F" w:rsidRDefault="00FD25FD" w:rsidP="00FD25FD">
            <w:pPr>
              <w:jc w:val="both"/>
              <w:rPr>
                <w:rFonts w:ascii="Arial" w:hAnsi="Arial" w:cs="Arial"/>
                <w:b/>
                <w:bCs/>
                <w:sz w:val="20"/>
                <w:szCs w:val="20"/>
              </w:rPr>
            </w:pPr>
            <w:r w:rsidRPr="0065590F">
              <w:rPr>
                <w:rFonts w:ascii="Arial" w:hAnsi="Arial" w:cs="Arial"/>
                <w:b/>
                <w:bCs/>
                <w:sz w:val="20"/>
                <w:szCs w:val="20"/>
              </w:rPr>
              <w:t>Priporočilo:</w:t>
            </w:r>
          </w:p>
          <w:p w14:paraId="214B30CB" w14:textId="4511C8EE" w:rsidR="00FD25FD" w:rsidRDefault="00FD25FD" w:rsidP="003E4941">
            <w:pPr>
              <w:jc w:val="both"/>
              <w:rPr>
                <w:rFonts w:ascii="Arial" w:eastAsia="Arial" w:hAnsi="Arial" w:cs="Arial"/>
                <w:b/>
                <w:color w:val="385522"/>
                <w:spacing w:val="1"/>
                <w:kern w:val="0"/>
                <w:sz w:val="20"/>
                <w:szCs w:val="20"/>
                <w14:ligatures w14:val="none"/>
              </w:rPr>
            </w:pPr>
            <w:r>
              <w:rPr>
                <w:rFonts w:ascii="Arial" w:hAnsi="Arial" w:cs="Arial"/>
                <w:sz w:val="20"/>
                <w:szCs w:val="20"/>
              </w:rPr>
              <w:t>Velja smiselno enako priporočilo kot pri TS</w:t>
            </w:r>
            <w:r w:rsidR="003E4941">
              <w:rPr>
                <w:rFonts w:ascii="Arial" w:hAnsi="Arial" w:cs="Arial"/>
                <w:sz w:val="20"/>
                <w:szCs w:val="20"/>
              </w:rPr>
              <w:t>4</w:t>
            </w:r>
            <w:r>
              <w:rPr>
                <w:rFonts w:ascii="Arial" w:hAnsi="Arial" w:cs="Arial"/>
                <w:sz w:val="20"/>
                <w:szCs w:val="20"/>
              </w:rPr>
              <w:t>.</w:t>
            </w:r>
          </w:p>
        </w:tc>
      </w:tr>
    </w:tbl>
    <w:p w14:paraId="148DE5C9" w14:textId="77777777" w:rsidR="00D91A3A" w:rsidRDefault="00D91A3A"/>
    <w:tbl>
      <w:tblPr>
        <w:tblStyle w:val="Tabelamrea"/>
        <w:tblW w:w="0" w:type="auto"/>
        <w:tblLayout w:type="fixed"/>
        <w:tblLook w:val="04A0" w:firstRow="1" w:lastRow="0" w:firstColumn="1" w:lastColumn="0" w:noHBand="0" w:noVBand="1"/>
        <w:tblCaption w:val="Tabela - merila. "/>
        <w:tblDescription w:val="Tabela vsebuje merila za oddajo javnega naročila, ločeno na osnovni nivo in zahtevnejši nivo. "/>
      </w:tblPr>
      <w:tblGrid>
        <w:gridCol w:w="704"/>
        <w:gridCol w:w="4394"/>
        <w:gridCol w:w="3918"/>
      </w:tblGrid>
      <w:tr w:rsidR="00755F5A" w14:paraId="03CF14BE" w14:textId="77777777" w:rsidTr="000F15EE">
        <w:tc>
          <w:tcPr>
            <w:tcW w:w="704" w:type="dxa"/>
          </w:tcPr>
          <w:p w14:paraId="72AB83E7" w14:textId="77777777" w:rsidR="00755F5A" w:rsidRDefault="00755F5A" w:rsidP="00830E60">
            <w:pPr>
              <w:jc w:val="both"/>
              <w:rPr>
                <w:rFonts w:ascii="Arial" w:eastAsia="Arial" w:hAnsi="Arial" w:cs="Arial"/>
                <w:bCs/>
                <w:spacing w:val="1"/>
                <w:kern w:val="0"/>
                <w:sz w:val="20"/>
                <w:szCs w:val="20"/>
                <w14:ligatures w14:val="none"/>
              </w:rPr>
            </w:pPr>
          </w:p>
        </w:tc>
        <w:tc>
          <w:tcPr>
            <w:tcW w:w="8312" w:type="dxa"/>
            <w:gridSpan w:val="2"/>
            <w:shd w:val="clear" w:color="auto" w:fill="9BBA58"/>
          </w:tcPr>
          <w:p w14:paraId="65EA53E5" w14:textId="77777777" w:rsidR="00755F5A" w:rsidRPr="00FF024D" w:rsidRDefault="00755F5A" w:rsidP="00755F5A">
            <w:pPr>
              <w:pStyle w:val="Default"/>
              <w:jc w:val="both"/>
              <w:rPr>
                <w:rFonts w:ascii="Arial" w:hAnsi="Arial" w:cs="Arial"/>
                <w:b/>
                <w:bCs/>
                <w:color w:val="auto"/>
                <w:kern w:val="2"/>
                <w:sz w:val="20"/>
                <w:szCs w:val="20"/>
              </w:rPr>
            </w:pPr>
            <w:r w:rsidRPr="00FF024D">
              <w:rPr>
                <w:rFonts w:ascii="Arial" w:hAnsi="Arial" w:cs="Arial"/>
                <w:b/>
                <w:bCs/>
                <w:color w:val="auto"/>
                <w:kern w:val="2"/>
                <w:sz w:val="20"/>
                <w:szCs w:val="20"/>
              </w:rPr>
              <w:t xml:space="preserve">Predmet naročila: </w:t>
            </w:r>
          </w:p>
          <w:p w14:paraId="69A163C9" w14:textId="77777777" w:rsidR="00755F5A" w:rsidRPr="00FF024D" w:rsidRDefault="00755F5A" w:rsidP="00755F5A">
            <w:pPr>
              <w:pStyle w:val="Odstavekseznama"/>
              <w:numPr>
                <w:ilvl w:val="0"/>
                <w:numId w:val="1"/>
              </w:numPr>
              <w:jc w:val="both"/>
              <w:rPr>
                <w:rFonts w:ascii="Arial" w:hAnsi="Arial" w:cs="Arial"/>
                <w:b/>
                <w:bCs/>
                <w:sz w:val="20"/>
                <w:szCs w:val="20"/>
              </w:rPr>
            </w:pPr>
            <w:r w:rsidRPr="00FF024D">
              <w:rPr>
                <w:rFonts w:ascii="Arial" w:hAnsi="Arial" w:cs="Arial"/>
                <w:b/>
                <w:bCs/>
                <w:sz w:val="20"/>
                <w:szCs w:val="20"/>
              </w:rPr>
              <w:t xml:space="preserve">izgradnja/nadgradnja novega/obstoječega podatkovnega centra </w:t>
            </w:r>
          </w:p>
          <w:p w14:paraId="6EBA800B" w14:textId="77777777" w:rsidR="00755F5A" w:rsidRPr="0000419F" w:rsidRDefault="00755F5A" w:rsidP="00830E60">
            <w:pPr>
              <w:jc w:val="both"/>
              <w:rPr>
                <w:rFonts w:ascii="Arial" w:hAnsi="Arial" w:cs="Arial"/>
                <w:b/>
                <w:bCs/>
                <w:sz w:val="20"/>
                <w:szCs w:val="20"/>
              </w:rPr>
            </w:pPr>
          </w:p>
        </w:tc>
      </w:tr>
      <w:tr w:rsidR="00830E60" w14:paraId="27D75F84" w14:textId="77777777" w:rsidTr="00D91A3A">
        <w:tc>
          <w:tcPr>
            <w:tcW w:w="704" w:type="dxa"/>
          </w:tcPr>
          <w:p w14:paraId="2B9993CA" w14:textId="3C459143" w:rsidR="00830E60" w:rsidRPr="00EE4AEF" w:rsidRDefault="00A74DB6" w:rsidP="00830E60">
            <w:pPr>
              <w:jc w:val="both"/>
              <w:rPr>
                <w:rFonts w:ascii="Arial" w:eastAsia="Arial" w:hAnsi="Arial" w:cs="Arial"/>
                <w:bCs/>
                <w:spacing w:val="1"/>
                <w:kern w:val="0"/>
                <w:sz w:val="20"/>
                <w:szCs w:val="20"/>
                <w14:ligatures w14:val="none"/>
              </w:rPr>
            </w:pPr>
            <w:r>
              <w:rPr>
                <w:rFonts w:ascii="Arial" w:eastAsia="Arial" w:hAnsi="Arial" w:cs="Arial"/>
                <w:bCs/>
                <w:spacing w:val="1"/>
                <w:kern w:val="0"/>
                <w:sz w:val="20"/>
                <w:szCs w:val="20"/>
                <w14:ligatures w14:val="none"/>
              </w:rPr>
              <w:t>ME</w:t>
            </w:r>
            <w:r w:rsidR="00830E60">
              <w:rPr>
                <w:rFonts w:ascii="Arial" w:eastAsia="Arial" w:hAnsi="Arial" w:cs="Arial"/>
                <w:bCs/>
                <w:spacing w:val="1"/>
                <w:kern w:val="0"/>
                <w:sz w:val="20"/>
                <w:szCs w:val="20"/>
                <w14:ligatures w14:val="none"/>
              </w:rPr>
              <w:t>8</w:t>
            </w:r>
          </w:p>
        </w:tc>
        <w:tc>
          <w:tcPr>
            <w:tcW w:w="4394" w:type="dxa"/>
          </w:tcPr>
          <w:p w14:paraId="26612112" w14:textId="77777777" w:rsidR="00830E60" w:rsidRDefault="00830E60" w:rsidP="00830E60">
            <w:pPr>
              <w:jc w:val="both"/>
              <w:rPr>
                <w:rFonts w:ascii="Arial" w:eastAsia="Arial" w:hAnsi="Arial" w:cs="Arial"/>
                <w:b/>
                <w:color w:val="385522"/>
                <w:spacing w:val="1"/>
                <w:kern w:val="0"/>
                <w:sz w:val="20"/>
                <w:szCs w:val="20"/>
                <w14:ligatures w14:val="none"/>
              </w:rPr>
            </w:pPr>
          </w:p>
        </w:tc>
        <w:tc>
          <w:tcPr>
            <w:tcW w:w="3918" w:type="dxa"/>
          </w:tcPr>
          <w:p w14:paraId="01F281E8" w14:textId="77777777" w:rsidR="00830E60" w:rsidRPr="0000419F" w:rsidRDefault="00830E60" w:rsidP="00830E60">
            <w:pPr>
              <w:jc w:val="both"/>
              <w:rPr>
                <w:rFonts w:ascii="Arial" w:hAnsi="Arial" w:cs="Arial"/>
                <w:b/>
                <w:bCs/>
                <w:sz w:val="20"/>
                <w:szCs w:val="20"/>
              </w:rPr>
            </w:pPr>
            <w:r w:rsidRPr="0000419F">
              <w:rPr>
                <w:rFonts w:ascii="Arial" w:hAnsi="Arial" w:cs="Arial"/>
                <w:b/>
                <w:bCs/>
                <w:sz w:val="20"/>
                <w:szCs w:val="20"/>
              </w:rPr>
              <w:t>Ponovna uporaba odpadne toplote (za nove podatkovne centre) – Z</w:t>
            </w:r>
            <w:r w:rsidRPr="00853340">
              <w:rPr>
                <w:rFonts w:ascii="Arial" w:hAnsi="Arial" w:cs="Arial"/>
                <w:b/>
                <w:bCs/>
                <w:sz w:val="20"/>
                <w:szCs w:val="20"/>
              </w:rPr>
              <w:t>ahtevnejši nivo</w:t>
            </w:r>
          </w:p>
          <w:p w14:paraId="04406AE6" w14:textId="77777777" w:rsidR="00830E60" w:rsidRPr="00853340" w:rsidRDefault="00830E60" w:rsidP="00830E60">
            <w:pPr>
              <w:jc w:val="both"/>
              <w:rPr>
                <w:rFonts w:ascii="Arial" w:hAnsi="Arial" w:cs="Arial"/>
                <w:b/>
                <w:bCs/>
                <w:sz w:val="20"/>
                <w:szCs w:val="20"/>
              </w:rPr>
            </w:pPr>
          </w:p>
          <w:p w14:paraId="3651A457" w14:textId="294C8464" w:rsidR="00830E60" w:rsidRPr="000D0655" w:rsidRDefault="00830E60" w:rsidP="00830E60">
            <w:pPr>
              <w:jc w:val="both"/>
              <w:rPr>
                <w:rFonts w:ascii="Arial" w:hAnsi="Arial" w:cs="Arial"/>
                <w:i/>
                <w:iCs/>
                <w:sz w:val="20"/>
                <w:szCs w:val="20"/>
              </w:rPr>
            </w:pPr>
            <w:r w:rsidRPr="000D0655">
              <w:rPr>
                <w:rFonts w:ascii="Arial" w:hAnsi="Arial" w:cs="Arial"/>
                <w:i/>
                <w:iCs/>
                <w:sz w:val="20"/>
                <w:szCs w:val="20"/>
              </w:rPr>
              <w:t xml:space="preserve">Merilo je treba prilagoditi lokalni razpoložljivosti sistemov in omrežij daljinskega ogrevanja. Če naročnik prepozna lokalne priložnosti, se priporoča določitev celovitega merila za oddajo naročila. </w:t>
            </w:r>
          </w:p>
          <w:p w14:paraId="751A6C94" w14:textId="77777777" w:rsidR="00830E60" w:rsidRDefault="00830E60" w:rsidP="00830E60">
            <w:pPr>
              <w:jc w:val="both"/>
              <w:rPr>
                <w:rFonts w:ascii="Arial" w:hAnsi="Arial" w:cs="Arial"/>
                <w:sz w:val="20"/>
                <w:szCs w:val="20"/>
              </w:rPr>
            </w:pPr>
          </w:p>
          <w:p w14:paraId="11C454D7" w14:textId="6B06D2B7" w:rsidR="00830E60" w:rsidRDefault="00830E60" w:rsidP="00830E60">
            <w:pPr>
              <w:jc w:val="both"/>
              <w:rPr>
                <w:rFonts w:ascii="Arial" w:hAnsi="Arial" w:cs="Arial"/>
                <w:sz w:val="20"/>
                <w:szCs w:val="20"/>
              </w:rPr>
            </w:pPr>
            <w:r w:rsidRPr="000D0655">
              <w:rPr>
                <w:rFonts w:ascii="Arial" w:hAnsi="Arial" w:cs="Arial"/>
                <w:sz w:val="20"/>
                <w:szCs w:val="20"/>
              </w:rPr>
              <w:t xml:space="preserve">Točke bodo dodeljene ponudnikom, ki se zavežejo k oskrbi lokalnih končnih uporabnikov z več kot x % [odstotek določi naročnik] odpadne toplote podatkovnega centra, izražene kot faktor ERF. Dodatna točka se dodeli za vsakih 10 % dodatne odpadne toplote, ki jo dobavi podatkovni center. </w:t>
            </w:r>
          </w:p>
          <w:p w14:paraId="33F78550" w14:textId="77777777" w:rsidR="00830E60" w:rsidRDefault="00830E60" w:rsidP="00830E60">
            <w:pPr>
              <w:jc w:val="both"/>
              <w:rPr>
                <w:rFonts w:ascii="Arial" w:hAnsi="Arial" w:cs="Arial"/>
                <w:sz w:val="20"/>
                <w:szCs w:val="20"/>
              </w:rPr>
            </w:pPr>
          </w:p>
          <w:p w14:paraId="39C2134C" w14:textId="77777777" w:rsidR="00830E60" w:rsidRDefault="00830E60" w:rsidP="00830E60">
            <w:pPr>
              <w:jc w:val="both"/>
              <w:rPr>
                <w:rFonts w:ascii="Arial" w:hAnsi="Arial" w:cs="Arial"/>
                <w:sz w:val="20"/>
                <w:szCs w:val="20"/>
              </w:rPr>
            </w:pPr>
            <w:r w:rsidRPr="000D0655">
              <w:rPr>
                <w:rFonts w:ascii="Arial" w:hAnsi="Arial" w:cs="Arial"/>
                <w:sz w:val="20"/>
                <w:szCs w:val="20"/>
              </w:rPr>
              <w:t xml:space="preserve">ERF mora biti izračunan za vsako napravo skladno z EN 50600-4-6:2020 ali enakovrednim standardom. </w:t>
            </w:r>
          </w:p>
          <w:p w14:paraId="656B1E27" w14:textId="77777777" w:rsidR="00830E60" w:rsidRDefault="00830E60" w:rsidP="00830E60">
            <w:pPr>
              <w:jc w:val="both"/>
              <w:rPr>
                <w:rFonts w:ascii="Arial" w:hAnsi="Arial" w:cs="Arial"/>
                <w:sz w:val="20"/>
                <w:szCs w:val="20"/>
              </w:rPr>
            </w:pPr>
          </w:p>
          <w:p w14:paraId="5970AC50" w14:textId="77777777" w:rsidR="00830E60" w:rsidRPr="000D0655" w:rsidRDefault="00830E60" w:rsidP="00830E60">
            <w:pPr>
              <w:jc w:val="both"/>
              <w:rPr>
                <w:rFonts w:ascii="Arial" w:hAnsi="Arial" w:cs="Arial"/>
                <w:b/>
                <w:bCs/>
                <w:sz w:val="20"/>
                <w:szCs w:val="20"/>
              </w:rPr>
            </w:pPr>
            <w:r w:rsidRPr="000D0655">
              <w:rPr>
                <w:rFonts w:ascii="Arial" w:hAnsi="Arial" w:cs="Arial"/>
                <w:b/>
                <w:bCs/>
                <w:sz w:val="20"/>
                <w:szCs w:val="20"/>
              </w:rPr>
              <w:t xml:space="preserve">Preverjanje: </w:t>
            </w:r>
          </w:p>
          <w:p w14:paraId="3DC774C4" w14:textId="528F535A" w:rsidR="00830E60" w:rsidRDefault="00830E60" w:rsidP="00830E60">
            <w:pPr>
              <w:jc w:val="both"/>
              <w:rPr>
                <w:rFonts w:ascii="Arial" w:eastAsia="Arial" w:hAnsi="Arial" w:cs="Arial"/>
                <w:b/>
                <w:color w:val="385522"/>
                <w:spacing w:val="1"/>
                <w:kern w:val="0"/>
                <w:sz w:val="20"/>
                <w:szCs w:val="20"/>
                <w14:ligatures w14:val="none"/>
              </w:rPr>
            </w:pPr>
            <w:r w:rsidRPr="000D0655">
              <w:rPr>
                <w:rFonts w:ascii="Arial" w:hAnsi="Arial" w:cs="Arial"/>
                <w:sz w:val="20"/>
                <w:szCs w:val="20"/>
              </w:rPr>
              <w:t>Ponudnik mora predložiti izračune v skladu z ETSI ES 205 200-2-1 ali enakovrednim standardom ter tehnične risbe za sisteme in priključke za ponovno uporabo toplote. Od morebitnih potrošnikov toplote je treba pridobiti dokazila o pogodbenih dogovorih ali pisma o nameri.</w:t>
            </w:r>
          </w:p>
        </w:tc>
      </w:tr>
      <w:tr w:rsidR="00755F5A" w14:paraId="7FD0D939" w14:textId="77777777" w:rsidTr="000F15EE">
        <w:tc>
          <w:tcPr>
            <w:tcW w:w="704" w:type="dxa"/>
          </w:tcPr>
          <w:p w14:paraId="6CF6A16C" w14:textId="77777777" w:rsidR="00755F5A" w:rsidRDefault="00755F5A" w:rsidP="00830E60">
            <w:pPr>
              <w:jc w:val="both"/>
              <w:rPr>
                <w:rFonts w:ascii="Arial" w:eastAsia="Arial" w:hAnsi="Arial" w:cs="Arial"/>
                <w:bCs/>
                <w:spacing w:val="1"/>
                <w:kern w:val="0"/>
                <w:sz w:val="20"/>
                <w:szCs w:val="20"/>
                <w14:ligatures w14:val="none"/>
              </w:rPr>
            </w:pPr>
          </w:p>
        </w:tc>
        <w:tc>
          <w:tcPr>
            <w:tcW w:w="8312" w:type="dxa"/>
            <w:gridSpan w:val="2"/>
            <w:shd w:val="clear" w:color="auto" w:fill="9BBA58"/>
          </w:tcPr>
          <w:p w14:paraId="6427E8AD" w14:textId="77777777" w:rsidR="00755F5A" w:rsidRPr="00755F5A" w:rsidRDefault="00755F5A" w:rsidP="00755F5A">
            <w:pPr>
              <w:jc w:val="both"/>
              <w:rPr>
                <w:rFonts w:ascii="Arial" w:hAnsi="Arial" w:cs="Arial"/>
                <w:b/>
                <w:bCs/>
                <w:sz w:val="20"/>
                <w:szCs w:val="20"/>
              </w:rPr>
            </w:pPr>
            <w:r w:rsidRPr="00755F5A">
              <w:rPr>
                <w:rFonts w:ascii="Arial" w:hAnsi="Arial" w:cs="Arial"/>
                <w:b/>
                <w:bCs/>
                <w:sz w:val="20"/>
                <w:szCs w:val="20"/>
              </w:rPr>
              <w:t xml:space="preserve">Predmet naročila: </w:t>
            </w:r>
          </w:p>
          <w:p w14:paraId="6A162876" w14:textId="77777777" w:rsidR="00755F5A" w:rsidRPr="00755F5A" w:rsidRDefault="00755F5A" w:rsidP="00755F5A">
            <w:pPr>
              <w:numPr>
                <w:ilvl w:val="0"/>
                <w:numId w:val="1"/>
              </w:numPr>
              <w:jc w:val="both"/>
              <w:rPr>
                <w:rFonts w:ascii="Arial" w:hAnsi="Arial" w:cs="Arial"/>
                <w:b/>
                <w:bCs/>
                <w:sz w:val="20"/>
                <w:szCs w:val="20"/>
              </w:rPr>
            </w:pPr>
            <w:r w:rsidRPr="00755F5A">
              <w:rPr>
                <w:rFonts w:ascii="Arial" w:hAnsi="Arial" w:cs="Arial"/>
                <w:b/>
                <w:bCs/>
                <w:sz w:val="20"/>
                <w:szCs w:val="20"/>
              </w:rPr>
              <w:t xml:space="preserve">naročanje kolokacijskih storitev </w:t>
            </w:r>
          </w:p>
          <w:p w14:paraId="6F1B1B1E" w14:textId="77777777" w:rsidR="00755F5A" w:rsidRPr="00755F5A" w:rsidRDefault="00755F5A" w:rsidP="00755F5A">
            <w:pPr>
              <w:numPr>
                <w:ilvl w:val="0"/>
                <w:numId w:val="1"/>
              </w:numPr>
              <w:jc w:val="both"/>
              <w:rPr>
                <w:rFonts w:ascii="Arial" w:hAnsi="Arial" w:cs="Arial"/>
                <w:b/>
                <w:bCs/>
                <w:sz w:val="20"/>
                <w:szCs w:val="20"/>
              </w:rPr>
            </w:pPr>
            <w:r w:rsidRPr="00755F5A">
              <w:rPr>
                <w:rFonts w:ascii="Arial" w:hAnsi="Arial" w:cs="Arial"/>
                <w:b/>
                <w:bCs/>
                <w:sz w:val="20"/>
                <w:szCs w:val="20"/>
              </w:rPr>
              <w:t xml:space="preserve">naročanje storitev gostovanja </w:t>
            </w:r>
          </w:p>
          <w:p w14:paraId="7DEC4F72" w14:textId="77777777" w:rsidR="00755F5A" w:rsidRPr="00755F5A" w:rsidRDefault="00755F5A" w:rsidP="00755F5A">
            <w:pPr>
              <w:numPr>
                <w:ilvl w:val="0"/>
                <w:numId w:val="1"/>
              </w:numPr>
              <w:jc w:val="both"/>
              <w:rPr>
                <w:rFonts w:ascii="Arial" w:hAnsi="Arial" w:cs="Arial"/>
                <w:b/>
                <w:bCs/>
                <w:sz w:val="20"/>
                <w:szCs w:val="20"/>
              </w:rPr>
            </w:pPr>
            <w:r w:rsidRPr="00755F5A">
              <w:rPr>
                <w:rFonts w:ascii="Arial" w:hAnsi="Arial" w:cs="Arial"/>
                <w:b/>
                <w:bCs/>
                <w:sz w:val="20"/>
                <w:szCs w:val="20"/>
              </w:rPr>
              <w:t xml:space="preserve">naročanje storitev v oblaku </w:t>
            </w:r>
          </w:p>
          <w:p w14:paraId="0636CFDC" w14:textId="1D3926AD" w:rsidR="00755F5A" w:rsidRPr="0000419F" w:rsidRDefault="00755F5A" w:rsidP="00B61A1A">
            <w:pPr>
              <w:numPr>
                <w:ilvl w:val="0"/>
                <w:numId w:val="1"/>
              </w:numPr>
              <w:jc w:val="both"/>
              <w:rPr>
                <w:rFonts w:ascii="Arial" w:hAnsi="Arial" w:cs="Arial"/>
                <w:b/>
                <w:bCs/>
                <w:sz w:val="20"/>
                <w:szCs w:val="20"/>
              </w:rPr>
            </w:pPr>
            <w:r w:rsidRPr="00755F5A">
              <w:rPr>
                <w:rFonts w:ascii="Arial" w:hAnsi="Arial" w:cs="Arial"/>
                <w:b/>
                <w:bCs/>
                <w:sz w:val="20"/>
                <w:szCs w:val="20"/>
              </w:rPr>
              <w:t xml:space="preserve">upravljanje in vzdrževanje podjetniškega podatkovnega centra/strežniške sobe </w:t>
            </w:r>
          </w:p>
        </w:tc>
      </w:tr>
      <w:tr w:rsidR="00830E60" w14:paraId="45BCAC0C" w14:textId="77777777" w:rsidTr="00D91A3A">
        <w:tc>
          <w:tcPr>
            <w:tcW w:w="704" w:type="dxa"/>
          </w:tcPr>
          <w:p w14:paraId="7EF9FB81" w14:textId="034896A2" w:rsidR="00830E60" w:rsidRPr="00EE4AEF" w:rsidRDefault="00A74DB6" w:rsidP="00830E60">
            <w:pPr>
              <w:jc w:val="both"/>
              <w:rPr>
                <w:rFonts w:ascii="Arial" w:eastAsia="Arial" w:hAnsi="Arial" w:cs="Arial"/>
                <w:bCs/>
                <w:spacing w:val="1"/>
                <w:kern w:val="0"/>
                <w:sz w:val="20"/>
                <w:szCs w:val="20"/>
                <w14:ligatures w14:val="none"/>
              </w:rPr>
            </w:pPr>
            <w:r>
              <w:rPr>
                <w:rFonts w:ascii="Arial" w:eastAsia="Arial" w:hAnsi="Arial" w:cs="Arial"/>
                <w:bCs/>
                <w:spacing w:val="1"/>
                <w:kern w:val="0"/>
                <w:sz w:val="20"/>
                <w:szCs w:val="20"/>
                <w14:ligatures w14:val="none"/>
              </w:rPr>
              <w:t>ME</w:t>
            </w:r>
            <w:r w:rsidR="00994E9C">
              <w:rPr>
                <w:rFonts w:ascii="Arial" w:eastAsia="Arial" w:hAnsi="Arial" w:cs="Arial"/>
                <w:bCs/>
                <w:spacing w:val="1"/>
                <w:kern w:val="0"/>
                <w:sz w:val="20"/>
                <w:szCs w:val="20"/>
                <w14:ligatures w14:val="none"/>
              </w:rPr>
              <w:t>9</w:t>
            </w:r>
          </w:p>
        </w:tc>
        <w:tc>
          <w:tcPr>
            <w:tcW w:w="4394" w:type="dxa"/>
          </w:tcPr>
          <w:p w14:paraId="2D078C9E" w14:textId="77777777" w:rsidR="00830E60" w:rsidRDefault="00830E60" w:rsidP="00830E60">
            <w:pPr>
              <w:jc w:val="both"/>
              <w:rPr>
                <w:rFonts w:ascii="Arial" w:eastAsia="Arial" w:hAnsi="Arial" w:cs="Arial"/>
                <w:b/>
                <w:color w:val="385522"/>
                <w:spacing w:val="1"/>
                <w:kern w:val="0"/>
                <w:sz w:val="20"/>
                <w:szCs w:val="20"/>
                <w14:ligatures w14:val="none"/>
              </w:rPr>
            </w:pPr>
          </w:p>
        </w:tc>
        <w:tc>
          <w:tcPr>
            <w:tcW w:w="3918" w:type="dxa"/>
          </w:tcPr>
          <w:p w14:paraId="4B94B978" w14:textId="77777777" w:rsidR="00B27469" w:rsidRPr="00755F5A" w:rsidRDefault="00B27469" w:rsidP="00B27469">
            <w:pPr>
              <w:jc w:val="both"/>
              <w:rPr>
                <w:rFonts w:ascii="Arial" w:hAnsi="Arial" w:cs="Arial"/>
                <w:b/>
                <w:bCs/>
                <w:i/>
                <w:iCs/>
                <w:sz w:val="20"/>
                <w:szCs w:val="20"/>
              </w:rPr>
            </w:pPr>
            <w:r w:rsidRPr="0000419F">
              <w:rPr>
                <w:rFonts w:ascii="Arial" w:hAnsi="Arial" w:cs="Arial"/>
                <w:b/>
                <w:bCs/>
                <w:sz w:val="20"/>
                <w:szCs w:val="20"/>
              </w:rPr>
              <w:t xml:space="preserve">Ponovna uporaba odpadne toplote (za storitve z upravljanjem) – </w:t>
            </w:r>
            <w:r w:rsidRPr="00755F5A">
              <w:rPr>
                <w:rFonts w:ascii="Arial" w:hAnsi="Arial" w:cs="Arial"/>
                <w:b/>
                <w:bCs/>
                <w:i/>
                <w:iCs/>
                <w:sz w:val="20"/>
                <w:szCs w:val="20"/>
              </w:rPr>
              <w:t>Zahtevnejši nivo</w:t>
            </w:r>
          </w:p>
          <w:p w14:paraId="04F6137C" w14:textId="77777777" w:rsidR="00B27469" w:rsidRPr="00853340" w:rsidRDefault="00B27469" w:rsidP="00B27469">
            <w:pPr>
              <w:jc w:val="both"/>
              <w:rPr>
                <w:rFonts w:ascii="Arial" w:hAnsi="Arial" w:cs="Arial"/>
                <w:b/>
                <w:bCs/>
                <w:sz w:val="20"/>
                <w:szCs w:val="20"/>
              </w:rPr>
            </w:pPr>
          </w:p>
          <w:p w14:paraId="6F563B5C" w14:textId="77777777" w:rsidR="00B27469" w:rsidRPr="000D0655" w:rsidRDefault="00B27469" w:rsidP="00B27469">
            <w:pPr>
              <w:jc w:val="both"/>
              <w:rPr>
                <w:rFonts w:ascii="Arial" w:hAnsi="Arial" w:cs="Arial"/>
                <w:i/>
                <w:iCs/>
                <w:sz w:val="20"/>
                <w:szCs w:val="20"/>
              </w:rPr>
            </w:pPr>
            <w:r w:rsidRPr="000D0655">
              <w:rPr>
                <w:rFonts w:ascii="Arial" w:hAnsi="Arial" w:cs="Arial"/>
                <w:i/>
                <w:iCs/>
                <w:sz w:val="20"/>
                <w:szCs w:val="20"/>
              </w:rPr>
              <w:t xml:space="preserve">Če se naroča storitev, se priporoča določitev celovitega merila za oddajo naročila. </w:t>
            </w:r>
          </w:p>
          <w:p w14:paraId="5A3024EB" w14:textId="77777777" w:rsidR="00B27469" w:rsidRDefault="00B27469" w:rsidP="00B27469">
            <w:pPr>
              <w:jc w:val="both"/>
              <w:rPr>
                <w:rFonts w:ascii="Arial" w:hAnsi="Arial" w:cs="Arial"/>
                <w:sz w:val="20"/>
                <w:szCs w:val="20"/>
              </w:rPr>
            </w:pPr>
          </w:p>
          <w:p w14:paraId="040525D0" w14:textId="2CD0751A" w:rsidR="00B27469" w:rsidRDefault="00B27469" w:rsidP="00B27469">
            <w:pPr>
              <w:jc w:val="both"/>
              <w:rPr>
                <w:rFonts w:ascii="Arial" w:hAnsi="Arial" w:cs="Arial"/>
                <w:sz w:val="20"/>
                <w:szCs w:val="20"/>
              </w:rPr>
            </w:pPr>
            <w:r w:rsidRPr="000D0655">
              <w:rPr>
                <w:rFonts w:ascii="Arial" w:hAnsi="Arial" w:cs="Arial"/>
                <w:sz w:val="20"/>
                <w:szCs w:val="20"/>
              </w:rPr>
              <w:t xml:space="preserve">Točke se dodelijo na podlagi priznanega faktorja ERF za naprave, ki se bodo uporabljale za izvajanje naročila. Točke bodo dodeljene sorazmerno s ponudnikom, ki ponuja najvišji faktor ponovne uporabe energije. </w:t>
            </w:r>
          </w:p>
          <w:p w14:paraId="54885941" w14:textId="77777777" w:rsidR="00B27469" w:rsidRDefault="00B27469" w:rsidP="00B27469">
            <w:pPr>
              <w:jc w:val="both"/>
              <w:rPr>
                <w:rFonts w:ascii="Arial" w:hAnsi="Arial" w:cs="Arial"/>
                <w:sz w:val="20"/>
                <w:szCs w:val="20"/>
              </w:rPr>
            </w:pPr>
          </w:p>
          <w:p w14:paraId="0DD4F167" w14:textId="77777777" w:rsidR="00B27469" w:rsidRDefault="00B27469" w:rsidP="00B27469">
            <w:pPr>
              <w:jc w:val="both"/>
              <w:rPr>
                <w:rFonts w:ascii="Arial" w:hAnsi="Arial" w:cs="Arial"/>
                <w:sz w:val="20"/>
                <w:szCs w:val="20"/>
              </w:rPr>
            </w:pPr>
            <w:r w:rsidRPr="000D0655">
              <w:rPr>
                <w:rFonts w:ascii="Arial" w:hAnsi="Arial" w:cs="Arial"/>
                <w:sz w:val="20"/>
                <w:szCs w:val="20"/>
              </w:rPr>
              <w:lastRenderedPageBreak/>
              <w:t xml:space="preserve">ERF mora biti izračunan za vsako napravo skladno z EN 50600-4-6:2020 ali enakovrednim standardom. </w:t>
            </w:r>
          </w:p>
          <w:p w14:paraId="3D3DA747" w14:textId="77777777" w:rsidR="00B27469" w:rsidRDefault="00B27469" w:rsidP="00B27469">
            <w:pPr>
              <w:jc w:val="both"/>
              <w:rPr>
                <w:rFonts w:ascii="Arial" w:hAnsi="Arial" w:cs="Arial"/>
                <w:sz w:val="20"/>
                <w:szCs w:val="20"/>
              </w:rPr>
            </w:pPr>
          </w:p>
          <w:p w14:paraId="014724BD" w14:textId="77777777" w:rsidR="00B27469" w:rsidRPr="000D0655" w:rsidRDefault="00B27469" w:rsidP="00B27469">
            <w:pPr>
              <w:jc w:val="both"/>
              <w:rPr>
                <w:rFonts w:ascii="Arial" w:hAnsi="Arial" w:cs="Arial"/>
                <w:b/>
                <w:bCs/>
                <w:sz w:val="20"/>
                <w:szCs w:val="20"/>
              </w:rPr>
            </w:pPr>
            <w:r w:rsidRPr="000D0655">
              <w:rPr>
                <w:rFonts w:ascii="Arial" w:hAnsi="Arial" w:cs="Arial"/>
                <w:b/>
                <w:bCs/>
                <w:sz w:val="20"/>
                <w:szCs w:val="20"/>
              </w:rPr>
              <w:t xml:space="preserve">Preverjanje: </w:t>
            </w:r>
          </w:p>
          <w:p w14:paraId="573274EE" w14:textId="21592740" w:rsidR="00830E60" w:rsidRDefault="00B27469" w:rsidP="00B27469">
            <w:pPr>
              <w:jc w:val="both"/>
              <w:rPr>
                <w:rFonts w:ascii="Arial" w:eastAsia="Arial" w:hAnsi="Arial" w:cs="Arial"/>
                <w:b/>
                <w:color w:val="385522"/>
                <w:spacing w:val="1"/>
                <w:kern w:val="0"/>
                <w:sz w:val="20"/>
                <w:szCs w:val="20"/>
                <w14:ligatures w14:val="none"/>
              </w:rPr>
            </w:pPr>
            <w:r w:rsidRPr="000D0655">
              <w:rPr>
                <w:rFonts w:ascii="Arial" w:hAnsi="Arial" w:cs="Arial"/>
                <w:sz w:val="20"/>
                <w:szCs w:val="20"/>
              </w:rPr>
              <w:t>Ponudnik mora predložiti izračune v skladu z EN 50600-4-6:2020 ali enakovrednim standardom. Kot dokazilo se lahko sprejme potrdilo tretje osebe o ERF. Kot dokazilo se lahko sprejmejo tudi sistemi upravljanja z energijo (na podlagi ISO 50001) ali sistemi okoljskega upravljanja (na podlagi EMAS ali ISO 14001), ki jih potrdijo tretje osebe in ki vsebujejo izračunan ERF.</w:t>
            </w:r>
          </w:p>
        </w:tc>
      </w:tr>
      <w:tr w:rsidR="00755F5A" w14:paraId="44EFD3B0" w14:textId="77777777" w:rsidTr="000F15EE">
        <w:tc>
          <w:tcPr>
            <w:tcW w:w="704" w:type="dxa"/>
          </w:tcPr>
          <w:p w14:paraId="0F06A2D0" w14:textId="77777777" w:rsidR="00755F5A" w:rsidRDefault="00755F5A" w:rsidP="00830E60">
            <w:pPr>
              <w:jc w:val="both"/>
              <w:rPr>
                <w:rFonts w:ascii="Arial" w:eastAsia="Arial" w:hAnsi="Arial" w:cs="Arial"/>
                <w:bCs/>
                <w:spacing w:val="1"/>
                <w:kern w:val="0"/>
                <w:sz w:val="20"/>
                <w:szCs w:val="20"/>
                <w14:ligatures w14:val="none"/>
              </w:rPr>
            </w:pPr>
          </w:p>
        </w:tc>
        <w:tc>
          <w:tcPr>
            <w:tcW w:w="8312" w:type="dxa"/>
            <w:gridSpan w:val="2"/>
            <w:shd w:val="clear" w:color="auto" w:fill="9BBA58"/>
          </w:tcPr>
          <w:p w14:paraId="3376E5AB" w14:textId="77777777" w:rsidR="00755F5A" w:rsidRPr="00755F5A" w:rsidRDefault="00755F5A" w:rsidP="00755F5A">
            <w:pPr>
              <w:jc w:val="both"/>
              <w:rPr>
                <w:rFonts w:ascii="Arial" w:hAnsi="Arial" w:cs="Arial"/>
                <w:b/>
                <w:bCs/>
                <w:sz w:val="20"/>
                <w:szCs w:val="20"/>
              </w:rPr>
            </w:pPr>
            <w:r w:rsidRPr="00755F5A">
              <w:rPr>
                <w:rFonts w:ascii="Arial" w:hAnsi="Arial" w:cs="Arial"/>
                <w:b/>
                <w:bCs/>
                <w:sz w:val="20"/>
                <w:szCs w:val="20"/>
              </w:rPr>
              <w:t xml:space="preserve">Predmet naročila: </w:t>
            </w:r>
          </w:p>
          <w:p w14:paraId="73559574" w14:textId="77777777" w:rsidR="00755F5A" w:rsidRPr="00755F5A" w:rsidRDefault="00755F5A" w:rsidP="00755F5A">
            <w:pPr>
              <w:numPr>
                <w:ilvl w:val="0"/>
                <w:numId w:val="1"/>
              </w:numPr>
              <w:jc w:val="both"/>
              <w:rPr>
                <w:rFonts w:ascii="Arial" w:hAnsi="Arial" w:cs="Arial"/>
                <w:b/>
                <w:bCs/>
                <w:sz w:val="20"/>
                <w:szCs w:val="20"/>
              </w:rPr>
            </w:pPr>
            <w:r w:rsidRPr="00755F5A">
              <w:rPr>
                <w:rFonts w:ascii="Arial" w:hAnsi="Arial" w:cs="Arial"/>
                <w:b/>
                <w:bCs/>
                <w:sz w:val="20"/>
                <w:szCs w:val="20"/>
              </w:rPr>
              <w:t xml:space="preserve">naročanje kolokacijskih storitev </w:t>
            </w:r>
          </w:p>
          <w:p w14:paraId="35537628" w14:textId="77777777" w:rsidR="00755F5A" w:rsidRPr="00755F5A" w:rsidRDefault="00755F5A" w:rsidP="00755F5A">
            <w:pPr>
              <w:numPr>
                <w:ilvl w:val="0"/>
                <w:numId w:val="1"/>
              </w:numPr>
              <w:jc w:val="both"/>
              <w:rPr>
                <w:rFonts w:ascii="Arial" w:hAnsi="Arial" w:cs="Arial"/>
                <w:b/>
                <w:bCs/>
                <w:sz w:val="20"/>
                <w:szCs w:val="20"/>
              </w:rPr>
            </w:pPr>
            <w:r w:rsidRPr="00755F5A">
              <w:rPr>
                <w:rFonts w:ascii="Arial" w:hAnsi="Arial" w:cs="Arial"/>
                <w:b/>
                <w:bCs/>
                <w:sz w:val="20"/>
                <w:szCs w:val="20"/>
              </w:rPr>
              <w:t xml:space="preserve">naročanje storitev gostovanja </w:t>
            </w:r>
          </w:p>
          <w:p w14:paraId="5DE8AF7A" w14:textId="77777777" w:rsidR="00755F5A" w:rsidRPr="00755F5A" w:rsidRDefault="00755F5A" w:rsidP="00755F5A">
            <w:pPr>
              <w:numPr>
                <w:ilvl w:val="0"/>
                <w:numId w:val="1"/>
              </w:numPr>
              <w:jc w:val="both"/>
              <w:rPr>
                <w:rFonts w:ascii="Arial" w:hAnsi="Arial" w:cs="Arial"/>
                <w:b/>
                <w:bCs/>
                <w:sz w:val="20"/>
                <w:szCs w:val="20"/>
              </w:rPr>
            </w:pPr>
            <w:r w:rsidRPr="00755F5A">
              <w:rPr>
                <w:rFonts w:ascii="Arial" w:hAnsi="Arial" w:cs="Arial"/>
                <w:b/>
                <w:bCs/>
                <w:sz w:val="20"/>
                <w:szCs w:val="20"/>
              </w:rPr>
              <w:t xml:space="preserve">naročanje storitev v oblaku </w:t>
            </w:r>
          </w:p>
          <w:p w14:paraId="0B43D931" w14:textId="56563AD3" w:rsidR="00755F5A" w:rsidRPr="0000419F" w:rsidRDefault="00755F5A" w:rsidP="003E4941">
            <w:pPr>
              <w:numPr>
                <w:ilvl w:val="0"/>
                <w:numId w:val="1"/>
              </w:numPr>
              <w:jc w:val="both"/>
              <w:rPr>
                <w:rFonts w:ascii="Arial" w:hAnsi="Arial" w:cs="Arial"/>
                <w:b/>
                <w:bCs/>
                <w:sz w:val="20"/>
                <w:szCs w:val="20"/>
              </w:rPr>
            </w:pPr>
            <w:r w:rsidRPr="00755F5A">
              <w:rPr>
                <w:rFonts w:ascii="Arial" w:hAnsi="Arial" w:cs="Arial"/>
                <w:b/>
                <w:bCs/>
                <w:sz w:val="20"/>
                <w:szCs w:val="20"/>
              </w:rPr>
              <w:t xml:space="preserve">upravljanje in vzdrževanje podjetniškega podatkovnega centra/strežniške sobe </w:t>
            </w:r>
          </w:p>
        </w:tc>
      </w:tr>
      <w:tr w:rsidR="00830E60" w14:paraId="7C34AB5F" w14:textId="77777777" w:rsidTr="00D91A3A">
        <w:tc>
          <w:tcPr>
            <w:tcW w:w="704" w:type="dxa"/>
          </w:tcPr>
          <w:p w14:paraId="068BA0C9" w14:textId="77777777" w:rsidR="00195DD9" w:rsidRDefault="00A74DB6" w:rsidP="00830E60">
            <w:pPr>
              <w:jc w:val="both"/>
              <w:rPr>
                <w:rFonts w:ascii="Arial" w:eastAsia="Arial" w:hAnsi="Arial" w:cs="Arial"/>
                <w:bCs/>
                <w:spacing w:val="1"/>
                <w:kern w:val="0"/>
                <w:sz w:val="20"/>
                <w:szCs w:val="20"/>
                <w14:ligatures w14:val="none"/>
              </w:rPr>
            </w:pPr>
            <w:r>
              <w:rPr>
                <w:rFonts w:ascii="Arial" w:eastAsia="Arial" w:hAnsi="Arial" w:cs="Arial"/>
                <w:bCs/>
                <w:spacing w:val="1"/>
                <w:kern w:val="0"/>
                <w:sz w:val="20"/>
                <w:szCs w:val="20"/>
                <w14:ligatures w14:val="none"/>
              </w:rPr>
              <w:t>ME</w:t>
            </w:r>
          </w:p>
          <w:p w14:paraId="0EB75752" w14:textId="12C76573" w:rsidR="00830E60" w:rsidRPr="00EE4AEF" w:rsidRDefault="00994E9C" w:rsidP="00830E60">
            <w:pPr>
              <w:jc w:val="both"/>
              <w:rPr>
                <w:rFonts w:ascii="Arial" w:eastAsia="Arial" w:hAnsi="Arial" w:cs="Arial"/>
                <w:bCs/>
                <w:spacing w:val="1"/>
                <w:kern w:val="0"/>
                <w:sz w:val="20"/>
                <w:szCs w:val="20"/>
                <w14:ligatures w14:val="none"/>
              </w:rPr>
            </w:pPr>
            <w:r>
              <w:rPr>
                <w:rFonts w:ascii="Arial" w:eastAsia="Arial" w:hAnsi="Arial" w:cs="Arial"/>
                <w:bCs/>
                <w:spacing w:val="1"/>
                <w:kern w:val="0"/>
                <w:sz w:val="20"/>
                <w:szCs w:val="20"/>
                <w14:ligatures w14:val="none"/>
              </w:rPr>
              <w:t>10</w:t>
            </w:r>
          </w:p>
        </w:tc>
        <w:tc>
          <w:tcPr>
            <w:tcW w:w="4394" w:type="dxa"/>
          </w:tcPr>
          <w:p w14:paraId="3BAA70AC" w14:textId="77777777" w:rsidR="00994E9C" w:rsidRPr="00403C9F" w:rsidRDefault="00994E9C" w:rsidP="00994E9C">
            <w:pPr>
              <w:jc w:val="both"/>
              <w:rPr>
                <w:rFonts w:ascii="Arial" w:hAnsi="Arial" w:cs="Arial"/>
                <w:b/>
                <w:bCs/>
                <w:i/>
                <w:iCs/>
                <w:sz w:val="20"/>
                <w:szCs w:val="20"/>
              </w:rPr>
            </w:pPr>
            <w:r w:rsidRPr="00853340">
              <w:rPr>
                <w:rFonts w:ascii="Arial" w:hAnsi="Arial" w:cs="Arial"/>
                <w:b/>
                <w:bCs/>
                <w:sz w:val="20"/>
                <w:szCs w:val="20"/>
              </w:rPr>
              <w:t xml:space="preserve">Faktor obnovljive energije (REF) – </w:t>
            </w:r>
            <w:r w:rsidRPr="00403C9F">
              <w:rPr>
                <w:rFonts w:ascii="Arial" w:hAnsi="Arial" w:cs="Arial"/>
                <w:b/>
                <w:bCs/>
                <w:i/>
                <w:iCs/>
                <w:sz w:val="20"/>
                <w:szCs w:val="20"/>
              </w:rPr>
              <w:t>Osnovni nivo</w:t>
            </w:r>
          </w:p>
          <w:p w14:paraId="540CF759" w14:textId="77777777" w:rsidR="00994E9C" w:rsidRDefault="00994E9C" w:rsidP="00994E9C">
            <w:pPr>
              <w:jc w:val="both"/>
              <w:rPr>
                <w:rFonts w:ascii="Arial" w:hAnsi="Arial" w:cs="Arial"/>
                <w:i/>
                <w:iCs/>
                <w:sz w:val="20"/>
                <w:szCs w:val="20"/>
              </w:rPr>
            </w:pPr>
            <w:r w:rsidRPr="006F15B9">
              <w:rPr>
                <w:rFonts w:ascii="Arial" w:hAnsi="Arial" w:cs="Arial"/>
                <w:i/>
                <w:iCs/>
                <w:sz w:val="20"/>
                <w:szCs w:val="20"/>
              </w:rPr>
              <w:t xml:space="preserve">Se vključijo, če podatkovni center upravlja tretja oseba. Točke se dodelijo samo ponudnikom, ki izpolnjujejo minimalne zahteve za zmogljivost sistema IT ter mehaničnega in električnega sistema. Za storitve v oblaku se REF lahko zahteva kot srednja vrednost za lokacijo, ki zagotavlja storitev. </w:t>
            </w:r>
          </w:p>
          <w:p w14:paraId="50378BEE" w14:textId="77777777" w:rsidR="003E4941" w:rsidRDefault="003E4941" w:rsidP="00994E9C">
            <w:pPr>
              <w:jc w:val="both"/>
              <w:rPr>
                <w:rFonts w:ascii="Arial" w:hAnsi="Arial" w:cs="Arial"/>
                <w:sz w:val="20"/>
                <w:szCs w:val="20"/>
              </w:rPr>
            </w:pPr>
          </w:p>
          <w:p w14:paraId="2F1D75B8" w14:textId="4A5767B5" w:rsidR="00994E9C" w:rsidRPr="006F15B9" w:rsidRDefault="00994E9C" w:rsidP="00994E9C">
            <w:pPr>
              <w:jc w:val="both"/>
              <w:rPr>
                <w:rFonts w:ascii="Arial" w:hAnsi="Arial" w:cs="Arial"/>
                <w:sz w:val="20"/>
                <w:szCs w:val="20"/>
              </w:rPr>
            </w:pPr>
            <w:r w:rsidRPr="006F15B9">
              <w:rPr>
                <w:rFonts w:ascii="Arial" w:hAnsi="Arial" w:cs="Arial"/>
                <w:sz w:val="20"/>
                <w:szCs w:val="20"/>
              </w:rPr>
              <w:t>Točke se dodelijo sorazmerno s ponudnikom, ki ponuja najvišji REF za porabo električne energije.</w:t>
            </w:r>
          </w:p>
          <w:p w14:paraId="1839E777" w14:textId="77777777" w:rsidR="00994E9C" w:rsidRDefault="00994E9C" w:rsidP="00994E9C">
            <w:pPr>
              <w:jc w:val="both"/>
              <w:rPr>
                <w:rFonts w:ascii="Arial" w:hAnsi="Arial" w:cs="Arial"/>
                <w:b/>
                <w:bCs/>
                <w:sz w:val="20"/>
                <w:szCs w:val="20"/>
              </w:rPr>
            </w:pPr>
          </w:p>
          <w:p w14:paraId="26DF662B" w14:textId="7D9D55FA" w:rsidR="00CC10A6" w:rsidRDefault="00994E9C" w:rsidP="00994E9C">
            <w:pPr>
              <w:jc w:val="both"/>
              <w:rPr>
                <w:rFonts w:ascii="Arial" w:hAnsi="Arial" w:cs="Arial"/>
                <w:sz w:val="20"/>
                <w:szCs w:val="20"/>
              </w:rPr>
            </w:pPr>
            <w:r w:rsidRPr="00853340">
              <w:rPr>
                <w:rFonts w:ascii="Arial" w:hAnsi="Arial" w:cs="Arial"/>
                <w:sz w:val="20"/>
                <w:szCs w:val="20"/>
              </w:rPr>
              <w:t>REF za energijo, ki je dobavljena in porabljena v podatkovnem centru, mora biti izračunan v skladu z EN 50600-4-38.</w:t>
            </w:r>
            <w:r w:rsidR="00CC10A6">
              <w:rPr>
                <w:rStyle w:val="Sprotnaopomba-sklic"/>
                <w:rFonts w:ascii="Arial" w:hAnsi="Arial" w:cs="Arial"/>
                <w:sz w:val="20"/>
                <w:szCs w:val="20"/>
              </w:rPr>
              <w:footnoteReference w:id="11"/>
            </w:r>
          </w:p>
          <w:p w14:paraId="58883D1D" w14:textId="77777777" w:rsidR="00CC10A6" w:rsidRDefault="00CC10A6" w:rsidP="00994E9C">
            <w:pPr>
              <w:jc w:val="both"/>
              <w:rPr>
                <w:rFonts w:ascii="Arial" w:hAnsi="Arial" w:cs="Arial"/>
                <w:sz w:val="20"/>
                <w:szCs w:val="20"/>
              </w:rPr>
            </w:pPr>
          </w:p>
          <w:p w14:paraId="00718EFC" w14:textId="1632687E" w:rsidR="00994E9C" w:rsidRDefault="00994E9C" w:rsidP="00994E9C">
            <w:pPr>
              <w:jc w:val="both"/>
              <w:rPr>
                <w:rFonts w:ascii="Arial" w:hAnsi="Arial" w:cs="Arial"/>
                <w:sz w:val="20"/>
                <w:szCs w:val="20"/>
              </w:rPr>
            </w:pPr>
            <w:r w:rsidRPr="00853340">
              <w:rPr>
                <w:rFonts w:ascii="Arial" w:hAnsi="Arial" w:cs="Arial"/>
                <w:sz w:val="20"/>
                <w:szCs w:val="20"/>
              </w:rPr>
              <w:t xml:space="preserve"> Električna energija, ki prispeva k REF, mora izvirati iz obnovljivih virov, kot jih opredeljuje </w:t>
            </w:r>
            <w:hyperlink r:id="rId35" w:history="1">
              <w:r w:rsidRPr="00853340">
                <w:rPr>
                  <w:rStyle w:val="Hiperpovezava"/>
                  <w:rFonts w:ascii="Arial" w:hAnsi="Arial" w:cs="Arial"/>
                  <w:sz w:val="20"/>
                  <w:szCs w:val="20"/>
                </w:rPr>
                <w:t>Direktivi (EU) 2018/2001 Evropskega parlamenta in Sveta z dne 11. decembra 2018 o spodbujanju uporabe energije iz obnovljivih virov (prenovitev)</w:t>
              </w:r>
            </w:hyperlink>
            <w:r w:rsidRPr="00853340">
              <w:rPr>
                <w:rFonts w:ascii="Arial" w:hAnsi="Arial" w:cs="Arial"/>
                <w:sz w:val="20"/>
                <w:szCs w:val="20"/>
              </w:rPr>
              <w:t>.</w:t>
            </w:r>
            <w:r w:rsidR="00CC10A6">
              <w:rPr>
                <w:rStyle w:val="Sprotnaopomba-sklic"/>
                <w:rFonts w:ascii="Arial" w:hAnsi="Arial" w:cs="Arial"/>
                <w:sz w:val="20"/>
                <w:szCs w:val="20"/>
              </w:rPr>
              <w:footnoteReference w:id="12"/>
            </w:r>
          </w:p>
          <w:p w14:paraId="5F50C8C3" w14:textId="77777777" w:rsidR="00580938" w:rsidRDefault="00580938" w:rsidP="00994E9C">
            <w:pPr>
              <w:jc w:val="both"/>
              <w:rPr>
                <w:rFonts w:ascii="Arial" w:hAnsi="Arial" w:cs="Arial"/>
                <w:sz w:val="20"/>
                <w:szCs w:val="20"/>
              </w:rPr>
            </w:pPr>
          </w:p>
          <w:p w14:paraId="1A7E9731" w14:textId="77777777" w:rsidR="00994E9C" w:rsidRDefault="00994E9C" w:rsidP="00994E9C">
            <w:pPr>
              <w:jc w:val="both"/>
              <w:rPr>
                <w:rFonts w:ascii="Arial" w:hAnsi="Arial" w:cs="Arial"/>
                <w:b/>
                <w:bCs/>
                <w:sz w:val="20"/>
                <w:szCs w:val="20"/>
              </w:rPr>
            </w:pPr>
            <w:r w:rsidRPr="006F15B9">
              <w:rPr>
                <w:rFonts w:ascii="Arial" w:hAnsi="Arial" w:cs="Arial"/>
                <w:b/>
                <w:bCs/>
                <w:sz w:val="20"/>
                <w:szCs w:val="20"/>
              </w:rPr>
              <w:t xml:space="preserve">Preverjanje: </w:t>
            </w:r>
          </w:p>
          <w:p w14:paraId="057AFB73" w14:textId="4251D737" w:rsidR="00994E9C" w:rsidRPr="006F15B9" w:rsidRDefault="00994E9C" w:rsidP="00994E9C">
            <w:pPr>
              <w:jc w:val="both"/>
              <w:rPr>
                <w:rFonts w:ascii="Arial" w:hAnsi="Arial" w:cs="Arial"/>
                <w:sz w:val="20"/>
                <w:szCs w:val="20"/>
              </w:rPr>
            </w:pPr>
            <w:r w:rsidRPr="006F15B9">
              <w:rPr>
                <w:rFonts w:ascii="Arial" w:hAnsi="Arial" w:cs="Arial"/>
                <w:sz w:val="20"/>
                <w:szCs w:val="20"/>
              </w:rPr>
              <w:t xml:space="preserve">Navesti je treba REF ter podatke o dobavi in uporabi električne energije, na katerih temeljijo izračuni. Kot dokazilo se lahko sprejme potrdilo tretje osebe o REF. Kot dokazilo se lahko sprejmejo tudi sistemi upravljanja z energijo (ISO 50001) ali sistemi okoljskega upravljanja </w:t>
            </w:r>
            <w:r w:rsidRPr="006F15B9">
              <w:rPr>
                <w:rFonts w:ascii="Arial" w:hAnsi="Arial" w:cs="Arial"/>
                <w:sz w:val="20"/>
                <w:szCs w:val="20"/>
              </w:rPr>
              <w:lastRenderedPageBreak/>
              <w:t>(EMAS ali ISO 14001), ki jih potrdijo tretje osebe in ki vsebujejo izračunan REF.</w:t>
            </w:r>
          </w:p>
          <w:p w14:paraId="3A3EC7BC" w14:textId="77777777" w:rsidR="00830E60" w:rsidRDefault="00830E60" w:rsidP="00830E60">
            <w:pPr>
              <w:jc w:val="both"/>
              <w:rPr>
                <w:rFonts w:ascii="Arial" w:eastAsia="Arial" w:hAnsi="Arial" w:cs="Arial"/>
                <w:b/>
                <w:color w:val="385522"/>
                <w:spacing w:val="1"/>
                <w:kern w:val="0"/>
                <w:sz w:val="20"/>
                <w:szCs w:val="20"/>
                <w14:ligatures w14:val="none"/>
              </w:rPr>
            </w:pPr>
          </w:p>
          <w:p w14:paraId="15815CE7" w14:textId="77777777" w:rsidR="003E4941" w:rsidRDefault="003E4941" w:rsidP="003E4941">
            <w:pPr>
              <w:jc w:val="both"/>
            </w:pPr>
            <w:r w:rsidRPr="000122CB">
              <w:rPr>
                <w:rFonts w:ascii="Arial" w:hAnsi="Arial" w:cs="Arial"/>
                <w:b/>
                <w:bCs/>
                <w:sz w:val="20"/>
                <w:szCs w:val="20"/>
              </w:rPr>
              <w:t>Pojasnilo</w:t>
            </w:r>
            <w:r>
              <w:rPr>
                <w:rFonts w:ascii="Arial" w:hAnsi="Arial" w:cs="Arial"/>
                <w:sz w:val="20"/>
                <w:szCs w:val="20"/>
              </w:rPr>
              <w:t>:</w:t>
            </w:r>
            <w:r>
              <w:t xml:space="preserve"> </w:t>
            </w:r>
          </w:p>
          <w:p w14:paraId="011E1C1B" w14:textId="1ED5C916" w:rsidR="003E4941" w:rsidRDefault="003E4941" w:rsidP="003E4941">
            <w:pPr>
              <w:jc w:val="both"/>
              <w:rPr>
                <w:rFonts w:ascii="Arial" w:eastAsia="Arial" w:hAnsi="Arial" w:cs="Arial"/>
                <w:b/>
                <w:color w:val="385522"/>
                <w:spacing w:val="1"/>
                <w:kern w:val="0"/>
                <w:sz w:val="20"/>
                <w:szCs w:val="20"/>
                <w14:ligatures w14:val="none"/>
              </w:rPr>
            </w:pPr>
            <w:r>
              <w:rPr>
                <w:rFonts w:ascii="Arial" w:hAnsi="Arial" w:cs="Arial"/>
                <w:sz w:val="20"/>
                <w:szCs w:val="20"/>
              </w:rPr>
              <w:t>P</w:t>
            </w:r>
            <w:r w:rsidRPr="00580938">
              <w:rPr>
                <w:rFonts w:ascii="Arial" w:hAnsi="Arial" w:cs="Arial"/>
                <w:sz w:val="20"/>
                <w:szCs w:val="20"/>
              </w:rPr>
              <w:t>otrdilo o izvoru</w:t>
            </w:r>
            <w:r>
              <w:rPr>
                <w:rFonts w:ascii="Arial" w:hAnsi="Arial" w:cs="Arial"/>
                <w:sz w:val="20"/>
                <w:szCs w:val="20"/>
              </w:rPr>
              <w:t>: v</w:t>
            </w:r>
            <w:r w:rsidRPr="00580938">
              <w:rPr>
                <w:rFonts w:ascii="Arial" w:hAnsi="Arial" w:cs="Arial"/>
                <w:sz w:val="20"/>
                <w:szCs w:val="20"/>
              </w:rPr>
              <w:t xml:space="preserve">se države EU so pravno zavezane, da v skladu z </w:t>
            </w:r>
            <w:hyperlink r:id="rId36" w:history="1">
              <w:r w:rsidRPr="000122CB">
                <w:rPr>
                  <w:rStyle w:val="Hiperpovezava"/>
                  <w:rFonts w:ascii="Arial" w:hAnsi="Arial" w:cs="Arial"/>
                  <w:sz w:val="20"/>
                  <w:szCs w:val="20"/>
                </w:rPr>
                <w:t>Direktivo 2018/2001</w:t>
              </w:r>
            </w:hyperlink>
            <w:r w:rsidRPr="00580938">
              <w:rPr>
                <w:rFonts w:ascii="Arial" w:hAnsi="Arial" w:cs="Arial"/>
                <w:sz w:val="20"/>
                <w:szCs w:val="20"/>
              </w:rPr>
              <w:t xml:space="preserve"> in </w:t>
            </w:r>
            <w:hyperlink r:id="rId37" w:history="1">
              <w:r w:rsidRPr="000122CB">
                <w:rPr>
                  <w:rStyle w:val="Hiperpovezava"/>
                  <w:rFonts w:ascii="Arial" w:hAnsi="Arial" w:cs="Arial"/>
                  <w:sz w:val="20"/>
                  <w:szCs w:val="20"/>
                </w:rPr>
                <w:t>Direktivo 2012/27/EU</w:t>
              </w:r>
            </w:hyperlink>
            <w:r w:rsidRPr="00580938">
              <w:rPr>
                <w:rFonts w:ascii="Arial" w:hAnsi="Arial" w:cs="Arial"/>
                <w:sz w:val="20"/>
                <w:szCs w:val="20"/>
              </w:rPr>
              <w:t xml:space="preserve"> vzpostavijo sheme potrdil o izvoru za električno energijo iz obnovljivih virov energije. Te zagotavljajo dobro pravno podlago za preverjanje. Upoštevajte, da se lahko stanje obvezne uporabe shem potrdil o izvoru med državami članicami razlikuje.</w:t>
            </w:r>
            <w:r>
              <w:rPr>
                <w:rFonts w:ascii="Arial" w:hAnsi="Arial" w:cs="Arial"/>
                <w:sz w:val="20"/>
                <w:szCs w:val="20"/>
              </w:rPr>
              <w:t xml:space="preserve"> </w:t>
            </w:r>
            <w:r w:rsidRPr="00580938">
              <w:rPr>
                <w:rFonts w:ascii="Arial" w:hAnsi="Arial" w:cs="Arial"/>
                <w:sz w:val="20"/>
                <w:szCs w:val="20"/>
              </w:rPr>
              <w:t xml:space="preserve">Druga možnost bi bila, da dobavitelj predloži neodvisno dokazilo za to, da je bila ustrezna količina električne energije proizvedena iz virov, opredeljenih kot obnovljivih virov energije (npr. certifikat neodvisnega organa za izdajo, s katerim je možno trgovati in ki ga je odobrila vlada). Naslednja možnost bi bila, če bi bila dobavljena električna energija označena z okoljskim znakom tipa 1 z opredelitvijo, ki je vsaj tako stroga kot opredelitev iz </w:t>
            </w:r>
            <w:r w:rsidRPr="000122CB">
              <w:rPr>
                <w:rFonts w:ascii="Arial" w:hAnsi="Arial" w:cs="Arial"/>
                <w:sz w:val="20"/>
                <w:szCs w:val="20"/>
              </w:rPr>
              <w:t>Direktiv</w:t>
            </w:r>
            <w:r>
              <w:rPr>
                <w:rFonts w:ascii="Arial" w:hAnsi="Arial" w:cs="Arial"/>
                <w:sz w:val="20"/>
                <w:szCs w:val="20"/>
              </w:rPr>
              <w:t>e</w:t>
            </w:r>
            <w:r w:rsidRPr="000122CB">
              <w:rPr>
                <w:rFonts w:ascii="Arial" w:hAnsi="Arial" w:cs="Arial"/>
                <w:sz w:val="20"/>
                <w:szCs w:val="20"/>
              </w:rPr>
              <w:t xml:space="preserve"> 2018/2001</w:t>
            </w:r>
            <w:r>
              <w:rPr>
                <w:rFonts w:ascii="Arial" w:hAnsi="Arial" w:cs="Arial"/>
                <w:sz w:val="20"/>
                <w:szCs w:val="20"/>
              </w:rPr>
              <w:t>.</w:t>
            </w:r>
          </w:p>
        </w:tc>
        <w:tc>
          <w:tcPr>
            <w:tcW w:w="3918" w:type="dxa"/>
          </w:tcPr>
          <w:p w14:paraId="7D6BF31F" w14:textId="77777777" w:rsidR="00CC10A6" w:rsidRPr="00403C9F" w:rsidRDefault="00CC10A6" w:rsidP="00CC10A6">
            <w:pPr>
              <w:jc w:val="both"/>
              <w:rPr>
                <w:rFonts w:ascii="Arial" w:hAnsi="Arial" w:cs="Arial"/>
                <w:b/>
                <w:bCs/>
                <w:i/>
                <w:iCs/>
                <w:sz w:val="20"/>
                <w:szCs w:val="20"/>
              </w:rPr>
            </w:pPr>
            <w:r w:rsidRPr="00853340">
              <w:rPr>
                <w:rFonts w:ascii="Arial" w:hAnsi="Arial" w:cs="Arial"/>
                <w:b/>
                <w:bCs/>
                <w:sz w:val="20"/>
                <w:szCs w:val="20"/>
              </w:rPr>
              <w:lastRenderedPageBreak/>
              <w:t xml:space="preserve">Faktor obnovljive energije (REF) – </w:t>
            </w:r>
            <w:r w:rsidRPr="00403C9F">
              <w:rPr>
                <w:rFonts w:ascii="Arial" w:hAnsi="Arial" w:cs="Arial"/>
                <w:b/>
                <w:bCs/>
                <w:i/>
                <w:iCs/>
                <w:sz w:val="20"/>
                <w:szCs w:val="20"/>
              </w:rPr>
              <w:t>Zahtevnejši nivo</w:t>
            </w:r>
          </w:p>
          <w:p w14:paraId="6A902763" w14:textId="77777777" w:rsidR="00CC10A6" w:rsidRPr="000752D9" w:rsidRDefault="00CC10A6" w:rsidP="00CC10A6">
            <w:pPr>
              <w:jc w:val="both"/>
              <w:rPr>
                <w:rFonts w:ascii="Arial" w:hAnsi="Arial" w:cs="Arial"/>
                <w:i/>
                <w:iCs/>
                <w:sz w:val="20"/>
                <w:szCs w:val="20"/>
              </w:rPr>
            </w:pPr>
            <w:r w:rsidRPr="000752D9">
              <w:rPr>
                <w:rFonts w:ascii="Arial" w:hAnsi="Arial" w:cs="Arial"/>
                <w:i/>
                <w:iCs/>
                <w:sz w:val="20"/>
                <w:szCs w:val="20"/>
              </w:rPr>
              <w:t xml:space="preserve">Se vključijo, če podatkovni center upravlja tretja oseba. Točke se dodelijo samo ponudnikom, ki izpolnjujejo minimalne zahteve za zmogljivost sistema IT ter mehaničnega in električnega sistema. Za storitve v oblaku se lahko zahteva obremenitvi prilagojen REF kot srednja vrednost za lokacijo, ki zagotavljajo storitev. </w:t>
            </w:r>
          </w:p>
          <w:p w14:paraId="3743F807" w14:textId="77777777" w:rsidR="00CC10A6" w:rsidRDefault="00CC10A6" w:rsidP="00CC10A6">
            <w:pPr>
              <w:jc w:val="both"/>
              <w:rPr>
                <w:rFonts w:ascii="Arial" w:hAnsi="Arial" w:cs="Arial"/>
                <w:sz w:val="20"/>
                <w:szCs w:val="20"/>
              </w:rPr>
            </w:pPr>
          </w:p>
          <w:p w14:paraId="458EF012" w14:textId="77777777" w:rsidR="00CC10A6" w:rsidRDefault="00CC10A6" w:rsidP="00CC10A6">
            <w:pPr>
              <w:jc w:val="both"/>
              <w:rPr>
                <w:rFonts w:ascii="Arial" w:hAnsi="Arial" w:cs="Arial"/>
                <w:sz w:val="20"/>
                <w:szCs w:val="20"/>
              </w:rPr>
            </w:pPr>
            <w:r w:rsidRPr="000752D9">
              <w:rPr>
                <w:rFonts w:ascii="Arial" w:hAnsi="Arial" w:cs="Arial"/>
                <w:sz w:val="20"/>
                <w:szCs w:val="20"/>
              </w:rPr>
              <w:t xml:space="preserve">Točke se dodelijo sorazmerno s ponudnikom, ki ponuja najvišji obremenitvi prilagojen REF za porabo električne energije. </w:t>
            </w:r>
          </w:p>
          <w:p w14:paraId="179CBFFA" w14:textId="77777777" w:rsidR="00CC10A6" w:rsidRDefault="00CC10A6" w:rsidP="00CC10A6">
            <w:pPr>
              <w:jc w:val="both"/>
              <w:rPr>
                <w:rFonts w:ascii="Arial" w:hAnsi="Arial" w:cs="Arial"/>
                <w:sz w:val="20"/>
                <w:szCs w:val="20"/>
              </w:rPr>
            </w:pPr>
          </w:p>
          <w:p w14:paraId="737DA0B3" w14:textId="77777777" w:rsidR="00CC10A6" w:rsidRDefault="00CC10A6" w:rsidP="00CC10A6">
            <w:pPr>
              <w:jc w:val="both"/>
              <w:rPr>
                <w:rFonts w:ascii="Arial" w:hAnsi="Arial" w:cs="Arial"/>
                <w:sz w:val="20"/>
                <w:szCs w:val="20"/>
              </w:rPr>
            </w:pPr>
            <w:r w:rsidRPr="000752D9">
              <w:rPr>
                <w:rFonts w:ascii="Arial" w:hAnsi="Arial" w:cs="Arial"/>
                <w:sz w:val="20"/>
                <w:szCs w:val="20"/>
              </w:rPr>
              <w:t>REF za energijo, dobavljeno in porabljeno v podatkovnem centru, se izračuna skladno z EN 50600-4-3. Profil obremenitve za proizvodno zmogljivost se mora pri tem nanašati na projektiran</w:t>
            </w:r>
            <w:r>
              <w:rPr>
                <w:rFonts w:ascii="Arial" w:hAnsi="Arial" w:cs="Arial"/>
                <w:sz w:val="20"/>
                <w:szCs w:val="20"/>
              </w:rPr>
              <w:t xml:space="preserve"> </w:t>
            </w:r>
            <w:r w:rsidRPr="000752D9">
              <w:rPr>
                <w:rFonts w:ascii="Arial" w:hAnsi="Arial" w:cs="Arial"/>
                <w:sz w:val="20"/>
                <w:szCs w:val="20"/>
              </w:rPr>
              <w:t>profil obremenitve podatkovnega centra.</w:t>
            </w:r>
          </w:p>
          <w:p w14:paraId="358AECC9" w14:textId="77777777" w:rsidR="00CC10A6" w:rsidRDefault="00CC10A6" w:rsidP="00CC10A6">
            <w:pPr>
              <w:jc w:val="both"/>
              <w:rPr>
                <w:rFonts w:ascii="Arial" w:hAnsi="Arial" w:cs="Arial"/>
                <w:sz w:val="20"/>
                <w:szCs w:val="20"/>
              </w:rPr>
            </w:pPr>
          </w:p>
          <w:p w14:paraId="2DAABB4E" w14:textId="77777777" w:rsidR="00CC10A6" w:rsidRPr="00853340" w:rsidRDefault="00CC10A6" w:rsidP="00CC10A6">
            <w:pPr>
              <w:jc w:val="both"/>
              <w:rPr>
                <w:rFonts w:ascii="Arial" w:hAnsi="Arial" w:cs="Arial"/>
                <w:sz w:val="20"/>
                <w:szCs w:val="20"/>
              </w:rPr>
            </w:pPr>
            <w:r w:rsidRPr="000752D9">
              <w:rPr>
                <w:rFonts w:ascii="Arial" w:hAnsi="Arial" w:cs="Arial"/>
                <w:sz w:val="20"/>
                <w:szCs w:val="20"/>
              </w:rPr>
              <w:t xml:space="preserve">Električna energija, ki prispeva k REF, mora prihajati iz obnovljivih virov energije, kakor so določeni v </w:t>
            </w:r>
            <w:hyperlink r:id="rId38" w:history="1">
              <w:r w:rsidRPr="00853340">
                <w:rPr>
                  <w:rStyle w:val="Hiperpovezava"/>
                  <w:rFonts w:ascii="Arial" w:hAnsi="Arial" w:cs="Arial"/>
                  <w:sz w:val="20"/>
                  <w:szCs w:val="20"/>
                </w:rPr>
                <w:t>Direktivi (EU) 2018/2001 Evropskega parlamenta in Sveta z dne 11. decembra 2018 o spodbujanju uporabe energije iz obnovljivih virov (prenovitev)</w:t>
              </w:r>
            </w:hyperlink>
            <w:r w:rsidRPr="00853340">
              <w:rPr>
                <w:rFonts w:ascii="Arial" w:hAnsi="Arial" w:cs="Arial"/>
                <w:sz w:val="20"/>
                <w:szCs w:val="20"/>
              </w:rPr>
              <w:t>.</w:t>
            </w:r>
          </w:p>
          <w:p w14:paraId="09E0627A" w14:textId="77777777" w:rsidR="00CC10A6" w:rsidRDefault="00CC10A6" w:rsidP="00CC10A6">
            <w:pPr>
              <w:jc w:val="both"/>
              <w:rPr>
                <w:rFonts w:ascii="Arial" w:hAnsi="Arial" w:cs="Arial"/>
                <w:sz w:val="20"/>
                <w:szCs w:val="20"/>
              </w:rPr>
            </w:pPr>
          </w:p>
          <w:p w14:paraId="14C59556" w14:textId="77777777" w:rsidR="00CC10A6" w:rsidRPr="000752D9" w:rsidRDefault="00CC10A6" w:rsidP="00CC10A6">
            <w:pPr>
              <w:jc w:val="both"/>
              <w:rPr>
                <w:rFonts w:ascii="Arial" w:hAnsi="Arial" w:cs="Arial"/>
                <w:b/>
                <w:bCs/>
                <w:sz w:val="20"/>
                <w:szCs w:val="20"/>
              </w:rPr>
            </w:pPr>
            <w:r w:rsidRPr="000752D9">
              <w:rPr>
                <w:rFonts w:ascii="Arial" w:hAnsi="Arial" w:cs="Arial"/>
                <w:b/>
                <w:bCs/>
                <w:sz w:val="20"/>
                <w:szCs w:val="20"/>
              </w:rPr>
              <w:lastRenderedPageBreak/>
              <w:t xml:space="preserve">Preverjanje: </w:t>
            </w:r>
          </w:p>
          <w:p w14:paraId="7AFED40A" w14:textId="77777777" w:rsidR="00CC10A6" w:rsidRPr="00853340" w:rsidRDefault="00CC10A6" w:rsidP="00CC10A6">
            <w:pPr>
              <w:jc w:val="both"/>
              <w:rPr>
                <w:rFonts w:ascii="Arial" w:hAnsi="Arial" w:cs="Arial"/>
                <w:sz w:val="20"/>
                <w:szCs w:val="20"/>
              </w:rPr>
            </w:pPr>
            <w:r w:rsidRPr="000752D9">
              <w:rPr>
                <w:rFonts w:ascii="Arial" w:hAnsi="Arial" w:cs="Arial"/>
                <w:sz w:val="20"/>
                <w:szCs w:val="20"/>
              </w:rPr>
              <w:t>Navesti je treba REF, podatke o dobavi in uporabi električne energije ter profile obremenitve, na katerih temeljijo izračuni. Kot dokazilo se lahko sprejme potrdilo tretje osebe o REF. Kot dokazilo se lahko sprejmejo tudi sistemi upravljanja z energijo (na podlagi ISO 50001) ali sistemi okoljskega upravljanja (na podlagi EMAS ali ISO 14001), ki jih potrdijo tretje osebe in ki vsebujejo izračunan REF.</w:t>
            </w:r>
          </w:p>
          <w:p w14:paraId="2A9DA0F5" w14:textId="68CC4FCB" w:rsidR="00830E60" w:rsidRDefault="00830E60" w:rsidP="00830E60">
            <w:pPr>
              <w:jc w:val="both"/>
              <w:rPr>
                <w:rFonts w:ascii="Arial" w:eastAsia="Arial" w:hAnsi="Arial" w:cs="Arial"/>
                <w:b/>
                <w:color w:val="385522"/>
                <w:spacing w:val="1"/>
                <w:kern w:val="0"/>
                <w:sz w:val="20"/>
                <w:szCs w:val="20"/>
                <w14:ligatures w14:val="none"/>
              </w:rPr>
            </w:pPr>
          </w:p>
        </w:tc>
      </w:tr>
      <w:tr w:rsidR="00403C9F" w14:paraId="6FE2DF8E" w14:textId="77777777" w:rsidTr="000F15EE">
        <w:tc>
          <w:tcPr>
            <w:tcW w:w="704" w:type="dxa"/>
          </w:tcPr>
          <w:p w14:paraId="0592DBF3" w14:textId="77777777" w:rsidR="00403C9F" w:rsidRDefault="00403C9F" w:rsidP="00830E60">
            <w:pPr>
              <w:jc w:val="both"/>
              <w:rPr>
                <w:rFonts w:ascii="Arial" w:eastAsia="Arial" w:hAnsi="Arial" w:cs="Arial"/>
                <w:bCs/>
                <w:spacing w:val="1"/>
                <w:kern w:val="0"/>
                <w:sz w:val="20"/>
                <w:szCs w:val="20"/>
                <w14:ligatures w14:val="none"/>
              </w:rPr>
            </w:pPr>
          </w:p>
        </w:tc>
        <w:tc>
          <w:tcPr>
            <w:tcW w:w="8312" w:type="dxa"/>
            <w:gridSpan w:val="2"/>
            <w:shd w:val="clear" w:color="auto" w:fill="9BBA58"/>
          </w:tcPr>
          <w:p w14:paraId="3DA172DE" w14:textId="77777777" w:rsidR="00403C9F" w:rsidRPr="00403C9F" w:rsidRDefault="00403C9F" w:rsidP="00403C9F">
            <w:pPr>
              <w:jc w:val="both"/>
              <w:rPr>
                <w:rFonts w:ascii="Arial" w:hAnsi="Arial" w:cs="Arial"/>
                <w:b/>
                <w:bCs/>
                <w:sz w:val="20"/>
                <w:szCs w:val="20"/>
              </w:rPr>
            </w:pPr>
            <w:r w:rsidRPr="00403C9F">
              <w:rPr>
                <w:rFonts w:ascii="Arial" w:hAnsi="Arial" w:cs="Arial"/>
                <w:b/>
                <w:bCs/>
                <w:sz w:val="20"/>
                <w:szCs w:val="20"/>
              </w:rPr>
              <w:t xml:space="preserve">Predmet naročila: </w:t>
            </w:r>
          </w:p>
          <w:p w14:paraId="75C07A8C" w14:textId="77777777" w:rsidR="00403C9F" w:rsidRPr="00403C9F" w:rsidRDefault="00403C9F" w:rsidP="00403C9F">
            <w:pPr>
              <w:numPr>
                <w:ilvl w:val="0"/>
                <w:numId w:val="1"/>
              </w:numPr>
              <w:jc w:val="both"/>
              <w:rPr>
                <w:rFonts w:ascii="Arial" w:hAnsi="Arial" w:cs="Arial"/>
                <w:b/>
                <w:bCs/>
                <w:sz w:val="20"/>
                <w:szCs w:val="20"/>
              </w:rPr>
            </w:pPr>
            <w:r w:rsidRPr="00403C9F">
              <w:rPr>
                <w:rFonts w:ascii="Arial" w:hAnsi="Arial" w:cs="Arial"/>
                <w:b/>
                <w:bCs/>
                <w:sz w:val="20"/>
                <w:szCs w:val="20"/>
              </w:rPr>
              <w:t xml:space="preserve">naročanje kolokacijskih storitev </w:t>
            </w:r>
          </w:p>
          <w:p w14:paraId="742A4D22" w14:textId="77777777" w:rsidR="00403C9F" w:rsidRPr="00403C9F" w:rsidRDefault="00403C9F" w:rsidP="00403C9F">
            <w:pPr>
              <w:numPr>
                <w:ilvl w:val="0"/>
                <w:numId w:val="1"/>
              </w:numPr>
              <w:jc w:val="both"/>
              <w:rPr>
                <w:rFonts w:ascii="Arial" w:hAnsi="Arial" w:cs="Arial"/>
                <w:b/>
                <w:bCs/>
                <w:sz w:val="20"/>
                <w:szCs w:val="20"/>
              </w:rPr>
            </w:pPr>
            <w:r w:rsidRPr="00403C9F">
              <w:rPr>
                <w:rFonts w:ascii="Arial" w:hAnsi="Arial" w:cs="Arial"/>
                <w:b/>
                <w:bCs/>
                <w:sz w:val="20"/>
                <w:szCs w:val="20"/>
              </w:rPr>
              <w:t xml:space="preserve">naročanje storitev gostovanja </w:t>
            </w:r>
          </w:p>
          <w:p w14:paraId="15DE105C" w14:textId="77777777" w:rsidR="00403C9F" w:rsidRPr="00403C9F" w:rsidRDefault="00403C9F" w:rsidP="00403C9F">
            <w:pPr>
              <w:numPr>
                <w:ilvl w:val="0"/>
                <w:numId w:val="1"/>
              </w:numPr>
              <w:jc w:val="both"/>
              <w:rPr>
                <w:rFonts w:ascii="Arial" w:hAnsi="Arial" w:cs="Arial"/>
                <w:b/>
                <w:bCs/>
                <w:sz w:val="20"/>
                <w:szCs w:val="20"/>
              </w:rPr>
            </w:pPr>
            <w:r w:rsidRPr="00403C9F">
              <w:rPr>
                <w:rFonts w:ascii="Arial" w:hAnsi="Arial" w:cs="Arial"/>
                <w:b/>
                <w:bCs/>
                <w:sz w:val="20"/>
                <w:szCs w:val="20"/>
              </w:rPr>
              <w:t xml:space="preserve">naročanje storitev v oblaku </w:t>
            </w:r>
          </w:p>
          <w:p w14:paraId="75A5ACCB" w14:textId="49ECA3A7" w:rsidR="00403C9F" w:rsidRPr="007478DD" w:rsidRDefault="00403C9F" w:rsidP="00994E9C">
            <w:pPr>
              <w:numPr>
                <w:ilvl w:val="0"/>
                <w:numId w:val="1"/>
              </w:numPr>
              <w:jc w:val="both"/>
              <w:rPr>
                <w:rFonts w:ascii="Arial" w:hAnsi="Arial" w:cs="Arial"/>
                <w:b/>
                <w:bCs/>
                <w:sz w:val="20"/>
                <w:szCs w:val="20"/>
              </w:rPr>
            </w:pPr>
            <w:r w:rsidRPr="00403C9F">
              <w:rPr>
                <w:rFonts w:ascii="Arial" w:hAnsi="Arial" w:cs="Arial"/>
                <w:b/>
                <w:bCs/>
                <w:sz w:val="20"/>
                <w:szCs w:val="20"/>
              </w:rPr>
              <w:t xml:space="preserve">upravljanje in vzdrževanje podjetniškega podatkovnega centra/strežniške sobe </w:t>
            </w:r>
          </w:p>
        </w:tc>
      </w:tr>
      <w:tr w:rsidR="00830E60" w14:paraId="32DEE13A" w14:textId="77777777" w:rsidTr="00D91A3A">
        <w:tc>
          <w:tcPr>
            <w:tcW w:w="704" w:type="dxa"/>
          </w:tcPr>
          <w:p w14:paraId="03EAD9E1" w14:textId="77777777" w:rsidR="00195DD9" w:rsidRDefault="00A74DB6" w:rsidP="00830E60">
            <w:pPr>
              <w:jc w:val="both"/>
              <w:rPr>
                <w:rFonts w:ascii="Arial" w:eastAsia="Arial" w:hAnsi="Arial" w:cs="Arial"/>
                <w:bCs/>
                <w:spacing w:val="1"/>
                <w:kern w:val="0"/>
                <w:sz w:val="20"/>
                <w:szCs w:val="20"/>
                <w14:ligatures w14:val="none"/>
              </w:rPr>
            </w:pPr>
            <w:r>
              <w:rPr>
                <w:rFonts w:ascii="Arial" w:eastAsia="Arial" w:hAnsi="Arial" w:cs="Arial"/>
                <w:bCs/>
                <w:spacing w:val="1"/>
                <w:kern w:val="0"/>
                <w:sz w:val="20"/>
                <w:szCs w:val="20"/>
                <w14:ligatures w14:val="none"/>
              </w:rPr>
              <w:t>ME</w:t>
            </w:r>
          </w:p>
          <w:p w14:paraId="143A2584" w14:textId="63B54070" w:rsidR="00830E60" w:rsidRPr="00EE4AEF" w:rsidRDefault="00994E9C" w:rsidP="00830E60">
            <w:pPr>
              <w:jc w:val="both"/>
              <w:rPr>
                <w:rFonts w:ascii="Arial" w:eastAsia="Arial" w:hAnsi="Arial" w:cs="Arial"/>
                <w:bCs/>
                <w:spacing w:val="1"/>
                <w:kern w:val="0"/>
                <w:sz w:val="20"/>
                <w:szCs w:val="20"/>
                <w14:ligatures w14:val="none"/>
              </w:rPr>
            </w:pPr>
            <w:r>
              <w:rPr>
                <w:rFonts w:ascii="Arial" w:eastAsia="Arial" w:hAnsi="Arial" w:cs="Arial"/>
                <w:bCs/>
                <w:spacing w:val="1"/>
                <w:kern w:val="0"/>
                <w:sz w:val="20"/>
                <w:szCs w:val="20"/>
                <w14:ligatures w14:val="none"/>
              </w:rPr>
              <w:t>1</w:t>
            </w:r>
            <w:r w:rsidR="00CC10A6">
              <w:rPr>
                <w:rFonts w:ascii="Arial" w:eastAsia="Arial" w:hAnsi="Arial" w:cs="Arial"/>
                <w:bCs/>
                <w:spacing w:val="1"/>
                <w:kern w:val="0"/>
                <w:sz w:val="20"/>
                <w:szCs w:val="20"/>
                <w14:ligatures w14:val="none"/>
              </w:rPr>
              <w:t>1</w:t>
            </w:r>
          </w:p>
        </w:tc>
        <w:tc>
          <w:tcPr>
            <w:tcW w:w="4394" w:type="dxa"/>
          </w:tcPr>
          <w:p w14:paraId="3210BC18" w14:textId="77777777" w:rsidR="00994E9C" w:rsidRPr="00853340" w:rsidRDefault="00994E9C" w:rsidP="00994E9C">
            <w:pPr>
              <w:jc w:val="both"/>
              <w:rPr>
                <w:rFonts w:ascii="Arial" w:hAnsi="Arial" w:cs="Arial"/>
                <w:b/>
                <w:bCs/>
                <w:sz w:val="20"/>
                <w:szCs w:val="20"/>
              </w:rPr>
            </w:pPr>
            <w:r w:rsidRPr="00737E74">
              <w:rPr>
                <w:rFonts w:ascii="Arial" w:hAnsi="Arial" w:cs="Arial"/>
                <w:b/>
                <w:bCs/>
                <w:sz w:val="20"/>
                <w:szCs w:val="20"/>
              </w:rPr>
              <w:t xml:space="preserve">Potencial globalnega segrevanja (GWP) za zmesi hladilnih sredstev – </w:t>
            </w:r>
            <w:r w:rsidRPr="00403C9F">
              <w:rPr>
                <w:rFonts w:ascii="Arial" w:hAnsi="Arial" w:cs="Arial"/>
                <w:b/>
                <w:bCs/>
                <w:i/>
                <w:iCs/>
                <w:sz w:val="20"/>
                <w:szCs w:val="20"/>
              </w:rPr>
              <w:t>Osnovni nivo</w:t>
            </w:r>
          </w:p>
          <w:p w14:paraId="7AD1E390" w14:textId="77777777" w:rsidR="00994E9C" w:rsidRPr="000752D9" w:rsidRDefault="00994E9C" w:rsidP="00994E9C">
            <w:pPr>
              <w:jc w:val="both"/>
              <w:rPr>
                <w:rFonts w:ascii="Arial" w:hAnsi="Arial" w:cs="Arial"/>
                <w:i/>
                <w:iCs/>
                <w:sz w:val="20"/>
                <w:szCs w:val="20"/>
              </w:rPr>
            </w:pPr>
            <w:r w:rsidRPr="000752D9">
              <w:rPr>
                <w:rFonts w:ascii="Arial" w:hAnsi="Arial" w:cs="Arial"/>
                <w:i/>
                <w:iCs/>
                <w:sz w:val="20"/>
                <w:szCs w:val="20"/>
              </w:rPr>
              <w:t xml:space="preserve">Se vključijo, če podatkovni center upravlja tretja oseba. </w:t>
            </w:r>
          </w:p>
          <w:p w14:paraId="6113F961" w14:textId="77777777" w:rsidR="00994E9C" w:rsidRPr="000752D9" w:rsidRDefault="00994E9C" w:rsidP="00994E9C">
            <w:pPr>
              <w:jc w:val="both"/>
              <w:rPr>
                <w:rFonts w:ascii="Arial" w:hAnsi="Arial" w:cs="Arial"/>
                <w:i/>
                <w:iCs/>
                <w:sz w:val="20"/>
                <w:szCs w:val="20"/>
              </w:rPr>
            </w:pPr>
          </w:p>
          <w:p w14:paraId="5652F7FF" w14:textId="77777777" w:rsidR="00994E9C" w:rsidRPr="000752D9" w:rsidRDefault="00994E9C" w:rsidP="00994E9C">
            <w:pPr>
              <w:jc w:val="both"/>
              <w:rPr>
                <w:rFonts w:ascii="Arial" w:hAnsi="Arial" w:cs="Arial"/>
                <w:i/>
                <w:iCs/>
                <w:sz w:val="20"/>
                <w:szCs w:val="20"/>
              </w:rPr>
            </w:pPr>
            <w:r w:rsidRPr="000752D9">
              <w:rPr>
                <w:rFonts w:ascii="Arial" w:hAnsi="Arial" w:cs="Arial"/>
                <w:i/>
                <w:iCs/>
                <w:sz w:val="20"/>
                <w:szCs w:val="20"/>
              </w:rPr>
              <w:t xml:space="preserve">Glej tudi TS 10. </w:t>
            </w:r>
          </w:p>
          <w:p w14:paraId="4800D1D8" w14:textId="77777777" w:rsidR="00994E9C" w:rsidRDefault="00994E9C" w:rsidP="00994E9C">
            <w:pPr>
              <w:jc w:val="both"/>
              <w:rPr>
                <w:rFonts w:ascii="Arial" w:hAnsi="Arial" w:cs="Arial"/>
                <w:sz w:val="20"/>
                <w:szCs w:val="20"/>
              </w:rPr>
            </w:pPr>
          </w:p>
          <w:p w14:paraId="627F2DFF" w14:textId="77777777" w:rsidR="00994E9C" w:rsidRDefault="00994E9C" w:rsidP="00994E9C">
            <w:pPr>
              <w:jc w:val="both"/>
              <w:rPr>
                <w:rFonts w:ascii="Arial" w:hAnsi="Arial" w:cs="Arial"/>
                <w:sz w:val="20"/>
                <w:szCs w:val="20"/>
              </w:rPr>
            </w:pPr>
            <w:r w:rsidRPr="000752D9">
              <w:rPr>
                <w:rFonts w:ascii="Arial" w:hAnsi="Arial" w:cs="Arial"/>
                <w:sz w:val="20"/>
                <w:szCs w:val="20"/>
              </w:rPr>
              <w:t xml:space="preserve">Točke bodo dodeljene ponudniku skladno s tehtanim povprečjem potenciala globalnega segrevanja (GWP) za mešanico hladilnih sredstev, ki se bo uporabljala v sistemu za hlajenje podatkovnega centra. To se izračuna v skladu s Prilogo IV </w:t>
            </w:r>
            <w:hyperlink r:id="rId39" w:history="1">
              <w:r w:rsidRPr="00853340">
                <w:rPr>
                  <w:rStyle w:val="Hiperpovezava"/>
                  <w:rFonts w:ascii="Arial" w:hAnsi="Arial" w:cs="Arial"/>
                  <w:sz w:val="20"/>
                  <w:szCs w:val="20"/>
                </w:rPr>
                <w:t>Uredbe (EU) 517/2014</w:t>
              </w:r>
            </w:hyperlink>
            <w:r w:rsidRPr="000752D9">
              <w:rPr>
                <w:rFonts w:ascii="Arial" w:hAnsi="Arial" w:cs="Arial"/>
                <w:sz w:val="20"/>
                <w:szCs w:val="20"/>
              </w:rPr>
              <w:t xml:space="preserve"> (glej pojasnilo). Točke bodo dodeljene glede na naslednje posledične intervale tehtanega povprečja GWP. Dodeli se lahko največ x točk [število se določi]: </w:t>
            </w:r>
          </w:p>
          <w:p w14:paraId="630D2637" w14:textId="18D502A9" w:rsidR="00994E9C" w:rsidRPr="007D1D96" w:rsidRDefault="00994E9C" w:rsidP="007D1D96">
            <w:pPr>
              <w:pStyle w:val="Odstavekseznama"/>
              <w:numPr>
                <w:ilvl w:val="0"/>
                <w:numId w:val="30"/>
              </w:numPr>
              <w:jc w:val="both"/>
              <w:rPr>
                <w:rFonts w:ascii="Arial" w:hAnsi="Arial" w:cs="Arial"/>
                <w:sz w:val="20"/>
                <w:szCs w:val="20"/>
              </w:rPr>
            </w:pPr>
            <w:r w:rsidRPr="007D1D96">
              <w:rPr>
                <w:rFonts w:ascii="Arial" w:hAnsi="Arial" w:cs="Arial"/>
                <w:sz w:val="20"/>
                <w:szCs w:val="20"/>
              </w:rPr>
              <w:t xml:space="preserve">x točk za posledična tehtana povprečja GWP v razponu od 0 do 10, </w:t>
            </w:r>
          </w:p>
          <w:p w14:paraId="0A8005AB" w14:textId="30B11EB4" w:rsidR="00994E9C" w:rsidRPr="007D1D96" w:rsidRDefault="00994E9C" w:rsidP="007D1D96">
            <w:pPr>
              <w:pStyle w:val="Odstavekseznama"/>
              <w:numPr>
                <w:ilvl w:val="0"/>
                <w:numId w:val="30"/>
              </w:numPr>
              <w:jc w:val="both"/>
              <w:rPr>
                <w:rFonts w:ascii="Arial" w:hAnsi="Arial" w:cs="Arial"/>
                <w:sz w:val="20"/>
                <w:szCs w:val="20"/>
              </w:rPr>
            </w:pPr>
            <w:r w:rsidRPr="007D1D96">
              <w:rPr>
                <w:rFonts w:ascii="Arial" w:hAnsi="Arial" w:cs="Arial"/>
                <w:sz w:val="20"/>
                <w:szCs w:val="20"/>
              </w:rPr>
              <w:t xml:space="preserve">0,6x točk za posledična tehtana povprečja GWP v razponu od 11 do 150, </w:t>
            </w:r>
          </w:p>
          <w:p w14:paraId="6C6623FF" w14:textId="417E4C3D" w:rsidR="00994E9C" w:rsidRPr="007D1D96" w:rsidRDefault="00994E9C" w:rsidP="007D1D96">
            <w:pPr>
              <w:pStyle w:val="Odstavekseznama"/>
              <w:numPr>
                <w:ilvl w:val="0"/>
                <w:numId w:val="30"/>
              </w:numPr>
              <w:jc w:val="both"/>
              <w:rPr>
                <w:rFonts w:ascii="Arial" w:hAnsi="Arial" w:cs="Arial"/>
                <w:sz w:val="20"/>
                <w:szCs w:val="20"/>
              </w:rPr>
            </w:pPr>
            <w:r w:rsidRPr="007D1D96">
              <w:rPr>
                <w:rFonts w:ascii="Arial" w:hAnsi="Arial" w:cs="Arial"/>
                <w:sz w:val="20"/>
                <w:szCs w:val="20"/>
              </w:rPr>
              <w:t xml:space="preserve">0,2x točk za posledična tehtana povprečja GWP v razponu od 151 do 750. </w:t>
            </w:r>
          </w:p>
          <w:p w14:paraId="257FD44A" w14:textId="77777777" w:rsidR="00994E9C" w:rsidRDefault="00994E9C" w:rsidP="00994E9C">
            <w:pPr>
              <w:jc w:val="both"/>
              <w:rPr>
                <w:rFonts w:ascii="Arial" w:hAnsi="Arial" w:cs="Arial"/>
                <w:sz w:val="20"/>
                <w:szCs w:val="20"/>
              </w:rPr>
            </w:pPr>
          </w:p>
          <w:p w14:paraId="33FFEF07" w14:textId="77777777" w:rsidR="00994E9C" w:rsidRPr="000752D9" w:rsidRDefault="00994E9C" w:rsidP="00994E9C">
            <w:pPr>
              <w:jc w:val="both"/>
              <w:rPr>
                <w:rFonts w:ascii="Arial" w:hAnsi="Arial" w:cs="Arial"/>
                <w:b/>
                <w:bCs/>
                <w:sz w:val="20"/>
                <w:szCs w:val="20"/>
              </w:rPr>
            </w:pPr>
            <w:r w:rsidRPr="000752D9">
              <w:rPr>
                <w:rFonts w:ascii="Arial" w:hAnsi="Arial" w:cs="Arial"/>
                <w:b/>
                <w:bCs/>
                <w:sz w:val="20"/>
                <w:szCs w:val="20"/>
              </w:rPr>
              <w:t xml:space="preserve">Preverjanje: </w:t>
            </w:r>
          </w:p>
          <w:p w14:paraId="3C97A005" w14:textId="77777777" w:rsidR="00830E60" w:rsidRDefault="00994E9C" w:rsidP="00994E9C">
            <w:pPr>
              <w:jc w:val="both"/>
              <w:rPr>
                <w:rFonts w:ascii="Arial" w:hAnsi="Arial" w:cs="Arial"/>
                <w:sz w:val="20"/>
                <w:szCs w:val="20"/>
              </w:rPr>
            </w:pPr>
            <w:r w:rsidRPr="000752D9">
              <w:rPr>
                <w:rFonts w:ascii="Arial" w:hAnsi="Arial" w:cs="Arial"/>
                <w:sz w:val="20"/>
                <w:szCs w:val="20"/>
              </w:rPr>
              <w:t xml:space="preserve">Ponudniki morajo sporočiti izračun tehtanega povprečja potenciala globalnega segrevanja, tudi za zalogo hladilnih sredstev, uporabljenih na lokacijah ali za zagotavljanje storitve, ter dokazati skladnost z metodo, 28 opisano v Prilogi IV Uredbe (EU) št. 517/2014. Ponudnik </w:t>
            </w:r>
            <w:r w:rsidRPr="000752D9">
              <w:rPr>
                <w:rFonts w:ascii="Arial" w:hAnsi="Arial" w:cs="Arial"/>
                <w:sz w:val="20"/>
                <w:szCs w:val="20"/>
              </w:rPr>
              <w:lastRenderedPageBreak/>
              <w:t>mora predložiti dokazilo o uporabi hladilnih sredstev, navedenih v izračunu. Kot dokazilo se lahko sprejmejo tudi sistemi upravljanja z energijo (ISO 50001) ali sistemi okoljskega upravljanja (EMAS ali ISO 14001), ki jih potrdijo tretje osebe in ki navajajo uporabo hladilnih sredstev.</w:t>
            </w:r>
          </w:p>
          <w:p w14:paraId="5AC5D252" w14:textId="77777777" w:rsidR="00580938" w:rsidRDefault="00580938" w:rsidP="00994E9C">
            <w:pPr>
              <w:jc w:val="both"/>
              <w:rPr>
                <w:rFonts w:ascii="Arial" w:hAnsi="Arial" w:cs="Arial"/>
                <w:sz w:val="20"/>
                <w:szCs w:val="20"/>
              </w:rPr>
            </w:pPr>
          </w:p>
          <w:p w14:paraId="5311829D" w14:textId="62FB51E2" w:rsidR="00580938" w:rsidRPr="00580938" w:rsidRDefault="00580938" w:rsidP="00994E9C">
            <w:pPr>
              <w:jc w:val="both"/>
              <w:rPr>
                <w:rFonts w:ascii="Arial" w:hAnsi="Arial" w:cs="Arial"/>
                <w:b/>
                <w:bCs/>
                <w:sz w:val="20"/>
                <w:szCs w:val="20"/>
              </w:rPr>
            </w:pPr>
            <w:r w:rsidRPr="00580938">
              <w:rPr>
                <w:rFonts w:ascii="Arial" w:hAnsi="Arial" w:cs="Arial"/>
                <w:b/>
                <w:bCs/>
                <w:sz w:val="20"/>
                <w:szCs w:val="20"/>
              </w:rPr>
              <w:t>Pojasnilo:</w:t>
            </w:r>
          </w:p>
          <w:p w14:paraId="7E33E5AA" w14:textId="5D04E0D0" w:rsidR="00580938" w:rsidRDefault="00580938" w:rsidP="00580938">
            <w:pPr>
              <w:pStyle w:val="Default"/>
              <w:jc w:val="both"/>
              <w:rPr>
                <w:rFonts w:ascii="Arial" w:hAnsi="Arial" w:cs="Arial"/>
                <w:color w:val="auto"/>
                <w:kern w:val="2"/>
                <w:sz w:val="20"/>
                <w:szCs w:val="20"/>
              </w:rPr>
            </w:pPr>
            <w:r w:rsidRPr="00195DD9">
              <w:rPr>
                <w:rFonts w:ascii="Arial" w:hAnsi="Arial" w:cs="Arial"/>
                <w:color w:val="auto"/>
                <w:kern w:val="2"/>
                <w:sz w:val="20"/>
                <w:szCs w:val="20"/>
              </w:rPr>
              <w:t>Metoda izračuna celotnega GWP za</w:t>
            </w:r>
            <w:r>
              <w:rPr>
                <w:b/>
                <w:bCs/>
                <w:sz w:val="18"/>
                <w:szCs w:val="18"/>
              </w:rPr>
              <w:t xml:space="preserve"> </w:t>
            </w:r>
            <w:r w:rsidRPr="00195DD9">
              <w:rPr>
                <w:rFonts w:ascii="Arial" w:hAnsi="Arial" w:cs="Arial"/>
                <w:color w:val="auto"/>
                <w:kern w:val="2"/>
                <w:sz w:val="20"/>
                <w:szCs w:val="20"/>
              </w:rPr>
              <w:t xml:space="preserve">mešanico hladilnih sredstev v skladu s Prilogo IV </w:t>
            </w:r>
            <w:hyperlink r:id="rId40" w:history="1">
              <w:r w:rsidR="00195DD9">
                <w:rPr>
                  <w:rStyle w:val="Hiperpovezava"/>
                  <w:rFonts w:ascii="Arial" w:hAnsi="Arial" w:cs="Arial"/>
                  <w:kern w:val="2"/>
                  <w:sz w:val="20"/>
                  <w:szCs w:val="20"/>
                </w:rPr>
                <w:t>U</w:t>
              </w:r>
              <w:r w:rsidRPr="00195DD9">
                <w:rPr>
                  <w:rStyle w:val="Hiperpovezava"/>
                  <w:rFonts w:ascii="Arial" w:hAnsi="Arial" w:cs="Arial"/>
                  <w:kern w:val="2"/>
                  <w:sz w:val="20"/>
                  <w:szCs w:val="20"/>
                </w:rPr>
                <w:t>redbe (EU) št. 517/2014</w:t>
              </w:r>
            </w:hyperlink>
            <w:r>
              <w:rPr>
                <w:rFonts w:ascii="Arial" w:hAnsi="Arial" w:cs="Arial"/>
                <w:color w:val="auto"/>
                <w:kern w:val="2"/>
                <w:sz w:val="20"/>
                <w:szCs w:val="20"/>
              </w:rPr>
              <w:t>.</w:t>
            </w:r>
          </w:p>
          <w:p w14:paraId="054DE9CE" w14:textId="1F316BB3" w:rsidR="00580938" w:rsidRDefault="00580938" w:rsidP="00580938">
            <w:pPr>
              <w:pStyle w:val="Default"/>
              <w:jc w:val="both"/>
              <w:rPr>
                <w:rFonts w:ascii="Arial" w:hAnsi="Arial" w:cs="Arial"/>
                <w:color w:val="auto"/>
                <w:kern w:val="2"/>
                <w:sz w:val="20"/>
                <w:szCs w:val="20"/>
              </w:rPr>
            </w:pPr>
            <w:r w:rsidRPr="00580938">
              <w:rPr>
                <w:rFonts w:ascii="Arial" w:hAnsi="Arial" w:cs="Arial"/>
                <w:color w:val="auto"/>
                <w:kern w:val="2"/>
                <w:sz w:val="20"/>
                <w:szCs w:val="20"/>
              </w:rPr>
              <w:t xml:space="preserve">GWP za mešanico se izračuna kot tehtano povprečje, izračunano iz vsote frakcij teže posameznih snovi, pomnoženih z njihovimi GWP, razen če je določeno drugače, vključno s snovmi, ki niso fluorirani toplogredni plini. Enačba je navedena v nadaljevanju: </w:t>
            </w:r>
          </w:p>
          <w:p w14:paraId="22A68C62" w14:textId="7CC5FD58" w:rsidR="00580938" w:rsidRDefault="000B4D0A" w:rsidP="00580938">
            <w:pPr>
              <w:pStyle w:val="Default"/>
              <w:jc w:val="both"/>
              <w:rPr>
                <w:rFonts w:ascii="Arial" w:eastAsia="Arial" w:hAnsi="Arial" w:cs="Arial"/>
                <w:color w:val="auto"/>
                <w:kern w:val="2"/>
                <w:sz w:val="20"/>
                <w:szCs w:val="20"/>
              </w:rPr>
            </w:pPr>
            <m:oMathPara>
              <m:oMath>
                <m:nary>
                  <m:naryPr>
                    <m:chr m:val="∑"/>
                    <m:limLoc m:val="undOvr"/>
                    <m:subHide m:val="1"/>
                    <m:supHide m:val="1"/>
                    <m:ctrlPr>
                      <w:rPr>
                        <w:rFonts w:ascii="Cambria Math" w:eastAsia="Arial" w:hAnsi="Cambria Math" w:cs="Arial"/>
                        <w:i/>
                        <w:color w:val="auto"/>
                        <w:kern w:val="2"/>
                        <w:sz w:val="20"/>
                        <w:szCs w:val="20"/>
                      </w:rPr>
                    </m:ctrlPr>
                  </m:naryPr>
                  <m:sub/>
                  <m:sup/>
                  <m:e/>
                </m:nary>
                <m:d>
                  <m:dPr>
                    <m:ctrlPr>
                      <w:rPr>
                        <w:rFonts w:ascii="Cambria Math" w:eastAsia="Arial" w:hAnsi="Cambria Math" w:cs="Arial"/>
                        <w:i/>
                        <w:color w:val="auto"/>
                        <w:kern w:val="2"/>
                        <w:sz w:val="20"/>
                        <w:szCs w:val="20"/>
                      </w:rPr>
                    </m:ctrlPr>
                  </m:dPr>
                  <m:e>
                    <m:r>
                      <w:rPr>
                        <w:rFonts w:ascii="Cambria Math" w:eastAsia="Arial" w:hAnsi="Cambria Math" w:cs="Arial"/>
                        <w:color w:val="auto"/>
                        <w:kern w:val="2"/>
                        <w:sz w:val="20"/>
                        <w:szCs w:val="20"/>
                      </w:rPr>
                      <m:t>substance X% x GWP</m:t>
                    </m:r>
                  </m:e>
                </m:d>
                <m:r>
                  <w:rPr>
                    <w:rFonts w:ascii="Cambria Math" w:eastAsia="Arial" w:hAnsi="Cambria Math" w:cs="Arial"/>
                    <w:color w:val="auto"/>
                    <w:kern w:val="2"/>
                    <w:sz w:val="20"/>
                    <w:szCs w:val="20"/>
                  </w:rPr>
                  <m:t>+</m:t>
                </m:r>
                <m:d>
                  <m:dPr>
                    <m:ctrlPr>
                      <w:rPr>
                        <w:rFonts w:ascii="Cambria Math" w:eastAsia="Arial" w:hAnsi="Cambria Math" w:cs="Arial"/>
                        <w:i/>
                        <w:color w:val="auto"/>
                        <w:kern w:val="2"/>
                        <w:sz w:val="20"/>
                        <w:szCs w:val="20"/>
                      </w:rPr>
                    </m:ctrlPr>
                  </m:dPr>
                  <m:e>
                    <m:r>
                      <w:rPr>
                        <w:rFonts w:ascii="Cambria Math" w:eastAsia="Arial" w:hAnsi="Cambria Math" w:cs="Arial"/>
                        <w:color w:val="auto"/>
                        <w:kern w:val="2"/>
                        <w:sz w:val="20"/>
                        <w:szCs w:val="20"/>
                      </w:rPr>
                      <m:t>substance Y% x GWP</m:t>
                    </m:r>
                  </m:e>
                </m:d>
                <m:r>
                  <w:rPr>
                    <w:rFonts w:ascii="Cambria Math" w:eastAsia="Arial" w:hAnsi="Cambria Math" w:cs="Arial"/>
                    <w:color w:val="auto"/>
                    <w:kern w:val="2"/>
                    <w:sz w:val="20"/>
                    <w:szCs w:val="20"/>
                  </w:rPr>
                  <m:t>+(substance N% x GWP)</m:t>
                </m:r>
              </m:oMath>
            </m:oMathPara>
          </w:p>
          <w:p w14:paraId="60C310CC" w14:textId="77777777" w:rsidR="00580938" w:rsidRPr="00580938" w:rsidRDefault="00580938" w:rsidP="00580938">
            <w:pPr>
              <w:pStyle w:val="Default"/>
              <w:jc w:val="both"/>
              <w:rPr>
                <w:rFonts w:ascii="Arial" w:hAnsi="Arial" w:cs="Arial"/>
                <w:color w:val="auto"/>
                <w:kern w:val="2"/>
                <w:sz w:val="20"/>
                <w:szCs w:val="20"/>
              </w:rPr>
            </w:pPr>
          </w:p>
          <w:p w14:paraId="1F9C68FF" w14:textId="788B90CD" w:rsidR="00580938" w:rsidRPr="00195DD9" w:rsidRDefault="00580938" w:rsidP="00580938">
            <w:pPr>
              <w:pStyle w:val="Default"/>
              <w:jc w:val="both"/>
              <w:rPr>
                <w:rFonts w:ascii="Arial" w:hAnsi="Arial" w:cs="Arial"/>
                <w:color w:val="auto"/>
                <w:kern w:val="2"/>
                <w:sz w:val="20"/>
                <w:szCs w:val="20"/>
              </w:rPr>
            </w:pPr>
            <w:r w:rsidRPr="00580938">
              <w:rPr>
                <w:rFonts w:ascii="Arial" w:hAnsi="Arial" w:cs="Arial"/>
                <w:color w:val="auto"/>
                <w:kern w:val="2"/>
                <w:sz w:val="20"/>
                <w:szCs w:val="20"/>
              </w:rPr>
              <w:t>pri čemer % pomeni delež po teži z dovoljenim odstopanjem ± 1 % po teži. GWP hladilnih sredstev je naveden v Prilogi IV k Uredbi (EU) št. 517/2014.</w:t>
            </w:r>
            <w:r>
              <w:rPr>
                <w:rFonts w:ascii="Arial" w:hAnsi="Arial" w:cs="Arial"/>
                <w:color w:val="auto"/>
                <w:kern w:val="2"/>
                <w:sz w:val="20"/>
                <w:szCs w:val="20"/>
              </w:rPr>
              <w:t xml:space="preserve"> </w:t>
            </w:r>
            <w:r w:rsidRPr="00580938">
              <w:rPr>
                <w:rFonts w:ascii="Arial" w:hAnsi="Arial" w:cs="Arial"/>
                <w:color w:val="auto"/>
                <w:kern w:val="2"/>
                <w:sz w:val="20"/>
                <w:szCs w:val="20"/>
              </w:rPr>
              <w:t xml:space="preserve">Dokumentacija o količini in vrsti fluoriranih plinov je že zahtevana </w:t>
            </w:r>
            <w:r>
              <w:rPr>
                <w:rFonts w:ascii="Arial" w:hAnsi="Arial" w:cs="Arial"/>
                <w:color w:val="auto"/>
                <w:kern w:val="2"/>
                <w:sz w:val="20"/>
                <w:szCs w:val="20"/>
              </w:rPr>
              <w:t>z 6. členom</w:t>
            </w:r>
            <w:r w:rsidRPr="00580938">
              <w:rPr>
                <w:rFonts w:ascii="Arial" w:hAnsi="Arial" w:cs="Arial"/>
                <w:color w:val="auto"/>
                <w:kern w:val="2"/>
                <w:sz w:val="20"/>
                <w:szCs w:val="20"/>
              </w:rPr>
              <w:t xml:space="preserve"> Uredbe (EU) št. 517/2014.</w:t>
            </w:r>
          </w:p>
          <w:p w14:paraId="78222EA3" w14:textId="77777777" w:rsidR="00580938" w:rsidRDefault="00580938" w:rsidP="00994E9C">
            <w:pPr>
              <w:jc w:val="both"/>
              <w:rPr>
                <w:rFonts w:ascii="Arial" w:hAnsi="Arial" w:cs="Arial"/>
                <w:sz w:val="20"/>
                <w:szCs w:val="20"/>
              </w:rPr>
            </w:pPr>
          </w:p>
          <w:p w14:paraId="308362CC" w14:textId="77777777" w:rsidR="007D1D96" w:rsidRPr="007D1D96" w:rsidRDefault="007D1D96" w:rsidP="007D1D96">
            <w:pPr>
              <w:jc w:val="both"/>
              <w:rPr>
                <w:rFonts w:ascii="Arial" w:hAnsi="Arial" w:cs="Arial"/>
                <w:b/>
                <w:bCs/>
                <w:sz w:val="20"/>
                <w:szCs w:val="20"/>
              </w:rPr>
            </w:pPr>
            <w:r w:rsidRPr="007D1D96">
              <w:rPr>
                <w:rFonts w:ascii="Arial" w:hAnsi="Arial" w:cs="Arial"/>
                <w:b/>
                <w:bCs/>
                <w:sz w:val="20"/>
                <w:szCs w:val="20"/>
              </w:rPr>
              <w:t>Priporočilo:</w:t>
            </w:r>
          </w:p>
          <w:p w14:paraId="3B720A98" w14:textId="77777777" w:rsidR="007D1D96" w:rsidRDefault="007D1D96" w:rsidP="007D1D96">
            <w:pPr>
              <w:jc w:val="both"/>
              <w:rPr>
                <w:rFonts w:ascii="Arial" w:hAnsi="Arial" w:cs="Arial"/>
                <w:sz w:val="20"/>
                <w:szCs w:val="20"/>
              </w:rPr>
            </w:pPr>
            <w:r>
              <w:rPr>
                <w:rFonts w:ascii="Arial" w:hAnsi="Arial" w:cs="Arial"/>
                <w:sz w:val="20"/>
                <w:szCs w:val="20"/>
              </w:rPr>
              <w:t xml:space="preserve">Za Slovenijo je bilo tekom strokovnega posvetovanja ugotovljeno, da je predmetno zahtevo smiselno vključevati po določenem prehodnem obdobju, npr. 3 leta </w:t>
            </w:r>
            <w:r w:rsidRPr="007D1D96">
              <w:rPr>
                <w:rFonts w:ascii="Arial" w:hAnsi="Arial" w:cs="Arial"/>
                <w:sz w:val="20"/>
                <w:szCs w:val="20"/>
              </w:rPr>
              <w:t xml:space="preserve">oz. če gre za izgradnjo novega podatkovnega centra po postopku </w:t>
            </w:r>
            <w:r>
              <w:rPr>
                <w:rFonts w:ascii="Arial" w:hAnsi="Arial" w:cs="Arial"/>
                <w:sz w:val="20"/>
                <w:szCs w:val="20"/>
              </w:rPr>
              <w:t>DB (glej priporočilo TS5).</w:t>
            </w:r>
          </w:p>
          <w:p w14:paraId="57D83E49" w14:textId="3DC537B0" w:rsidR="007D1D96" w:rsidRDefault="007D1D96" w:rsidP="00CC10A6">
            <w:pPr>
              <w:jc w:val="both"/>
              <w:rPr>
                <w:rFonts w:ascii="Arial" w:eastAsia="Arial" w:hAnsi="Arial" w:cs="Arial"/>
                <w:b/>
                <w:color w:val="385522"/>
                <w:spacing w:val="1"/>
                <w:kern w:val="0"/>
                <w:sz w:val="20"/>
                <w:szCs w:val="20"/>
                <w14:ligatures w14:val="none"/>
              </w:rPr>
            </w:pPr>
          </w:p>
        </w:tc>
        <w:tc>
          <w:tcPr>
            <w:tcW w:w="3918" w:type="dxa"/>
          </w:tcPr>
          <w:p w14:paraId="15BDF14D" w14:textId="76FCB5D2" w:rsidR="00830E60" w:rsidRDefault="00830E60" w:rsidP="00830E60">
            <w:pPr>
              <w:jc w:val="both"/>
              <w:rPr>
                <w:rFonts w:ascii="Arial" w:eastAsia="Arial" w:hAnsi="Arial" w:cs="Arial"/>
                <w:b/>
                <w:color w:val="385522"/>
                <w:spacing w:val="1"/>
                <w:kern w:val="0"/>
                <w:sz w:val="20"/>
                <w:szCs w:val="20"/>
                <w14:ligatures w14:val="none"/>
              </w:rPr>
            </w:pPr>
          </w:p>
        </w:tc>
      </w:tr>
    </w:tbl>
    <w:p w14:paraId="673E8D29" w14:textId="77777777" w:rsidR="006007A1" w:rsidRDefault="006007A1" w:rsidP="00A61C00">
      <w:pPr>
        <w:jc w:val="both"/>
        <w:rPr>
          <w:rFonts w:ascii="Arial" w:hAnsi="Arial" w:cs="Arial"/>
          <w:sz w:val="20"/>
          <w:szCs w:val="20"/>
        </w:rPr>
      </w:pPr>
    </w:p>
    <w:tbl>
      <w:tblPr>
        <w:tblStyle w:val="Tabelamrea"/>
        <w:tblW w:w="0" w:type="auto"/>
        <w:tblLook w:val="04A0" w:firstRow="1" w:lastRow="0" w:firstColumn="1" w:lastColumn="0" w:noHBand="0" w:noVBand="1"/>
        <w:tblCaption w:val="Tabela -posebna določla pogodbe o izvedbi naročila. "/>
        <w:tblDescription w:val="Tabela vsebuje posebna določila pogodbe o izvedbi naročila (Pogodbene klavzule - PK)."/>
      </w:tblPr>
      <w:tblGrid>
        <w:gridCol w:w="766"/>
        <w:gridCol w:w="3865"/>
        <w:gridCol w:w="4385"/>
      </w:tblGrid>
      <w:tr w:rsidR="00E02317" w14:paraId="2CA0D37C" w14:textId="77777777" w:rsidTr="00545CF0">
        <w:tc>
          <w:tcPr>
            <w:tcW w:w="9016" w:type="dxa"/>
            <w:gridSpan w:val="3"/>
            <w:shd w:val="clear" w:color="auto" w:fill="9BBA58"/>
          </w:tcPr>
          <w:p w14:paraId="6AC898F5" w14:textId="1270E1B4" w:rsidR="00E02317" w:rsidRPr="00C93E9C" w:rsidRDefault="00E02317" w:rsidP="00545CF0">
            <w:pPr>
              <w:jc w:val="both"/>
              <w:rPr>
                <w:rFonts w:ascii="Arial" w:eastAsia="Arial" w:hAnsi="Arial" w:cs="Arial"/>
                <w:b/>
                <w:kern w:val="0"/>
                <w:sz w:val="20"/>
                <w:szCs w:val="20"/>
                <w14:ligatures w14:val="none"/>
              </w:rPr>
            </w:pPr>
            <w:r w:rsidRPr="00853340">
              <w:rPr>
                <w:rFonts w:ascii="Arial" w:eastAsia="Arial" w:hAnsi="Arial" w:cs="Arial"/>
                <w:b/>
                <w:kern w:val="0"/>
                <w:sz w:val="20"/>
                <w:szCs w:val="20"/>
                <w14:ligatures w14:val="none"/>
              </w:rPr>
              <w:t>Posebna določila pogodbe o izvedbi naročila</w:t>
            </w:r>
            <w:r w:rsidR="007E11EC">
              <w:rPr>
                <w:rFonts w:ascii="Arial" w:eastAsia="Arial" w:hAnsi="Arial" w:cs="Arial"/>
                <w:b/>
                <w:kern w:val="0"/>
                <w:sz w:val="20"/>
                <w:szCs w:val="20"/>
                <w14:ligatures w14:val="none"/>
              </w:rPr>
              <w:t xml:space="preserve"> (</w:t>
            </w:r>
            <w:r w:rsidR="00113105">
              <w:rPr>
                <w:rFonts w:ascii="Arial" w:eastAsia="Arial" w:hAnsi="Arial" w:cs="Arial"/>
                <w:b/>
                <w:kern w:val="0"/>
                <w:sz w:val="20"/>
                <w:szCs w:val="20"/>
                <w14:ligatures w14:val="none"/>
              </w:rPr>
              <w:t>P</w:t>
            </w:r>
            <w:r w:rsidR="007E11EC">
              <w:rPr>
                <w:rFonts w:ascii="Arial" w:eastAsia="Arial" w:hAnsi="Arial" w:cs="Arial"/>
                <w:b/>
                <w:kern w:val="0"/>
                <w:sz w:val="20"/>
                <w:szCs w:val="20"/>
                <w14:ligatures w14:val="none"/>
              </w:rPr>
              <w:t>ogodbene k</w:t>
            </w:r>
            <w:r w:rsidR="0004687D">
              <w:rPr>
                <w:rFonts w:ascii="Arial" w:eastAsia="Arial" w:hAnsi="Arial" w:cs="Arial"/>
                <w:b/>
                <w:kern w:val="0"/>
                <w:sz w:val="20"/>
                <w:szCs w:val="20"/>
                <w14:ligatures w14:val="none"/>
              </w:rPr>
              <w:t>l</w:t>
            </w:r>
            <w:r w:rsidR="007E11EC">
              <w:rPr>
                <w:rFonts w:ascii="Arial" w:eastAsia="Arial" w:hAnsi="Arial" w:cs="Arial"/>
                <w:b/>
                <w:kern w:val="0"/>
                <w:sz w:val="20"/>
                <w:szCs w:val="20"/>
                <w14:ligatures w14:val="none"/>
              </w:rPr>
              <w:t>avzule – PK)</w:t>
            </w:r>
          </w:p>
        </w:tc>
      </w:tr>
      <w:tr w:rsidR="00E02317" w14:paraId="509352D0" w14:textId="77777777" w:rsidTr="00545CF0">
        <w:tc>
          <w:tcPr>
            <w:tcW w:w="9016" w:type="dxa"/>
            <w:gridSpan w:val="3"/>
          </w:tcPr>
          <w:p w14:paraId="30DE05DA" w14:textId="1F29D237" w:rsidR="00E02317" w:rsidRPr="00C93E9C" w:rsidRDefault="00E02317" w:rsidP="00545CF0">
            <w:pPr>
              <w:jc w:val="both"/>
              <w:rPr>
                <w:rFonts w:ascii="Arial" w:eastAsia="Arial" w:hAnsi="Arial" w:cs="Arial"/>
                <w:bCs/>
                <w:kern w:val="0"/>
                <w:sz w:val="20"/>
                <w:szCs w:val="20"/>
                <w14:ligatures w14:val="none"/>
              </w:rPr>
            </w:pPr>
            <w:r w:rsidRPr="00E02317">
              <w:rPr>
                <w:rFonts w:ascii="Arial" w:eastAsia="Arial" w:hAnsi="Arial" w:cs="Arial"/>
                <w:bCs/>
                <w:kern w:val="0"/>
                <w:sz w:val="20"/>
                <w:szCs w:val="20"/>
                <w14:ligatures w14:val="none"/>
              </w:rPr>
              <w:t>Naročnik med pogodbena določila vključi:</w:t>
            </w:r>
          </w:p>
        </w:tc>
      </w:tr>
      <w:tr w:rsidR="00E02317" w14:paraId="30D6FE2E" w14:textId="77777777" w:rsidTr="00B61A1A">
        <w:tc>
          <w:tcPr>
            <w:tcW w:w="766" w:type="dxa"/>
          </w:tcPr>
          <w:p w14:paraId="3EDCCE81" w14:textId="77777777" w:rsidR="00E02317" w:rsidRDefault="00E02317" w:rsidP="00545CF0">
            <w:pPr>
              <w:jc w:val="both"/>
              <w:rPr>
                <w:rFonts w:ascii="Arial" w:eastAsia="Arial" w:hAnsi="Arial" w:cs="Arial"/>
                <w:b/>
                <w:color w:val="385522"/>
                <w:spacing w:val="1"/>
                <w:kern w:val="0"/>
                <w:sz w:val="20"/>
                <w:szCs w:val="20"/>
                <w14:ligatures w14:val="none"/>
              </w:rPr>
            </w:pPr>
          </w:p>
        </w:tc>
        <w:tc>
          <w:tcPr>
            <w:tcW w:w="3865" w:type="dxa"/>
            <w:shd w:val="clear" w:color="auto" w:fill="C5E0B3" w:themeFill="accent6" w:themeFillTint="66"/>
          </w:tcPr>
          <w:p w14:paraId="37EAF5A4" w14:textId="77777777" w:rsidR="00E02317" w:rsidRDefault="00E02317" w:rsidP="00545CF0">
            <w:pPr>
              <w:jc w:val="both"/>
              <w:rPr>
                <w:rFonts w:ascii="Arial" w:eastAsia="Arial" w:hAnsi="Arial" w:cs="Arial"/>
                <w:b/>
                <w:color w:val="385522"/>
                <w:spacing w:val="1"/>
                <w:kern w:val="0"/>
                <w:sz w:val="20"/>
                <w:szCs w:val="20"/>
                <w14:ligatures w14:val="none"/>
              </w:rPr>
            </w:pPr>
            <w:r w:rsidRPr="00C93E9C">
              <w:rPr>
                <w:rFonts w:ascii="Arial" w:eastAsia="Arial" w:hAnsi="Arial" w:cs="Arial"/>
                <w:b/>
                <w:kern w:val="0"/>
                <w:sz w:val="20"/>
                <w:szCs w:val="20"/>
                <w14:ligatures w14:val="none"/>
              </w:rPr>
              <w:t>Osnovni nivo</w:t>
            </w:r>
          </w:p>
        </w:tc>
        <w:tc>
          <w:tcPr>
            <w:tcW w:w="4385" w:type="dxa"/>
            <w:shd w:val="clear" w:color="auto" w:fill="C5E0B3" w:themeFill="accent6" w:themeFillTint="66"/>
          </w:tcPr>
          <w:p w14:paraId="4BDE790E" w14:textId="77777777" w:rsidR="00E02317" w:rsidRPr="00C93E9C" w:rsidRDefault="00E02317" w:rsidP="00545CF0">
            <w:pPr>
              <w:jc w:val="both"/>
              <w:rPr>
                <w:rFonts w:ascii="Arial" w:eastAsia="Arial" w:hAnsi="Arial" w:cs="Arial"/>
                <w:b/>
                <w:kern w:val="0"/>
                <w:sz w:val="20"/>
                <w:szCs w:val="20"/>
                <w14:ligatures w14:val="none"/>
              </w:rPr>
            </w:pPr>
            <w:r w:rsidRPr="00C93E9C">
              <w:rPr>
                <w:rFonts w:ascii="Arial" w:eastAsia="Arial" w:hAnsi="Arial" w:cs="Arial"/>
                <w:b/>
                <w:kern w:val="0"/>
                <w:sz w:val="20"/>
                <w:szCs w:val="20"/>
                <w14:ligatures w14:val="none"/>
              </w:rPr>
              <w:t>Zahtevnejši nivo</w:t>
            </w:r>
          </w:p>
        </w:tc>
      </w:tr>
      <w:tr w:rsidR="00E02317" w14:paraId="2B30B8BE" w14:textId="77777777" w:rsidTr="00195DD9">
        <w:tc>
          <w:tcPr>
            <w:tcW w:w="766" w:type="dxa"/>
          </w:tcPr>
          <w:p w14:paraId="42E1FA5C" w14:textId="45FD673A" w:rsidR="00E02317" w:rsidRPr="00EE4AEF" w:rsidRDefault="0004687D" w:rsidP="00545CF0">
            <w:pPr>
              <w:jc w:val="both"/>
              <w:rPr>
                <w:rFonts w:ascii="Arial" w:eastAsia="Arial" w:hAnsi="Arial" w:cs="Arial"/>
                <w:bCs/>
                <w:color w:val="385522"/>
                <w:spacing w:val="1"/>
                <w:kern w:val="0"/>
                <w:sz w:val="20"/>
                <w:szCs w:val="20"/>
                <w14:ligatures w14:val="none"/>
              </w:rPr>
            </w:pPr>
            <w:r>
              <w:rPr>
                <w:rFonts w:ascii="Arial" w:eastAsia="Arial" w:hAnsi="Arial" w:cs="Arial"/>
                <w:bCs/>
                <w:spacing w:val="1"/>
                <w:kern w:val="0"/>
                <w:sz w:val="20"/>
                <w:szCs w:val="20"/>
                <w14:ligatures w14:val="none"/>
              </w:rPr>
              <w:t>PK</w:t>
            </w:r>
            <w:r w:rsidR="00E02317" w:rsidRPr="00EE4AEF">
              <w:rPr>
                <w:rFonts w:ascii="Arial" w:eastAsia="Arial" w:hAnsi="Arial" w:cs="Arial"/>
                <w:bCs/>
                <w:spacing w:val="1"/>
                <w:kern w:val="0"/>
                <w:sz w:val="20"/>
                <w:szCs w:val="20"/>
                <w14:ligatures w14:val="none"/>
              </w:rPr>
              <w:t>1</w:t>
            </w:r>
          </w:p>
        </w:tc>
        <w:tc>
          <w:tcPr>
            <w:tcW w:w="3865" w:type="dxa"/>
          </w:tcPr>
          <w:p w14:paraId="7FB9DD56" w14:textId="77777777" w:rsidR="00E02317" w:rsidRDefault="00E02317" w:rsidP="00E02317">
            <w:pPr>
              <w:jc w:val="both"/>
              <w:rPr>
                <w:rFonts w:ascii="Arial" w:eastAsia="Arial" w:hAnsi="Arial" w:cs="Arial"/>
                <w:b/>
                <w:color w:val="385522"/>
                <w:spacing w:val="1"/>
                <w:kern w:val="0"/>
                <w:sz w:val="20"/>
                <w:szCs w:val="20"/>
                <w14:ligatures w14:val="none"/>
              </w:rPr>
            </w:pPr>
          </w:p>
        </w:tc>
        <w:tc>
          <w:tcPr>
            <w:tcW w:w="4385" w:type="dxa"/>
          </w:tcPr>
          <w:p w14:paraId="0069E9B0" w14:textId="5B35648A" w:rsidR="00E02317" w:rsidRPr="00403C9F" w:rsidRDefault="00E02317" w:rsidP="00E02317">
            <w:pPr>
              <w:jc w:val="both"/>
              <w:rPr>
                <w:rFonts w:ascii="Arial" w:hAnsi="Arial" w:cs="Arial"/>
                <w:b/>
                <w:bCs/>
                <w:i/>
                <w:iCs/>
                <w:sz w:val="20"/>
                <w:szCs w:val="20"/>
              </w:rPr>
            </w:pPr>
            <w:r w:rsidRPr="00853340">
              <w:rPr>
                <w:rFonts w:ascii="Arial" w:hAnsi="Arial" w:cs="Arial"/>
                <w:b/>
                <w:bCs/>
                <w:sz w:val="20"/>
                <w:szCs w:val="20"/>
              </w:rPr>
              <w:t>Spremljanje porabe energije IT</w:t>
            </w:r>
            <w:r w:rsidR="007E11EC">
              <w:rPr>
                <w:rFonts w:ascii="Arial" w:hAnsi="Arial" w:cs="Arial"/>
                <w:b/>
                <w:bCs/>
                <w:sz w:val="20"/>
                <w:szCs w:val="20"/>
              </w:rPr>
              <w:t xml:space="preserve"> </w:t>
            </w:r>
            <w:r w:rsidRPr="00853340">
              <w:rPr>
                <w:rFonts w:ascii="Arial" w:hAnsi="Arial" w:cs="Arial"/>
                <w:b/>
                <w:bCs/>
                <w:sz w:val="20"/>
                <w:szCs w:val="20"/>
              </w:rPr>
              <w:t xml:space="preserve">– </w:t>
            </w:r>
            <w:r w:rsidRPr="00403C9F">
              <w:rPr>
                <w:rFonts w:ascii="Arial" w:hAnsi="Arial" w:cs="Arial"/>
                <w:b/>
                <w:bCs/>
                <w:i/>
                <w:iCs/>
                <w:sz w:val="20"/>
                <w:szCs w:val="20"/>
              </w:rPr>
              <w:t>Zahtevnejši nivo</w:t>
            </w:r>
          </w:p>
          <w:p w14:paraId="7A36A873" w14:textId="77777777" w:rsidR="00E02317" w:rsidRPr="00853340" w:rsidRDefault="00E02317" w:rsidP="00E02317">
            <w:pPr>
              <w:jc w:val="both"/>
              <w:rPr>
                <w:rFonts w:ascii="Arial" w:hAnsi="Arial" w:cs="Arial"/>
                <w:b/>
                <w:bCs/>
                <w:sz w:val="20"/>
                <w:szCs w:val="20"/>
              </w:rPr>
            </w:pPr>
          </w:p>
          <w:p w14:paraId="1DE947BB" w14:textId="5055FD4B" w:rsidR="00E02317" w:rsidRPr="00EC39E5" w:rsidRDefault="00E02317" w:rsidP="00E02317">
            <w:pPr>
              <w:jc w:val="both"/>
              <w:rPr>
                <w:rFonts w:ascii="Arial" w:hAnsi="Arial" w:cs="Arial"/>
                <w:i/>
                <w:iCs/>
                <w:sz w:val="20"/>
                <w:szCs w:val="20"/>
              </w:rPr>
            </w:pPr>
            <w:r w:rsidRPr="00EC39E5">
              <w:rPr>
                <w:rFonts w:ascii="Arial" w:hAnsi="Arial" w:cs="Arial"/>
                <w:i/>
                <w:iCs/>
                <w:sz w:val="20"/>
                <w:szCs w:val="20"/>
              </w:rPr>
              <w:t xml:space="preserve">Se vključijo, če podatkovni center upravlja tretja oseba. Uporabijo se v povezavi z </w:t>
            </w:r>
            <w:r w:rsidR="007E11EC">
              <w:rPr>
                <w:rFonts w:ascii="Arial" w:hAnsi="Arial" w:cs="Arial"/>
                <w:i/>
                <w:iCs/>
                <w:sz w:val="20"/>
                <w:szCs w:val="20"/>
              </w:rPr>
              <w:t>ME</w:t>
            </w:r>
            <w:r w:rsidR="007E11EC" w:rsidRPr="00EC39E5">
              <w:rPr>
                <w:rFonts w:ascii="Arial" w:hAnsi="Arial" w:cs="Arial"/>
                <w:i/>
                <w:iCs/>
                <w:sz w:val="20"/>
                <w:szCs w:val="20"/>
              </w:rPr>
              <w:t xml:space="preserve"> </w:t>
            </w:r>
            <w:r w:rsidRPr="00EC39E5">
              <w:rPr>
                <w:rFonts w:ascii="Arial" w:hAnsi="Arial" w:cs="Arial"/>
                <w:i/>
                <w:iCs/>
                <w:sz w:val="20"/>
                <w:szCs w:val="20"/>
              </w:rPr>
              <w:t xml:space="preserve">2. </w:t>
            </w:r>
          </w:p>
          <w:p w14:paraId="19718DDA" w14:textId="77777777" w:rsidR="00E02317" w:rsidRDefault="00E02317" w:rsidP="00E02317">
            <w:pPr>
              <w:jc w:val="both"/>
              <w:rPr>
                <w:rFonts w:ascii="Arial" w:hAnsi="Arial" w:cs="Arial"/>
                <w:sz w:val="20"/>
                <w:szCs w:val="20"/>
              </w:rPr>
            </w:pPr>
          </w:p>
          <w:p w14:paraId="345BB186" w14:textId="2F28B927" w:rsidR="00E02317" w:rsidRDefault="00E02317" w:rsidP="00E02317">
            <w:pPr>
              <w:jc w:val="both"/>
              <w:rPr>
                <w:rFonts w:ascii="Arial" w:hAnsi="Arial" w:cs="Arial"/>
                <w:sz w:val="20"/>
                <w:szCs w:val="20"/>
              </w:rPr>
            </w:pPr>
            <w:r w:rsidRPr="00EC39E5">
              <w:rPr>
                <w:rFonts w:ascii="Arial" w:hAnsi="Arial" w:cs="Arial"/>
                <w:sz w:val="20"/>
                <w:szCs w:val="20"/>
              </w:rPr>
              <w:t xml:space="preserve">Izvajalec mora predložiti mesečne in letne podatke </w:t>
            </w:r>
            <w:r w:rsidR="007E11EC">
              <w:rPr>
                <w:rFonts w:ascii="Arial" w:hAnsi="Arial" w:cs="Arial"/>
                <w:sz w:val="20"/>
                <w:szCs w:val="20"/>
              </w:rPr>
              <w:t xml:space="preserve">o spremljanju rabe </w:t>
            </w:r>
            <w:r w:rsidRPr="00EC39E5">
              <w:rPr>
                <w:rFonts w:ascii="Arial" w:hAnsi="Arial" w:cs="Arial"/>
                <w:sz w:val="20"/>
                <w:szCs w:val="20"/>
              </w:rPr>
              <w:t xml:space="preserve">za opremo IT, ki je nameščena v podatkovnem centru. </w:t>
            </w:r>
          </w:p>
          <w:p w14:paraId="3CB6268A" w14:textId="77777777" w:rsidR="00E02317" w:rsidRPr="00EC39E5" w:rsidRDefault="00E02317" w:rsidP="00E02317">
            <w:pPr>
              <w:jc w:val="both"/>
              <w:rPr>
                <w:rFonts w:ascii="Arial" w:hAnsi="Arial" w:cs="Arial"/>
                <w:sz w:val="20"/>
                <w:szCs w:val="20"/>
              </w:rPr>
            </w:pPr>
            <w:r w:rsidRPr="00EC39E5">
              <w:rPr>
                <w:rFonts w:ascii="Arial" w:hAnsi="Arial" w:cs="Arial"/>
                <w:sz w:val="20"/>
                <w:szCs w:val="20"/>
              </w:rPr>
              <w:t>Spremljanje porabe energije mora biti skladno z zahtevami in priporočili standarda EN 50600-2- 2.</w:t>
            </w:r>
          </w:p>
          <w:p w14:paraId="67E083E4" w14:textId="7FE1424F" w:rsidR="00E02317" w:rsidRDefault="00E02317" w:rsidP="00E02317">
            <w:pPr>
              <w:jc w:val="both"/>
              <w:rPr>
                <w:rFonts w:ascii="Arial" w:eastAsia="Arial" w:hAnsi="Arial" w:cs="Arial"/>
                <w:b/>
                <w:color w:val="385522"/>
                <w:spacing w:val="1"/>
                <w:kern w:val="0"/>
                <w:sz w:val="20"/>
                <w:szCs w:val="20"/>
                <w14:ligatures w14:val="none"/>
              </w:rPr>
            </w:pPr>
          </w:p>
        </w:tc>
      </w:tr>
      <w:tr w:rsidR="00E02317" w14:paraId="4A2AF0D3" w14:textId="77777777" w:rsidTr="00195DD9">
        <w:tc>
          <w:tcPr>
            <w:tcW w:w="766" w:type="dxa"/>
          </w:tcPr>
          <w:p w14:paraId="072C0E9E" w14:textId="256DF490" w:rsidR="00E02317" w:rsidRPr="00EE4AEF" w:rsidRDefault="0004687D" w:rsidP="00545CF0">
            <w:pPr>
              <w:jc w:val="both"/>
              <w:rPr>
                <w:rFonts w:ascii="Arial" w:eastAsia="Arial" w:hAnsi="Arial" w:cs="Arial"/>
                <w:bCs/>
                <w:color w:val="385522"/>
                <w:spacing w:val="1"/>
                <w:kern w:val="0"/>
                <w:sz w:val="20"/>
                <w:szCs w:val="20"/>
                <w14:ligatures w14:val="none"/>
              </w:rPr>
            </w:pPr>
            <w:r>
              <w:rPr>
                <w:rFonts w:ascii="Arial" w:eastAsia="Arial" w:hAnsi="Arial" w:cs="Arial"/>
                <w:bCs/>
                <w:spacing w:val="1"/>
                <w:kern w:val="0"/>
                <w:sz w:val="20"/>
                <w:szCs w:val="20"/>
                <w14:ligatures w14:val="none"/>
              </w:rPr>
              <w:t>PK</w:t>
            </w:r>
            <w:r w:rsidR="00E02317" w:rsidRPr="00EE4AEF">
              <w:rPr>
                <w:rFonts w:ascii="Arial" w:eastAsia="Arial" w:hAnsi="Arial" w:cs="Arial"/>
                <w:bCs/>
                <w:spacing w:val="1"/>
                <w:kern w:val="0"/>
                <w:sz w:val="20"/>
                <w:szCs w:val="20"/>
                <w14:ligatures w14:val="none"/>
              </w:rPr>
              <w:t>2</w:t>
            </w:r>
          </w:p>
        </w:tc>
        <w:tc>
          <w:tcPr>
            <w:tcW w:w="8250" w:type="dxa"/>
            <w:gridSpan w:val="2"/>
          </w:tcPr>
          <w:p w14:paraId="62B71DB0" w14:textId="77777777" w:rsidR="006007A1" w:rsidRPr="00853340" w:rsidRDefault="006007A1" w:rsidP="006007A1">
            <w:pPr>
              <w:jc w:val="both"/>
              <w:rPr>
                <w:rFonts w:ascii="Arial" w:hAnsi="Arial" w:cs="Arial"/>
                <w:b/>
                <w:bCs/>
                <w:sz w:val="20"/>
                <w:szCs w:val="20"/>
              </w:rPr>
            </w:pPr>
            <w:r w:rsidRPr="00853340">
              <w:rPr>
                <w:rFonts w:ascii="Arial" w:hAnsi="Arial" w:cs="Arial"/>
                <w:b/>
                <w:bCs/>
                <w:sz w:val="20"/>
                <w:szCs w:val="20"/>
              </w:rPr>
              <w:t xml:space="preserve">Spremljanje izrabe IT opreme – </w:t>
            </w:r>
            <w:r w:rsidRPr="00403C9F">
              <w:rPr>
                <w:rFonts w:ascii="Arial" w:hAnsi="Arial" w:cs="Arial"/>
                <w:b/>
                <w:bCs/>
                <w:i/>
                <w:iCs/>
                <w:sz w:val="20"/>
                <w:szCs w:val="20"/>
              </w:rPr>
              <w:t>Osnovni in zahtevnejši nivo</w:t>
            </w:r>
          </w:p>
          <w:p w14:paraId="25FACB65" w14:textId="77777777" w:rsidR="006007A1" w:rsidRDefault="006007A1" w:rsidP="006007A1">
            <w:pPr>
              <w:jc w:val="both"/>
              <w:rPr>
                <w:rFonts w:ascii="Arial" w:hAnsi="Arial" w:cs="Arial"/>
                <w:sz w:val="20"/>
                <w:szCs w:val="20"/>
              </w:rPr>
            </w:pPr>
          </w:p>
          <w:p w14:paraId="558B88CE" w14:textId="73D0621A" w:rsidR="006007A1" w:rsidRPr="00EC39E5" w:rsidRDefault="006007A1" w:rsidP="006007A1">
            <w:pPr>
              <w:jc w:val="both"/>
              <w:rPr>
                <w:rFonts w:ascii="Arial" w:hAnsi="Arial" w:cs="Arial"/>
                <w:i/>
                <w:iCs/>
                <w:sz w:val="20"/>
                <w:szCs w:val="20"/>
              </w:rPr>
            </w:pPr>
            <w:r w:rsidRPr="00EC39E5">
              <w:rPr>
                <w:rFonts w:ascii="Arial" w:hAnsi="Arial" w:cs="Arial"/>
                <w:i/>
                <w:iCs/>
                <w:sz w:val="20"/>
                <w:szCs w:val="20"/>
              </w:rPr>
              <w:t xml:space="preserve">Se vključijo, če podatkovni center upravlja tretja oseba. Uporabijo se v povezavi z </w:t>
            </w:r>
            <w:r w:rsidR="007E11EC">
              <w:rPr>
                <w:rFonts w:ascii="Arial" w:hAnsi="Arial" w:cs="Arial"/>
                <w:i/>
                <w:iCs/>
                <w:sz w:val="20"/>
                <w:szCs w:val="20"/>
              </w:rPr>
              <w:t>ME</w:t>
            </w:r>
            <w:r w:rsidR="007E11EC" w:rsidRPr="00EC39E5">
              <w:rPr>
                <w:rFonts w:ascii="Arial" w:hAnsi="Arial" w:cs="Arial"/>
                <w:i/>
                <w:iCs/>
                <w:sz w:val="20"/>
                <w:szCs w:val="20"/>
              </w:rPr>
              <w:t xml:space="preserve"> </w:t>
            </w:r>
            <w:r w:rsidRPr="00EC39E5">
              <w:rPr>
                <w:rFonts w:ascii="Arial" w:hAnsi="Arial" w:cs="Arial"/>
                <w:i/>
                <w:iCs/>
                <w:sz w:val="20"/>
                <w:szCs w:val="20"/>
              </w:rPr>
              <w:t xml:space="preserve">3. </w:t>
            </w:r>
          </w:p>
          <w:p w14:paraId="650C2398" w14:textId="77777777" w:rsidR="006007A1" w:rsidRDefault="006007A1" w:rsidP="006007A1">
            <w:pPr>
              <w:jc w:val="both"/>
              <w:rPr>
                <w:rFonts w:ascii="Arial" w:hAnsi="Arial" w:cs="Arial"/>
                <w:sz w:val="20"/>
                <w:szCs w:val="20"/>
              </w:rPr>
            </w:pPr>
          </w:p>
          <w:p w14:paraId="1DBE797A" w14:textId="77777777" w:rsidR="006007A1" w:rsidRPr="00281793" w:rsidRDefault="006007A1" w:rsidP="006007A1">
            <w:pPr>
              <w:jc w:val="both"/>
              <w:rPr>
                <w:rFonts w:ascii="Arial" w:hAnsi="Arial" w:cs="Arial"/>
                <w:sz w:val="20"/>
                <w:szCs w:val="20"/>
              </w:rPr>
            </w:pPr>
            <w:r w:rsidRPr="00EC39E5">
              <w:rPr>
                <w:rFonts w:ascii="Arial" w:hAnsi="Arial" w:cs="Arial"/>
                <w:sz w:val="20"/>
                <w:szCs w:val="20"/>
              </w:rPr>
              <w:lastRenderedPageBreak/>
              <w:t>Izvajalec mora zagotoviti redna poročila o analizah optimizacije ter doseganju ciljev izkoriščenosti, dogovorjenih z naročnikom v teku določenega projekta IT. Ponudnik storitve mora mesečno meriti in sporočati stopnjo izkoriščenosti strežnikov v podatkovnem centru na podlagi ISO 30134-5.</w:t>
            </w:r>
          </w:p>
          <w:p w14:paraId="5B5816D3" w14:textId="77777777" w:rsidR="00E02317" w:rsidRDefault="00E02317" w:rsidP="00E02317">
            <w:pPr>
              <w:jc w:val="both"/>
              <w:rPr>
                <w:rFonts w:ascii="Arial" w:eastAsia="Arial" w:hAnsi="Arial" w:cs="Arial"/>
                <w:b/>
                <w:color w:val="385522"/>
                <w:spacing w:val="1"/>
                <w:kern w:val="0"/>
                <w:sz w:val="20"/>
                <w:szCs w:val="20"/>
                <w14:ligatures w14:val="none"/>
              </w:rPr>
            </w:pPr>
          </w:p>
          <w:p w14:paraId="6AED1495" w14:textId="79FAC965" w:rsidR="007E11EC" w:rsidRPr="00195DD9" w:rsidRDefault="007E11EC" w:rsidP="00E02317">
            <w:pPr>
              <w:jc w:val="both"/>
              <w:rPr>
                <w:rFonts w:ascii="Arial" w:eastAsia="Arial" w:hAnsi="Arial" w:cs="Arial"/>
                <w:b/>
                <w:spacing w:val="1"/>
                <w:kern w:val="0"/>
                <w:sz w:val="20"/>
                <w:szCs w:val="20"/>
                <w14:ligatures w14:val="none"/>
              </w:rPr>
            </w:pPr>
            <w:r w:rsidRPr="00195DD9">
              <w:rPr>
                <w:rFonts w:ascii="Arial" w:eastAsia="Arial" w:hAnsi="Arial" w:cs="Arial"/>
                <w:b/>
                <w:spacing w:val="1"/>
                <w:kern w:val="0"/>
                <w:sz w:val="20"/>
                <w:szCs w:val="20"/>
                <w14:ligatures w14:val="none"/>
              </w:rPr>
              <w:t>Priporočilo:</w:t>
            </w:r>
          </w:p>
          <w:p w14:paraId="62D5EEAA" w14:textId="40D316B7" w:rsidR="007E11EC" w:rsidRPr="00195DD9" w:rsidRDefault="007E11EC" w:rsidP="00E02317">
            <w:pPr>
              <w:jc w:val="both"/>
              <w:rPr>
                <w:rFonts w:ascii="Arial" w:eastAsia="Arial" w:hAnsi="Arial" w:cs="Arial"/>
                <w:bCs/>
                <w:spacing w:val="1"/>
                <w:kern w:val="0"/>
                <w:sz w:val="20"/>
                <w:szCs w:val="20"/>
                <w14:ligatures w14:val="none"/>
              </w:rPr>
            </w:pPr>
            <w:r w:rsidRPr="00195DD9">
              <w:rPr>
                <w:rFonts w:ascii="Arial" w:eastAsia="Arial" w:hAnsi="Arial" w:cs="Arial"/>
                <w:bCs/>
                <w:spacing w:val="1"/>
                <w:kern w:val="0"/>
                <w:sz w:val="20"/>
                <w:szCs w:val="20"/>
                <w14:ligatures w14:val="none"/>
              </w:rPr>
              <w:t>Tekom strokovnega posvetovanja je bilo ugotovljeno, da podatkovni centri v Sloveniji slednjega ne spremljajo. Priporoča se prehodno obdobje oz. preverba stanja na trgu ob izvedbi konkretnega naročila.</w:t>
            </w:r>
          </w:p>
          <w:p w14:paraId="3B33B81C" w14:textId="77777777" w:rsidR="007E11EC" w:rsidRDefault="007E11EC" w:rsidP="00E02317">
            <w:pPr>
              <w:jc w:val="both"/>
              <w:rPr>
                <w:rFonts w:ascii="Arial" w:eastAsia="Arial" w:hAnsi="Arial" w:cs="Arial"/>
                <w:b/>
                <w:color w:val="385522"/>
                <w:spacing w:val="1"/>
                <w:kern w:val="0"/>
                <w:sz w:val="20"/>
                <w:szCs w:val="20"/>
                <w14:ligatures w14:val="none"/>
              </w:rPr>
            </w:pPr>
          </w:p>
        </w:tc>
      </w:tr>
      <w:tr w:rsidR="006007A1" w14:paraId="7A990F29" w14:textId="77777777" w:rsidTr="00195DD9">
        <w:tc>
          <w:tcPr>
            <w:tcW w:w="766" w:type="dxa"/>
          </w:tcPr>
          <w:p w14:paraId="27016654" w14:textId="064BFFA6" w:rsidR="006007A1" w:rsidRPr="00EE4AEF" w:rsidRDefault="0004687D" w:rsidP="00545CF0">
            <w:pPr>
              <w:jc w:val="both"/>
              <w:rPr>
                <w:rFonts w:ascii="Arial" w:eastAsia="Arial" w:hAnsi="Arial" w:cs="Arial"/>
                <w:bCs/>
                <w:spacing w:val="1"/>
                <w:kern w:val="0"/>
                <w:sz w:val="20"/>
                <w:szCs w:val="20"/>
                <w14:ligatures w14:val="none"/>
              </w:rPr>
            </w:pPr>
            <w:r>
              <w:rPr>
                <w:rFonts w:ascii="Arial" w:eastAsia="Arial" w:hAnsi="Arial" w:cs="Arial"/>
                <w:bCs/>
                <w:spacing w:val="1"/>
                <w:kern w:val="0"/>
                <w:sz w:val="20"/>
                <w:szCs w:val="20"/>
                <w14:ligatures w14:val="none"/>
              </w:rPr>
              <w:lastRenderedPageBreak/>
              <w:t>PK</w:t>
            </w:r>
            <w:r w:rsidR="006007A1">
              <w:rPr>
                <w:rFonts w:ascii="Arial" w:eastAsia="Arial" w:hAnsi="Arial" w:cs="Arial"/>
                <w:bCs/>
                <w:spacing w:val="1"/>
                <w:kern w:val="0"/>
                <w:sz w:val="20"/>
                <w:szCs w:val="20"/>
                <w14:ligatures w14:val="none"/>
              </w:rPr>
              <w:t>3</w:t>
            </w:r>
          </w:p>
        </w:tc>
        <w:tc>
          <w:tcPr>
            <w:tcW w:w="8250" w:type="dxa"/>
            <w:gridSpan w:val="2"/>
          </w:tcPr>
          <w:p w14:paraId="6C88396F" w14:textId="77777777" w:rsidR="006007A1" w:rsidRDefault="006007A1" w:rsidP="006007A1">
            <w:pPr>
              <w:jc w:val="both"/>
              <w:rPr>
                <w:rFonts w:ascii="Arial" w:hAnsi="Arial" w:cs="Arial"/>
                <w:b/>
                <w:bCs/>
                <w:i/>
                <w:iCs/>
                <w:sz w:val="20"/>
                <w:szCs w:val="20"/>
              </w:rPr>
            </w:pPr>
            <w:r w:rsidRPr="00853340">
              <w:rPr>
                <w:rFonts w:ascii="Arial" w:hAnsi="Arial" w:cs="Arial"/>
                <w:b/>
                <w:bCs/>
                <w:sz w:val="20"/>
                <w:szCs w:val="20"/>
              </w:rPr>
              <w:t xml:space="preserve">Poročanje o končni destinaciji strežnikov, podatkovnih nosilcev in omrežne opreme – </w:t>
            </w:r>
            <w:r w:rsidRPr="00403C9F">
              <w:rPr>
                <w:rFonts w:ascii="Arial" w:hAnsi="Arial" w:cs="Arial"/>
                <w:b/>
                <w:bCs/>
                <w:i/>
                <w:iCs/>
                <w:sz w:val="20"/>
                <w:szCs w:val="20"/>
              </w:rPr>
              <w:t>Osnovni in zahtevnejši nivo</w:t>
            </w:r>
          </w:p>
          <w:p w14:paraId="562561DE" w14:textId="77777777" w:rsidR="00D7482E" w:rsidRPr="00853340" w:rsidRDefault="00D7482E" w:rsidP="006007A1">
            <w:pPr>
              <w:jc w:val="both"/>
              <w:rPr>
                <w:rFonts w:ascii="Arial" w:hAnsi="Arial" w:cs="Arial"/>
                <w:b/>
                <w:bCs/>
                <w:sz w:val="20"/>
                <w:szCs w:val="20"/>
              </w:rPr>
            </w:pPr>
          </w:p>
          <w:p w14:paraId="6FC61A16" w14:textId="6032C9ED" w:rsidR="006007A1" w:rsidRPr="008F483D" w:rsidRDefault="006007A1" w:rsidP="006007A1">
            <w:pPr>
              <w:jc w:val="both"/>
              <w:rPr>
                <w:rFonts w:ascii="Arial" w:hAnsi="Arial" w:cs="Arial"/>
                <w:i/>
                <w:iCs/>
                <w:sz w:val="20"/>
                <w:szCs w:val="20"/>
              </w:rPr>
            </w:pPr>
            <w:r w:rsidRPr="008F483D">
              <w:rPr>
                <w:rFonts w:ascii="Arial" w:hAnsi="Arial" w:cs="Arial"/>
                <w:i/>
                <w:iCs/>
                <w:sz w:val="20"/>
                <w:szCs w:val="20"/>
              </w:rPr>
              <w:t>Uporabijo se v povezavi s TS</w:t>
            </w:r>
            <w:r w:rsidR="007478DD">
              <w:rPr>
                <w:rFonts w:ascii="Arial" w:hAnsi="Arial" w:cs="Arial"/>
                <w:i/>
                <w:iCs/>
                <w:sz w:val="20"/>
                <w:szCs w:val="20"/>
              </w:rPr>
              <w:t>3</w:t>
            </w:r>
            <w:r w:rsidRPr="008F483D">
              <w:rPr>
                <w:rFonts w:ascii="Arial" w:hAnsi="Arial" w:cs="Arial"/>
                <w:i/>
                <w:iCs/>
                <w:sz w:val="20"/>
                <w:szCs w:val="20"/>
              </w:rPr>
              <w:t xml:space="preserve">. </w:t>
            </w:r>
          </w:p>
          <w:p w14:paraId="1DE39F67" w14:textId="77777777" w:rsidR="006007A1" w:rsidRDefault="006007A1" w:rsidP="006007A1">
            <w:pPr>
              <w:jc w:val="both"/>
              <w:rPr>
                <w:rFonts w:ascii="Arial" w:hAnsi="Arial" w:cs="Arial"/>
                <w:sz w:val="20"/>
                <w:szCs w:val="20"/>
              </w:rPr>
            </w:pPr>
          </w:p>
          <w:p w14:paraId="4066EAFD" w14:textId="77777777" w:rsidR="006007A1" w:rsidRDefault="006007A1" w:rsidP="006007A1">
            <w:pPr>
              <w:jc w:val="both"/>
              <w:rPr>
                <w:rFonts w:ascii="Arial" w:hAnsi="Arial" w:cs="Arial"/>
                <w:sz w:val="20"/>
                <w:szCs w:val="20"/>
              </w:rPr>
            </w:pPr>
            <w:r w:rsidRPr="008F483D">
              <w:rPr>
                <w:rFonts w:ascii="Arial" w:hAnsi="Arial" w:cs="Arial"/>
                <w:sz w:val="20"/>
                <w:szCs w:val="20"/>
              </w:rPr>
              <w:t xml:space="preserve">Izvajalec mora predložiti poročilo o stanju opreme v zalogi, potem ko se vsi deli obdelajo za ponovno uporabo, reciklirajo ali odstranijo. Poročilo mora vsebovati podatke o deležu delov, ki so bili ponovno uporabljeni ali reciklirani, ter podatke o tem, ali so deli ostali v EU ali so bili izvoženi. </w:t>
            </w:r>
          </w:p>
          <w:p w14:paraId="4751CB12" w14:textId="77777777" w:rsidR="006007A1" w:rsidRDefault="006007A1" w:rsidP="006007A1">
            <w:pPr>
              <w:jc w:val="both"/>
              <w:rPr>
                <w:rFonts w:ascii="Arial" w:hAnsi="Arial" w:cs="Arial"/>
                <w:sz w:val="20"/>
                <w:szCs w:val="20"/>
              </w:rPr>
            </w:pPr>
          </w:p>
          <w:p w14:paraId="27E83F3E" w14:textId="77777777" w:rsidR="006007A1" w:rsidRDefault="006007A1" w:rsidP="006007A1">
            <w:pPr>
              <w:jc w:val="both"/>
              <w:rPr>
                <w:rFonts w:ascii="Arial" w:hAnsi="Arial" w:cs="Arial"/>
                <w:sz w:val="20"/>
                <w:szCs w:val="20"/>
              </w:rPr>
            </w:pPr>
            <w:r w:rsidRPr="008F483D">
              <w:rPr>
                <w:rFonts w:ascii="Arial" w:hAnsi="Arial" w:cs="Arial"/>
                <w:sz w:val="20"/>
                <w:szCs w:val="20"/>
              </w:rPr>
              <w:t xml:space="preserve">Za opremo in sestavne dele, ki so bili reciklirani v EU, je treba sprejeti naslednja dokazila o obratih za predelavo: </w:t>
            </w:r>
          </w:p>
          <w:p w14:paraId="13CEEEDD" w14:textId="1F54331F" w:rsidR="006007A1" w:rsidRPr="007E11EC" w:rsidRDefault="006007A1" w:rsidP="007E11EC">
            <w:pPr>
              <w:pStyle w:val="Odstavekseznama"/>
              <w:numPr>
                <w:ilvl w:val="0"/>
                <w:numId w:val="31"/>
              </w:numPr>
              <w:jc w:val="both"/>
              <w:rPr>
                <w:rFonts w:ascii="Arial" w:hAnsi="Arial" w:cs="Arial"/>
                <w:sz w:val="20"/>
                <w:szCs w:val="20"/>
              </w:rPr>
            </w:pPr>
            <w:r w:rsidRPr="007E11EC">
              <w:rPr>
                <w:rFonts w:ascii="Arial" w:hAnsi="Arial" w:cs="Arial"/>
                <w:sz w:val="20"/>
                <w:szCs w:val="20"/>
              </w:rPr>
              <w:t>dovoljenje, ki ga izda nacionalni pristojni organ v skladu s 23</w:t>
            </w:r>
            <w:r w:rsidR="007E11EC">
              <w:rPr>
                <w:rFonts w:ascii="Arial" w:hAnsi="Arial" w:cs="Arial"/>
                <w:sz w:val="20"/>
                <w:szCs w:val="20"/>
              </w:rPr>
              <w:t>. členom</w:t>
            </w:r>
            <w:r w:rsidRPr="007E11EC">
              <w:rPr>
                <w:rFonts w:ascii="Arial" w:hAnsi="Arial" w:cs="Arial"/>
                <w:sz w:val="20"/>
                <w:szCs w:val="20"/>
              </w:rPr>
              <w:t xml:space="preserve"> </w:t>
            </w:r>
            <w:hyperlink r:id="rId41" w:history="1">
              <w:r w:rsidRPr="007E11EC">
                <w:rPr>
                  <w:rStyle w:val="Hiperpovezava"/>
                  <w:rFonts w:ascii="Arial" w:hAnsi="Arial" w:cs="Arial"/>
                  <w:sz w:val="20"/>
                  <w:szCs w:val="20"/>
                </w:rPr>
                <w:t>Direktive 2008/98/ES</w:t>
              </w:r>
            </w:hyperlink>
            <w:r w:rsidRPr="007E11EC">
              <w:rPr>
                <w:rStyle w:val="Hiperpovezava"/>
                <w:rFonts w:ascii="Arial" w:hAnsi="Arial" w:cs="Arial"/>
                <w:sz w:val="20"/>
                <w:szCs w:val="20"/>
              </w:rPr>
              <w:t xml:space="preserve"> </w:t>
            </w:r>
            <w:r w:rsidRPr="007E11EC">
              <w:rPr>
                <w:rFonts w:ascii="Arial" w:hAnsi="Arial" w:cs="Arial"/>
                <w:sz w:val="20"/>
                <w:szCs w:val="20"/>
              </w:rPr>
              <w:t xml:space="preserve">ali </w:t>
            </w:r>
          </w:p>
          <w:p w14:paraId="04AE56C0" w14:textId="291DB040" w:rsidR="006007A1" w:rsidRPr="007E11EC" w:rsidRDefault="006007A1" w:rsidP="007E11EC">
            <w:pPr>
              <w:pStyle w:val="Odstavekseznama"/>
              <w:numPr>
                <w:ilvl w:val="0"/>
                <w:numId w:val="31"/>
              </w:numPr>
              <w:jc w:val="both"/>
              <w:rPr>
                <w:rFonts w:ascii="Arial" w:hAnsi="Arial" w:cs="Arial"/>
                <w:sz w:val="20"/>
                <w:szCs w:val="20"/>
              </w:rPr>
            </w:pPr>
            <w:r w:rsidRPr="007E11EC">
              <w:rPr>
                <w:rFonts w:ascii="Arial" w:hAnsi="Arial" w:cs="Arial"/>
                <w:sz w:val="20"/>
                <w:szCs w:val="20"/>
              </w:rPr>
              <w:t xml:space="preserve">potrdilo o skladnosti s tehničnimi zahtevami EN 50625-1 ali enakovredne sheme skladnosti, ki ga izda tretja oseba. Če so sestavni deli in oprema izvoženi za ponovno uporabo ali recikliranje, morajo izvajalci predložiti naslednje informacije o pošiljki in predelavi: </w:t>
            </w:r>
          </w:p>
          <w:p w14:paraId="2F42BBA6" w14:textId="53C72DAA" w:rsidR="006007A1" w:rsidRPr="007E11EC" w:rsidRDefault="006007A1" w:rsidP="007E11EC">
            <w:pPr>
              <w:pStyle w:val="Odstavekseznama"/>
              <w:numPr>
                <w:ilvl w:val="0"/>
                <w:numId w:val="31"/>
              </w:numPr>
              <w:jc w:val="both"/>
              <w:rPr>
                <w:rFonts w:ascii="Arial" w:hAnsi="Arial" w:cs="Arial"/>
                <w:sz w:val="20"/>
                <w:szCs w:val="20"/>
              </w:rPr>
            </w:pPr>
            <w:r w:rsidRPr="007E11EC">
              <w:rPr>
                <w:rFonts w:ascii="Arial" w:hAnsi="Arial" w:cs="Arial"/>
                <w:sz w:val="20"/>
                <w:szCs w:val="20"/>
              </w:rPr>
              <w:t xml:space="preserve">informacije o pošiljki za opremo, namenjeno za ponovno uporabo, v skladu s Prilogo VI </w:t>
            </w:r>
            <w:hyperlink r:id="rId42" w:history="1">
              <w:r w:rsidRPr="007E11EC">
                <w:rPr>
                  <w:rStyle w:val="Hiperpovezava"/>
                  <w:rFonts w:ascii="Arial" w:hAnsi="Arial" w:cs="Arial"/>
                  <w:sz w:val="20"/>
                  <w:szCs w:val="20"/>
                </w:rPr>
                <w:t>Direktive o odpadni električni in elektronski opremi (OEEO) 2012/19/EU.</w:t>
              </w:r>
            </w:hyperlink>
          </w:p>
          <w:p w14:paraId="2E25961D" w14:textId="77777777" w:rsidR="006007A1" w:rsidRDefault="006007A1" w:rsidP="006007A1">
            <w:pPr>
              <w:jc w:val="both"/>
              <w:rPr>
                <w:rFonts w:ascii="Arial" w:hAnsi="Arial" w:cs="Arial"/>
                <w:sz w:val="20"/>
                <w:szCs w:val="20"/>
              </w:rPr>
            </w:pPr>
          </w:p>
          <w:p w14:paraId="72FCA2F6" w14:textId="627F09BC" w:rsidR="006007A1" w:rsidRPr="00281793" w:rsidRDefault="006007A1" w:rsidP="006007A1">
            <w:pPr>
              <w:jc w:val="both"/>
              <w:rPr>
                <w:rFonts w:ascii="Arial" w:hAnsi="Arial" w:cs="Arial"/>
                <w:sz w:val="20"/>
                <w:szCs w:val="20"/>
              </w:rPr>
            </w:pPr>
            <w:r w:rsidRPr="008F483D">
              <w:rPr>
                <w:rFonts w:ascii="Arial" w:hAnsi="Arial" w:cs="Arial"/>
                <w:sz w:val="20"/>
                <w:szCs w:val="20"/>
              </w:rPr>
              <w:t>Za OEEO, izvoženo za predelavo zunaj EU, potrdilo o skladnosti z minimalnimi zahtevami za OEEO, določenimi v merilu, ali potrdilo o skladnosti s tehničnimi zahtevami EN 50625-1 ali enakovredne sheme skladnosti, ki ga izda tretja oseba</w:t>
            </w:r>
            <w:r>
              <w:rPr>
                <w:rFonts w:ascii="Arial" w:hAnsi="Arial" w:cs="Arial"/>
                <w:sz w:val="20"/>
                <w:szCs w:val="20"/>
              </w:rPr>
              <w:t>.</w:t>
            </w:r>
            <w:r w:rsidR="0004687D">
              <w:rPr>
                <w:rStyle w:val="Sprotnaopomba-sklic"/>
                <w:rFonts w:ascii="Arial" w:hAnsi="Arial" w:cs="Arial"/>
                <w:sz w:val="20"/>
                <w:szCs w:val="20"/>
              </w:rPr>
              <w:footnoteReference w:id="13"/>
            </w:r>
          </w:p>
          <w:p w14:paraId="7BBF7283" w14:textId="77777777" w:rsidR="006007A1" w:rsidRPr="00853340" w:rsidRDefault="006007A1" w:rsidP="006007A1">
            <w:pPr>
              <w:jc w:val="both"/>
              <w:rPr>
                <w:rFonts w:ascii="Arial" w:hAnsi="Arial" w:cs="Arial"/>
                <w:b/>
                <w:bCs/>
                <w:sz w:val="20"/>
                <w:szCs w:val="20"/>
              </w:rPr>
            </w:pPr>
          </w:p>
        </w:tc>
      </w:tr>
      <w:tr w:rsidR="006007A1" w14:paraId="07DD45D5" w14:textId="77777777" w:rsidTr="00195DD9">
        <w:tc>
          <w:tcPr>
            <w:tcW w:w="766" w:type="dxa"/>
          </w:tcPr>
          <w:p w14:paraId="0FAE790E" w14:textId="2C9B33C9" w:rsidR="006007A1" w:rsidRPr="00EE4AEF" w:rsidRDefault="0004687D" w:rsidP="00545CF0">
            <w:pPr>
              <w:jc w:val="both"/>
              <w:rPr>
                <w:rFonts w:ascii="Arial" w:eastAsia="Arial" w:hAnsi="Arial" w:cs="Arial"/>
                <w:bCs/>
                <w:spacing w:val="1"/>
                <w:kern w:val="0"/>
                <w:sz w:val="20"/>
                <w:szCs w:val="20"/>
                <w14:ligatures w14:val="none"/>
              </w:rPr>
            </w:pPr>
            <w:r>
              <w:rPr>
                <w:rFonts w:ascii="Arial" w:eastAsia="Arial" w:hAnsi="Arial" w:cs="Arial"/>
                <w:bCs/>
                <w:spacing w:val="1"/>
                <w:kern w:val="0"/>
                <w:sz w:val="20"/>
                <w:szCs w:val="20"/>
                <w14:ligatures w14:val="none"/>
              </w:rPr>
              <w:t>PK</w:t>
            </w:r>
            <w:r w:rsidR="006007A1">
              <w:rPr>
                <w:rFonts w:ascii="Arial" w:eastAsia="Arial" w:hAnsi="Arial" w:cs="Arial"/>
                <w:bCs/>
                <w:spacing w:val="1"/>
                <w:kern w:val="0"/>
                <w:sz w:val="20"/>
                <w:szCs w:val="20"/>
                <w14:ligatures w14:val="none"/>
              </w:rPr>
              <w:t>4</w:t>
            </w:r>
          </w:p>
        </w:tc>
        <w:tc>
          <w:tcPr>
            <w:tcW w:w="3865" w:type="dxa"/>
          </w:tcPr>
          <w:p w14:paraId="6CFEBB4F" w14:textId="77777777" w:rsidR="006007A1" w:rsidRPr="00853340" w:rsidRDefault="006007A1" w:rsidP="006007A1">
            <w:pPr>
              <w:jc w:val="both"/>
              <w:rPr>
                <w:rFonts w:ascii="Arial" w:hAnsi="Arial" w:cs="Arial"/>
                <w:b/>
                <w:bCs/>
                <w:sz w:val="20"/>
                <w:szCs w:val="20"/>
              </w:rPr>
            </w:pPr>
          </w:p>
        </w:tc>
        <w:tc>
          <w:tcPr>
            <w:tcW w:w="4385" w:type="dxa"/>
          </w:tcPr>
          <w:p w14:paraId="7E9C48D2" w14:textId="77777777" w:rsidR="006007A1" w:rsidRPr="00853340" w:rsidRDefault="006007A1" w:rsidP="006007A1">
            <w:pPr>
              <w:jc w:val="both"/>
              <w:rPr>
                <w:rFonts w:ascii="Arial" w:hAnsi="Arial" w:cs="Arial"/>
                <w:b/>
                <w:bCs/>
                <w:sz w:val="20"/>
                <w:szCs w:val="20"/>
              </w:rPr>
            </w:pPr>
            <w:r>
              <w:rPr>
                <w:rFonts w:ascii="Arial" w:hAnsi="Arial" w:cs="Arial"/>
                <w:b/>
                <w:bCs/>
                <w:sz w:val="20"/>
                <w:szCs w:val="20"/>
              </w:rPr>
              <w:t>Predstavitev</w:t>
            </w:r>
            <w:r w:rsidRPr="00281793">
              <w:rPr>
                <w:rFonts w:ascii="Arial" w:hAnsi="Arial" w:cs="Arial"/>
                <w:b/>
                <w:bCs/>
                <w:sz w:val="20"/>
                <w:szCs w:val="20"/>
              </w:rPr>
              <w:t xml:space="preserve"> učinkovitosti </w:t>
            </w:r>
            <w:r>
              <w:rPr>
                <w:rFonts w:ascii="Arial" w:hAnsi="Arial" w:cs="Arial"/>
                <w:b/>
                <w:bCs/>
                <w:sz w:val="20"/>
                <w:szCs w:val="20"/>
              </w:rPr>
              <w:t>u</w:t>
            </w:r>
            <w:r w:rsidRPr="00281793">
              <w:rPr>
                <w:rFonts w:ascii="Arial" w:hAnsi="Arial" w:cs="Arial"/>
                <w:b/>
                <w:bCs/>
                <w:sz w:val="20"/>
                <w:szCs w:val="20"/>
              </w:rPr>
              <w:t>porabe energije (PUE) ob predaji –</w:t>
            </w:r>
            <w:r>
              <w:rPr>
                <w:rFonts w:ascii="Arial" w:hAnsi="Arial" w:cs="Arial"/>
                <w:b/>
                <w:bCs/>
                <w:sz w:val="20"/>
                <w:szCs w:val="20"/>
              </w:rPr>
              <w:t xml:space="preserve"> </w:t>
            </w:r>
            <w:r w:rsidRPr="00403C9F">
              <w:rPr>
                <w:rFonts w:ascii="Arial" w:hAnsi="Arial" w:cs="Arial"/>
                <w:b/>
                <w:bCs/>
                <w:i/>
                <w:iCs/>
                <w:sz w:val="20"/>
                <w:szCs w:val="20"/>
              </w:rPr>
              <w:t>Zahtevnejši nivo</w:t>
            </w:r>
          </w:p>
          <w:p w14:paraId="4CA293AE" w14:textId="77777777" w:rsidR="006007A1" w:rsidRPr="00853340" w:rsidRDefault="006007A1" w:rsidP="006007A1">
            <w:pPr>
              <w:jc w:val="both"/>
              <w:rPr>
                <w:rFonts w:ascii="Arial" w:hAnsi="Arial" w:cs="Arial"/>
                <w:b/>
                <w:bCs/>
                <w:sz w:val="20"/>
                <w:szCs w:val="20"/>
              </w:rPr>
            </w:pPr>
          </w:p>
          <w:p w14:paraId="14084990" w14:textId="70308FB0" w:rsidR="006007A1" w:rsidRPr="00FC7EEE" w:rsidRDefault="006007A1" w:rsidP="006007A1">
            <w:pPr>
              <w:jc w:val="both"/>
              <w:rPr>
                <w:rFonts w:ascii="Arial" w:hAnsi="Arial" w:cs="Arial"/>
                <w:i/>
                <w:iCs/>
                <w:sz w:val="20"/>
                <w:szCs w:val="20"/>
              </w:rPr>
            </w:pPr>
            <w:r w:rsidRPr="00FC7EEE">
              <w:rPr>
                <w:rFonts w:ascii="Arial" w:hAnsi="Arial" w:cs="Arial"/>
                <w:i/>
                <w:iCs/>
                <w:sz w:val="20"/>
                <w:szCs w:val="20"/>
              </w:rPr>
              <w:t xml:space="preserve">Uporabijo se v povezavi z </w:t>
            </w:r>
            <w:r w:rsidR="00B27B1C">
              <w:rPr>
                <w:rFonts w:ascii="Arial" w:hAnsi="Arial" w:cs="Arial"/>
                <w:i/>
                <w:iCs/>
                <w:sz w:val="20"/>
                <w:szCs w:val="20"/>
              </w:rPr>
              <w:t>ME</w:t>
            </w:r>
            <w:r w:rsidR="00B27B1C" w:rsidRPr="00FC7EEE">
              <w:rPr>
                <w:rFonts w:ascii="Arial" w:hAnsi="Arial" w:cs="Arial"/>
                <w:i/>
                <w:iCs/>
                <w:sz w:val="20"/>
                <w:szCs w:val="20"/>
              </w:rPr>
              <w:t xml:space="preserve"> </w:t>
            </w:r>
            <w:r w:rsidRPr="00FC7EEE">
              <w:rPr>
                <w:rFonts w:ascii="Arial" w:hAnsi="Arial" w:cs="Arial"/>
                <w:i/>
                <w:iCs/>
                <w:sz w:val="20"/>
                <w:szCs w:val="20"/>
              </w:rPr>
              <w:t xml:space="preserve">5. Predstavitev in poročanje se lahko izvaja na modularni osnovi, če je to ustrezno glede na zasnovo in razdelitev faz podatkovnega centra. </w:t>
            </w:r>
          </w:p>
          <w:p w14:paraId="1CFADA81" w14:textId="77777777" w:rsidR="006007A1" w:rsidRDefault="006007A1" w:rsidP="006007A1">
            <w:pPr>
              <w:jc w:val="both"/>
              <w:rPr>
                <w:rFonts w:ascii="Arial" w:hAnsi="Arial" w:cs="Arial"/>
                <w:sz w:val="20"/>
                <w:szCs w:val="20"/>
              </w:rPr>
            </w:pPr>
          </w:p>
          <w:p w14:paraId="5E9D3B63" w14:textId="77777777" w:rsidR="006007A1" w:rsidRDefault="006007A1" w:rsidP="006007A1">
            <w:pPr>
              <w:jc w:val="both"/>
              <w:rPr>
                <w:rFonts w:ascii="Arial" w:hAnsi="Arial" w:cs="Arial"/>
                <w:sz w:val="20"/>
                <w:szCs w:val="20"/>
              </w:rPr>
            </w:pPr>
            <w:r w:rsidRPr="00FC7EEE">
              <w:rPr>
                <w:rFonts w:ascii="Arial" w:hAnsi="Arial" w:cs="Arial"/>
                <w:sz w:val="20"/>
                <w:szCs w:val="20"/>
              </w:rPr>
              <w:t xml:space="preserve">Sistemi podatkovnih centrov/vgrajeni sistemi morajo pri zagonu vključevati preizkus, pri katerem se obremenitev opreme IT simulira pri delni in polni obremenitvi in pri čemer električni sistemi in sistemi hlajenja obratujejo v samodejnem načinu. </w:t>
            </w:r>
          </w:p>
          <w:p w14:paraId="50FC2B77" w14:textId="77777777" w:rsidR="006007A1" w:rsidRDefault="006007A1" w:rsidP="006007A1">
            <w:pPr>
              <w:jc w:val="both"/>
              <w:rPr>
                <w:rFonts w:ascii="Arial" w:hAnsi="Arial" w:cs="Arial"/>
                <w:sz w:val="20"/>
                <w:szCs w:val="20"/>
              </w:rPr>
            </w:pPr>
          </w:p>
          <w:p w14:paraId="751C60A6" w14:textId="1205352C" w:rsidR="006007A1" w:rsidRDefault="006007A1" w:rsidP="006007A1">
            <w:pPr>
              <w:jc w:val="both"/>
              <w:rPr>
                <w:rFonts w:ascii="Arial" w:hAnsi="Arial" w:cs="Arial"/>
                <w:sz w:val="20"/>
                <w:szCs w:val="20"/>
              </w:rPr>
            </w:pPr>
            <w:r w:rsidRPr="00FC7EEE">
              <w:rPr>
                <w:rFonts w:ascii="Arial" w:hAnsi="Arial" w:cs="Arial"/>
                <w:sz w:val="20"/>
                <w:szCs w:val="20"/>
              </w:rPr>
              <w:t xml:space="preserve">Celotna oziroma jasno opredeljena poraba električne energije podatkovnega centra in opreme IT mora biti zabeležena skupaj z </w:t>
            </w:r>
            <w:r w:rsidRPr="00FC7EEE">
              <w:rPr>
                <w:rFonts w:ascii="Arial" w:hAnsi="Arial" w:cs="Arial"/>
                <w:sz w:val="20"/>
                <w:szCs w:val="20"/>
              </w:rPr>
              <w:lastRenderedPageBreak/>
              <w:t xml:space="preserve">okoljskimi pogoji. Nato se lahko dejanska zmogljivost primerja s cilji iz </w:t>
            </w:r>
            <w:r w:rsidR="00B27B1C">
              <w:rPr>
                <w:rFonts w:ascii="Arial" w:hAnsi="Arial" w:cs="Arial"/>
                <w:sz w:val="20"/>
                <w:szCs w:val="20"/>
              </w:rPr>
              <w:t>ME</w:t>
            </w:r>
            <w:r w:rsidR="00B27B1C" w:rsidRPr="00FC7EEE">
              <w:rPr>
                <w:rFonts w:ascii="Arial" w:hAnsi="Arial" w:cs="Arial"/>
                <w:sz w:val="20"/>
                <w:szCs w:val="20"/>
              </w:rPr>
              <w:t xml:space="preserve"> </w:t>
            </w:r>
            <w:r w:rsidRPr="00FC7EEE">
              <w:rPr>
                <w:rFonts w:ascii="Arial" w:hAnsi="Arial" w:cs="Arial"/>
                <w:sz w:val="20"/>
                <w:szCs w:val="20"/>
              </w:rPr>
              <w:t xml:space="preserve">5. </w:t>
            </w:r>
          </w:p>
          <w:p w14:paraId="5CB4BA23" w14:textId="77777777" w:rsidR="006007A1" w:rsidRDefault="006007A1" w:rsidP="006007A1">
            <w:pPr>
              <w:jc w:val="both"/>
              <w:rPr>
                <w:rFonts w:ascii="Arial" w:hAnsi="Arial" w:cs="Arial"/>
                <w:sz w:val="20"/>
                <w:szCs w:val="20"/>
              </w:rPr>
            </w:pPr>
          </w:p>
          <w:p w14:paraId="5DCAE4DF" w14:textId="77777777" w:rsidR="006007A1" w:rsidRDefault="006007A1" w:rsidP="006007A1">
            <w:pPr>
              <w:jc w:val="both"/>
              <w:rPr>
                <w:rFonts w:ascii="Arial" w:hAnsi="Arial" w:cs="Arial"/>
                <w:sz w:val="20"/>
                <w:szCs w:val="20"/>
              </w:rPr>
            </w:pPr>
            <w:r w:rsidRPr="00FC7EEE">
              <w:rPr>
                <w:rFonts w:ascii="Arial" w:hAnsi="Arial" w:cs="Arial"/>
                <w:sz w:val="20"/>
                <w:szCs w:val="20"/>
              </w:rPr>
              <w:t>Podatki, ki prikazujejo trenutno PUE na podlagi izmerjenih vrednosti in delne obremenitve v skladu z ISO/IEC 30134:2016, del 2, EN 50600-4-2:2016 ali enakovrednim standardom.</w:t>
            </w:r>
          </w:p>
          <w:p w14:paraId="3366BFEA" w14:textId="1F8243FB" w:rsidR="006007A1" w:rsidRPr="006007A1" w:rsidRDefault="006007A1" w:rsidP="006007A1">
            <w:pPr>
              <w:jc w:val="both"/>
              <w:rPr>
                <w:rFonts w:ascii="Arial" w:hAnsi="Arial" w:cs="Arial"/>
                <w:sz w:val="20"/>
                <w:szCs w:val="20"/>
              </w:rPr>
            </w:pPr>
          </w:p>
        </w:tc>
      </w:tr>
      <w:tr w:rsidR="006007A1" w14:paraId="64DBEAC9" w14:textId="77777777" w:rsidTr="00195DD9">
        <w:tc>
          <w:tcPr>
            <w:tcW w:w="766" w:type="dxa"/>
          </w:tcPr>
          <w:p w14:paraId="70135700" w14:textId="34D750F1" w:rsidR="006007A1" w:rsidRDefault="0004687D" w:rsidP="00545CF0">
            <w:pPr>
              <w:jc w:val="both"/>
              <w:rPr>
                <w:rFonts w:ascii="Arial" w:eastAsia="Arial" w:hAnsi="Arial" w:cs="Arial"/>
                <w:bCs/>
                <w:spacing w:val="1"/>
                <w:kern w:val="0"/>
                <w:sz w:val="20"/>
                <w:szCs w:val="20"/>
                <w14:ligatures w14:val="none"/>
              </w:rPr>
            </w:pPr>
            <w:r>
              <w:rPr>
                <w:rFonts w:ascii="Arial" w:eastAsia="Arial" w:hAnsi="Arial" w:cs="Arial"/>
                <w:bCs/>
                <w:spacing w:val="1"/>
                <w:kern w:val="0"/>
                <w:sz w:val="20"/>
                <w:szCs w:val="20"/>
                <w14:ligatures w14:val="none"/>
              </w:rPr>
              <w:lastRenderedPageBreak/>
              <w:t>PK</w:t>
            </w:r>
            <w:r w:rsidR="006007A1">
              <w:rPr>
                <w:rFonts w:ascii="Arial" w:eastAsia="Arial" w:hAnsi="Arial" w:cs="Arial"/>
                <w:bCs/>
                <w:spacing w:val="1"/>
                <w:kern w:val="0"/>
                <w:sz w:val="20"/>
                <w:szCs w:val="20"/>
                <w14:ligatures w14:val="none"/>
              </w:rPr>
              <w:t>5</w:t>
            </w:r>
          </w:p>
        </w:tc>
        <w:tc>
          <w:tcPr>
            <w:tcW w:w="8250" w:type="dxa"/>
            <w:gridSpan w:val="2"/>
          </w:tcPr>
          <w:p w14:paraId="20CAC3E5" w14:textId="77777777" w:rsidR="006007A1" w:rsidRPr="00403C9F" w:rsidRDefault="006007A1" w:rsidP="006007A1">
            <w:pPr>
              <w:jc w:val="both"/>
              <w:rPr>
                <w:rFonts w:ascii="Arial" w:hAnsi="Arial" w:cs="Arial"/>
                <w:b/>
                <w:bCs/>
                <w:i/>
                <w:iCs/>
                <w:sz w:val="20"/>
                <w:szCs w:val="20"/>
              </w:rPr>
            </w:pPr>
            <w:r w:rsidRPr="00853340">
              <w:rPr>
                <w:rFonts w:ascii="Arial" w:hAnsi="Arial" w:cs="Arial"/>
                <w:b/>
                <w:bCs/>
                <w:sz w:val="20"/>
                <w:szCs w:val="20"/>
              </w:rPr>
              <w:t xml:space="preserve">Spremljanje vhodnih vrednosti učinkovitosti porabe energije (PUE) – </w:t>
            </w:r>
            <w:r w:rsidRPr="00403C9F">
              <w:rPr>
                <w:rFonts w:ascii="Arial" w:hAnsi="Arial" w:cs="Arial"/>
                <w:b/>
                <w:bCs/>
                <w:i/>
                <w:iCs/>
                <w:sz w:val="20"/>
                <w:szCs w:val="20"/>
              </w:rPr>
              <w:t>Osnovni in zahtevnejši nivo</w:t>
            </w:r>
          </w:p>
          <w:p w14:paraId="44B2D5FA" w14:textId="77777777" w:rsidR="006007A1" w:rsidRPr="00FC7EEE" w:rsidRDefault="006007A1" w:rsidP="006007A1">
            <w:pPr>
              <w:jc w:val="both"/>
              <w:rPr>
                <w:rFonts w:ascii="Arial" w:hAnsi="Arial" w:cs="Arial"/>
                <w:i/>
                <w:iCs/>
                <w:sz w:val="20"/>
                <w:szCs w:val="20"/>
              </w:rPr>
            </w:pPr>
          </w:p>
          <w:p w14:paraId="1BC7B03D" w14:textId="710B1C2F" w:rsidR="006007A1" w:rsidRPr="00FC7EEE" w:rsidRDefault="006007A1" w:rsidP="006007A1">
            <w:pPr>
              <w:jc w:val="both"/>
              <w:rPr>
                <w:rFonts w:ascii="Arial" w:hAnsi="Arial" w:cs="Arial"/>
                <w:i/>
                <w:iCs/>
                <w:sz w:val="20"/>
                <w:szCs w:val="20"/>
              </w:rPr>
            </w:pPr>
            <w:r w:rsidRPr="00FC7EEE">
              <w:rPr>
                <w:rFonts w:ascii="Arial" w:hAnsi="Arial" w:cs="Arial"/>
                <w:i/>
                <w:iCs/>
                <w:sz w:val="20"/>
                <w:szCs w:val="20"/>
              </w:rPr>
              <w:t xml:space="preserve">Uporabijo se v povezavi z </w:t>
            </w:r>
            <w:r w:rsidR="00B27B1C">
              <w:rPr>
                <w:rFonts w:ascii="Arial" w:hAnsi="Arial" w:cs="Arial"/>
                <w:i/>
                <w:iCs/>
                <w:sz w:val="20"/>
                <w:szCs w:val="20"/>
              </w:rPr>
              <w:t>ME</w:t>
            </w:r>
            <w:r w:rsidRPr="00FC7EEE">
              <w:rPr>
                <w:rFonts w:ascii="Arial" w:hAnsi="Arial" w:cs="Arial"/>
                <w:i/>
                <w:iCs/>
                <w:sz w:val="20"/>
                <w:szCs w:val="20"/>
              </w:rPr>
              <w:t xml:space="preserve">5 in </w:t>
            </w:r>
            <w:r w:rsidR="007478DD">
              <w:rPr>
                <w:rFonts w:ascii="Arial" w:hAnsi="Arial" w:cs="Arial"/>
                <w:i/>
                <w:iCs/>
                <w:sz w:val="20"/>
                <w:szCs w:val="20"/>
              </w:rPr>
              <w:t>ME</w:t>
            </w:r>
            <w:r w:rsidRPr="00FC7EEE">
              <w:rPr>
                <w:rFonts w:ascii="Arial" w:hAnsi="Arial" w:cs="Arial"/>
                <w:i/>
                <w:iCs/>
                <w:sz w:val="20"/>
                <w:szCs w:val="20"/>
              </w:rPr>
              <w:t xml:space="preserve">6. </w:t>
            </w:r>
          </w:p>
          <w:p w14:paraId="56C0D486" w14:textId="77777777" w:rsidR="006007A1" w:rsidRDefault="006007A1" w:rsidP="006007A1">
            <w:pPr>
              <w:jc w:val="both"/>
              <w:rPr>
                <w:rFonts w:ascii="Arial" w:hAnsi="Arial" w:cs="Arial"/>
                <w:sz w:val="20"/>
                <w:szCs w:val="20"/>
              </w:rPr>
            </w:pPr>
          </w:p>
          <w:p w14:paraId="3EA5F3A5" w14:textId="357BA047" w:rsidR="006007A1" w:rsidRDefault="00A37B5F" w:rsidP="006007A1">
            <w:pPr>
              <w:jc w:val="both"/>
              <w:rPr>
                <w:rFonts w:ascii="Arial" w:hAnsi="Arial" w:cs="Arial"/>
                <w:sz w:val="20"/>
                <w:szCs w:val="20"/>
              </w:rPr>
            </w:pPr>
            <w:r>
              <w:rPr>
                <w:rFonts w:ascii="Arial" w:hAnsi="Arial" w:cs="Arial"/>
                <w:sz w:val="20"/>
                <w:szCs w:val="20"/>
              </w:rPr>
              <w:t>Izvajalec</w:t>
            </w:r>
            <w:r w:rsidR="006007A1" w:rsidRPr="00FC7EEE">
              <w:rPr>
                <w:rFonts w:ascii="Arial" w:hAnsi="Arial" w:cs="Arial"/>
                <w:sz w:val="20"/>
                <w:szCs w:val="20"/>
              </w:rPr>
              <w:t xml:space="preserve"> mora predložiti letno poročilo, ki vsebuje letno povprečje in mesečne razčlenjene podatke za skupno izmerjeno porabo energije podatkovnega centra ter posamično porabo električne energije </w:t>
            </w:r>
            <w:r w:rsidR="00B27B1C">
              <w:rPr>
                <w:rFonts w:ascii="Arial" w:hAnsi="Arial" w:cs="Arial"/>
                <w:sz w:val="20"/>
                <w:szCs w:val="20"/>
              </w:rPr>
              <w:t>strojnih</w:t>
            </w:r>
            <w:r w:rsidR="00B27B1C" w:rsidRPr="00FC7EEE">
              <w:rPr>
                <w:rFonts w:ascii="Arial" w:hAnsi="Arial" w:cs="Arial"/>
                <w:sz w:val="20"/>
                <w:szCs w:val="20"/>
              </w:rPr>
              <w:t xml:space="preserve"> </w:t>
            </w:r>
            <w:r w:rsidR="006007A1" w:rsidRPr="00FC7EEE">
              <w:rPr>
                <w:rFonts w:ascii="Arial" w:hAnsi="Arial" w:cs="Arial"/>
                <w:sz w:val="20"/>
                <w:szCs w:val="20"/>
              </w:rPr>
              <w:t>in električnih sistemov ter opreme IT.</w:t>
            </w:r>
          </w:p>
          <w:p w14:paraId="08133B70" w14:textId="77777777" w:rsidR="006007A1" w:rsidRPr="00853340" w:rsidRDefault="006007A1" w:rsidP="006007A1">
            <w:pPr>
              <w:jc w:val="both"/>
              <w:rPr>
                <w:rFonts w:ascii="Arial" w:hAnsi="Arial" w:cs="Arial"/>
                <w:b/>
                <w:bCs/>
                <w:sz w:val="20"/>
                <w:szCs w:val="20"/>
              </w:rPr>
            </w:pPr>
          </w:p>
        </w:tc>
      </w:tr>
      <w:tr w:rsidR="006007A1" w14:paraId="13AF09AC" w14:textId="77777777" w:rsidTr="00195DD9">
        <w:tc>
          <w:tcPr>
            <w:tcW w:w="766" w:type="dxa"/>
          </w:tcPr>
          <w:p w14:paraId="3C98FD25" w14:textId="63337316" w:rsidR="006007A1" w:rsidRDefault="0004687D" w:rsidP="00545CF0">
            <w:pPr>
              <w:jc w:val="both"/>
              <w:rPr>
                <w:rFonts w:ascii="Arial" w:eastAsia="Arial" w:hAnsi="Arial" w:cs="Arial"/>
                <w:bCs/>
                <w:spacing w:val="1"/>
                <w:kern w:val="0"/>
                <w:sz w:val="20"/>
                <w:szCs w:val="20"/>
                <w14:ligatures w14:val="none"/>
              </w:rPr>
            </w:pPr>
            <w:r>
              <w:rPr>
                <w:rFonts w:ascii="Arial" w:eastAsia="Arial" w:hAnsi="Arial" w:cs="Arial"/>
                <w:bCs/>
                <w:spacing w:val="1"/>
                <w:kern w:val="0"/>
                <w:sz w:val="20"/>
                <w:szCs w:val="20"/>
                <w14:ligatures w14:val="none"/>
              </w:rPr>
              <w:t>PK</w:t>
            </w:r>
            <w:r w:rsidR="006007A1">
              <w:rPr>
                <w:rFonts w:ascii="Arial" w:eastAsia="Arial" w:hAnsi="Arial" w:cs="Arial"/>
                <w:bCs/>
                <w:spacing w:val="1"/>
                <w:kern w:val="0"/>
                <w:sz w:val="20"/>
                <w:szCs w:val="20"/>
                <w14:ligatures w14:val="none"/>
              </w:rPr>
              <w:t>6</w:t>
            </w:r>
          </w:p>
        </w:tc>
        <w:tc>
          <w:tcPr>
            <w:tcW w:w="3865" w:type="dxa"/>
          </w:tcPr>
          <w:p w14:paraId="54344B5B" w14:textId="77777777" w:rsidR="006007A1" w:rsidRPr="00853340" w:rsidRDefault="006007A1" w:rsidP="006007A1">
            <w:pPr>
              <w:jc w:val="both"/>
              <w:rPr>
                <w:rFonts w:ascii="Arial" w:hAnsi="Arial" w:cs="Arial"/>
                <w:b/>
                <w:bCs/>
                <w:sz w:val="20"/>
                <w:szCs w:val="20"/>
              </w:rPr>
            </w:pPr>
          </w:p>
        </w:tc>
        <w:tc>
          <w:tcPr>
            <w:tcW w:w="4385" w:type="dxa"/>
          </w:tcPr>
          <w:p w14:paraId="04FF2BE3" w14:textId="77777777" w:rsidR="006007A1" w:rsidRPr="00521DE9" w:rsidRDefault="006007A1" w:rsidP="006007A1">
            <w:pPr>
              <w:jc w:val="both"/>
              <w:rPr>
                <w:rFonts w:ascii="Arial" w:hAnsi="Arial" w:cs="Arial"/>
                <w:b/>
                <w:bCs/>
                <w:sz w:val="20"/>
                <w:szCs w:val="20"/>
              </w:rPr>
            </w:pPr>
            <w:r w:rsidRPr="00853340">
              <w:rPr>
                <w:rFonts w:ascii="Arial" w:hAnsi="Arial" w:cs="Arial"/>
                <w:b/>
                <w:bCs/>
                <w:sz w:val="20"/>
                <w:szCs w:val="20"/>
              </w:rPr>
              <w:t xml:space="preserve">Izvajanje najboljših praks pri oblikovanju – </w:t>
            </w:r>
            <w:r w:rsidRPr="00403C9F">
              <w:rPr>
                <w:rFonts w:ascii="Arial" w:hAnsi="Arial" w:cs="Arial"/>
                <w:b/>
                <w:bCs/>
                <w:i/>
                <w:iCs/>
                <w:sz w:val="20"/>
                <w:szCs w:val="20"/>
              </w:rPr>
              <w:t>Zahtevnejši nivo</w:t>
            </w:r>
          </w:p>
          <w:p w14:paraId="4C435EA8" w14:textId="77777777" w:rsidR="006007A1" w:rsidRDefault="006007A1" w:rsidP="006007A1">
            <w:pPr>
              <w:jc w:val="both"/>
              <w:rPr>
                <w:rFonts w:ascii="Arial" w:hAnsi="Arial" w:cs="Arial"/>
                <w:sz w:val="20"/>
                <w:szCs w:val="20"/>
              </w:rPr>
            </w:pPr>
          </w:p>
          <w:p w14:paraId="4F933FE7" w14:textId="4235E9AF" w:rsidR="006007A1" w:rsidRPr="00521DE9" w:rsidRDefault="006007A1" w:rsidP="006007A1">
            <w:pPr>
              <w:jc w:val="both"/>
              <w:rPr>
                <w:rFonts w:ascii="Arial" w:hAnsi="Arial" w:cs="Arial"/>
                <w:i/>
                <w:iCs/>
                <w:sz w:val="20"/>
                <w:szCs w:val="20"/>
              </w:rPr>
            </w:pPr>
            <w:r w:rsidRPr="00521DE9">
              <w:rPr>
                <w:rFonts w:ascii="Arial" w:hAnsi="Arial" w:cs="Arial"/>
                <w:i/>
                <w:iCs/>
                <w:sz w:val="20"/>
                <w:szCs w:val="20"/>
              </w:rPr>
              <w:t>T</w:t>
            </w:r>
            <w:r w:rsidR="00B27B1C">
              <w:rPr>
                <w:rFonts w:ascii="Arial" w:hAnsi="Arial" w:cs="Arial"/>
                <w:i/>
                <w:iCs/>
                <w:sz w:val="20"/>
                <w:szCs w:val="20"/>
              </w:rPr>
              <w:t>a  zahteva</w:t>
            </w:r>
            <w:r w:rsidRPr="00521DE9">
              <w:rPr>
                <w:rFonts w:ascii="Arial" w:hAnsi="Arial" w:cs="Arial"/>
                <w:i/>
                <w:iCs/>
                <w:sz w:val="20"/>
                <w:szCs w:val="20"/>
              </w:rPr>
              <w:t xml:space="preserve"> se uporablja v povezavi s TS </w:t>
            </w:r>
            <w:r w:rsidR="007478DD">
              <w:rPr>
                <w:rFonts w:ascii="Arial" w:hAnsi="Arial" w:cs="Arial"/>
                <w:i/>
                <w:iCs/>
                <w:sz w:val="20"/>
                <w:szCs w:val="20"/>
              </w:rPr>
              <w:t>5</w:t>
            </w:r>
            <w:r w:rsidRPr="00521DE9">
              <w:rPr>
                <w:rFonts w:ascii="Arial" w:hAnsi="Arial" w:cs="Arial"/>
                <w:i/>
                <w:iCs/>
                <w:sz w:val="20"/>
                <w:szCs w:val="20"/>
              </w:rPr>
              <w:t xml:space="preserve">. </w:t>
            </w:r>
          </w:p>
          <w:p w14:paraId="5F0757D5" w14:textId="77777777" w:rsidR="006007A1" w:rsidRDefault="006007A1" w:rsidP="006007A1">
            <w:pPr>
              <w:jc w:val="both"/>
              <w:rPr>
                <w:rFonts w:ascii="Arial" w:hAnsi="Arial" w:cs="Arial"/>
                <w:sz w:val="20"/>
                <w:szCs w:val="20"/>
              </w:rPr>
            </w:pPr>
          </w:p>
          <w:p w14:paraId="37C17B31" w14:textId="77777777" w:rsidR="006007A1" w:rsidRDefault="006007A1" w:rsidP="006007A1">
            <w:pPr>
              <w:jc w:val="both"/>
              <w:rPr>
                <w:rFonts w:ascii="Arial" w:hAnsi="Arial" w:cs="Arial"/>
                <w:sz w:val="20"/>
                <w:szCs w:val="20"/>
              </w:rPr>
            </w:pPr>
            <w:r w:rsidRPr="00521DE9">
              <w:rPr>
                <w:rFonts w:ascii="Arial" w:hAnsi="Arial" w:cs="Arial"/>
                <w:sz w:val="20"/>
                <w:szCs w:val="20"/>
              </w:rPr>
              <w:t xml:space="preserve">Na podlagi končne zasnove mora biti podatkovni center med izvajanjem naročila [sprejet za sodelovanje v Kodeksu ravnanja EU/potrjen s strani tretje osebe skladno z EN 50600 TR99-1]. </w:t>
            </w:r>
          </w:p>
          <w:p w14:paraId="149FE776" w14:textId="77777777" w:rsidR="006007A1" w:rsidRDefault="006007A1" w:rsidP="006007A1">
            <w:pPr>
              <w:jc w:val="both"/>
              <w:rPr>
                <w:rFonts w:ascii="Arial" w:hAnsi="Arial" w:cs="Arial"/>
                <w:sz w:val="20"/>
                <w:szCs w:val="20"/>
              </w:rPr>
            </w:pPr>
          </w:p>
          <w:p w14:paraId="557F597B" w14:textId="77777777" w:rsidR="006007A1" w:rsidRDefault="006007A1" w:rsidP="006007A1">
            <w:pPr>
              <w:jc w:val="both"/>
              <w:rPr>
                <w:rFonts w:ascii="Arial" w:hAnsi="Arial" w:cs="Arial"/>
                <w:sz w:val="20"/>
                <w:szCs w:val="20"/>
              </w:rPr>
            </w:pPr>
            <w:r w:rsidRPr="00521DE9">
              <w:rPr>
                <w:rFonts w:ascii="Arial" w:hAnsi="Arial" w:cs="Arial"/>
                <w:sz w:val="20"/>
                <w:szCs w:val="20"/>
              </w:rPr>
              <w:t xml:space="preserve">Ponudnik mora predložiti končne zasnove za sodelovanje v Kodeksu ravnanja EU. Letne posodobljene različice obrazca za poročanje mora prav tako posredovati javnemu naročniku. </w:t>
            </w:r>
          </w:p>
          <w:p w14:paraId="1198A5B1" w14:textId="77777777" w:rsidR="006007A1" w:rsidRDefault="006007A1" w:rsidP="006007A1">
            <w:pPr>
              <w:jc w:val="both"/>
              <w:rPr>
                <w:rFonts w:ascii="Arial" w:hAnsi="Arial" w:cs="Arial"/>
                <w:sz w:val="20"/>
                <w:szCs w:val="20"/>
              </w:rPr>
            </w:pPr>
          </w:p>
          <w:p w14:paraId="28194142" w14:textId="66EE3D1A" w:rsidR="006007A1" w:rsidRDefault="000B1B94" w:rsidP="006007A1">
            <w:pPr>
              <w:jc w:val="both"/>
              <w:rPr>
                <w:rFonts w:ascii="Arial" w:hAnsi="Arial" w:cs="Arial"/>
                <w:sz w:val="20"/>
                <w:szCs w:val="20"/>
              </w:rPr>
            </w:pPr>
            <w:r>
              <w:rPr>
                <w:rFonts w:ascii="Arial" w:hAnsi="Arial" w:cs="Arial"/>
                <w:sz w:val="20"/>
                <w:szCs w:val="20"/>
              </w:rPr>
              <w:t>N</w:t>
            </w:r>
            <w:r w:rsidR="006007A1" w:rsidRPr="00521DE9">
              <w:rPr>
                <w:rFonts w:ascii="Arial" w:hAnsi="Arial" w:cs="Arial"/>
                <w:sz w:val="20"/>
                <w:szCs w:val="20"/>
              </w:rPr>
              <w:t>aročnik si pridržuje pravico, da od tretje osebe zahteva revizijo podatkovnega centra, da lahko preveri izvajanje najboljših praks.</w:t>
            </w:r>
          </w:p>
          <w:p w14:paraId="64CBC886" w14:textId="77777777" w:rsidR="00B27B1C" w:rsidRPr="00195DD9" w:rsidRDefault="00B27B1C" w:rsidP="006007A1">
            <w:pPr>
              <w:jc w:val="both"/>
              <w:rPr>
                <w:rFonts w:ascii="Arial" w:hAnsi="Arial" w:cs="Arial"/>
                <w:b/>
                <w:bCs/>
                <w:sz w:val="20"/>
                <w:szCs w:val="20"/>
              </w:rPr>
            </w:pPr>
          </w:p>
          <w:p w14:paraId="32B35502" w14:textId="09A98FDC" w:rsidR="00B27B1C" w:rsidRPr="00195DD9" w:rsidRDefault="00B27B1C" w:rsidP="006007A1">
            <w:pPr>
              <w:jc w:val="both"/>
              <w:rPr>
                <w:rFonts w:ascii="Arial" w:hAnsi="Arial" w:cs="Arial"/>
                <w:b/>
                <w:bCs/>
                <w:sz w:val="20"/>
                <w:szCs w:val="20"/>
              </w:rPr>
            </w:pPr>
            <w:r w:rsidRPr="00195DD9">
              <w:rPr>
                <w:rFonts w:ascii="Arial" w:hAnsi="Arial" w:cs="Arial"/>
                <w:b/>
                <w:bCs/>
                <w:sz w:val="20"/>
                <w:szCs w:val="20"/>
              </w:rPr>
              <w:t>Priporočilo:</w:t>
            </w:r>
          </w:p>
          <w:p w14:paraId="0F22D6A5" w14:textId="651AB072" w:rsidR="00B27B1C" w:rsidRPr="00853340" w:rsidRDefault="00B27B1C" w:rsidP="006007A1">
            <w:pPr>
              <w:jc w:val="both"/>
              <w:rPr>
                <w:rFonts w:ascii="Arial" w:hAnsi="Arial" w:cs="Arial"/>
                <w:sz w:val="20"/>
                <w:szCs w:val="20"/>
              </w:rPr>
            </w:pPr>
            <w:r>
              <w:rPr>
                <w:rFonts w:ascii="Arial" w:hAnsi="Arial" w:cs="Arial"/>
                <w:sz w:val="20"/>
                <w:szCs w:val="20"/>
              </w:rPr>
              <w:t>Velja smiselno enako priporočilo kot pri TS</w:t>
            </w:r>
            <w:r w:rsidR="007478DD">
              <w:rPr>
                <w:rFonts w:ascii="Arial" w:hAnsi="Arial" w:cs="Arial"/>
                <w:sz w:val="20"/>
                <w:szCs w:val="20"/>
              </w:rPr>
              <w:t>5</w:t>
            </w:r>
            <w:r>
              <w:rPr>
                <w:rFonts w:ascii="Arial" w:hAnsi="Arial" w:cs="Arial"/>
                <w:sz w:val="20"/>
                <w:szCs w:val="20"/>
              </w:rPr>
              <w:t>.</w:t>
            </w:r>
          </w:p>
          <w:p w14:paraId="753BD6DE" w14:textId="77777777" w:rsidR="006007A1" w:rsidRPr="00853340" w:rsidRDefault="006007A1" w:rsidP="006007A1">
            <w:pPr>
              <w:jc w:val="both"/>
              <w:rPr>
                <w:rFonts w:ascii="Arial" w:hAnsi="Arial" w:cs="Arial"/>
                <w:b/>
                <w:bCs/>
                <w:sz w:val="20"/>
                <w:szCs w:val="20"/>
              </w:rPr>
            </w:pPr>
          </w:p>
        </w:tc>
      </w:tr>
      <w:tr w:rsidR="006007A1" w14:paraId="28D21F09" w14:textId="77777777" w:rsidTr="00195DD9">
        <w:tc>
          <w:tcPr>
            <w:tcW w:w="766" w:type="dxa"/>
          </w:tcPr>
          <w:p w14:paraId="78EF6ED0" w14:textId="570E8B95" w:rsidR="006007A1" w:rsidRDefault="0004687D" w:rsidP="00545CF0">
            <w:pPr>
              <w:jc w:val="both"/>
              <w:rPr>
                <w:rFonts w:ascii="Arial" w:eastAsia="Arial" w:hAnsi="Arial" w:cs="Arial"/>
                <w:bCs/>
                <w:spacing w:val="1"/>
                <w:kern w:val="0"/>
                <w:sz w:val="20"/>
                <w:szCs w:val="20"/>
                <w14:ligatures w14:val="none"/>
              </w:rPr>
            </w:pPr>
            <w:r>
              <w:rPr>
                <w:rFonts w:ascii="Arial" w:eastAsia="Arial" w:hAnsi="Arial" w:cs="Arial"/>
                <w:bCs/>
                <w:spacing w:val="1"/>
                <w:kern w:val="0"/>
                <w:sz w:val="20"/>
                <w:szCs w:val="20"/>
                <w14:ligatures w14:val="none"/>
              </w:rPr>
              <w:t>PK</w:t>
            </w:r>
            <w:r w:rsidR="006007A1">
              <w:rPr>
                <w:rFonts w:ascii="Arial" w:eastAsia="Arial" w:hAnsi="Arial" w:cs="Arial"/>
                <w:bCs/>
                <w:spacing w:val="1"/>
                <w:kern w:val="0"/>
                <w:sz w:val="20"/>
                <w:szCs w:val="20"/>
                <w14:ligatures w14:val="none"/>
              </w:rPr>
              <w:t>7</w:t>
            </w:r>
          </w:p>
        </w:tc>
        <w:tc>
          <w:tcPr>
            <w:tcW w:w="3865" w:type="dxa"/>
          </w:tcPr>
          <w:p w14:paraId="147B11BC" w14:textId="77777777" w:rsidR="006007A1" w:rsidRPr="00853340" w:rsidRDefault="006007A1" w:rsidP="006007A1">
            <w:pPr>
              <w:jc w:val="both"/>
              <w:rPr>
                <w:rFonts w:ascii="Arial" w:hAnsi="Arial" w:cs="Arial"/>
                <w:b/>
                <w:bCs/>
                <w:sz w:val="20"/>
                <w:szCs w:val="20"/>
              </w:rPr>
            </w:pPr>
          </w:p>
        </w:tc>
        <w:tc>
          <w:tcPr>
            <w:tcW w:w="4385" w:type="dxa"/>
          </w:tcPr>
          <w:p w14:paraId="3760DE2B" w14:textId="77777777" w:rsidR="006007A1" w:rsidRPr="00853340" w:rsidRDefault="006007A1" w:rsidP="006007A1">
            <w:pPr>
              <w:jc w:val="both"/>
              <w:rPr>
                <w:rFonts w:ascii="Arial" w:hAnsi="Arial" w:cs="Arial"/>
                <w:b/>
                <w:bCs/>
                <w:sz w:val="20"/>
                <w:szCs w:val="20"/>
              </w:rPr>
            </w:pPr>
            <w:r w:rsidRPr="00904E26">
              <w:rPr>
                <w:rFonts w:ascii="Arial" w:hAnsi="Arial" w:cs="Arial"/>
                <w:b/>
                <w:bCs/>
                <w:sz w:val="20"/>
                <w:szCs w:val="20"/>
              </w:rPr>
              <w:t>Spremljanje porabe energije hladilnega sistema – Z</w:t>
            </w:r>
            <w:r w:rsidRPr="00853340">
              <w:rPr>
                <w:rFonts w:ascii="Arial" w:hAnsi="Arial" w:cs="Arial"/>
                <w:b/>
                <w:bCs/>
                <w:sz w:val="20"/>
                <w:szCs w:val="20"/>
              </w:rPr>
              <w:t>ahtevnejši nivo</w:t>
            </w:r>
          </w:p>
          <w:p w14:paraId="1A37F296" w14:textId="77777777" w:rsidR="006007A1" w:rsidRPr="00853340" w:rsidRDefault="006007A1" w:rsidP="006007A1">
            <w:pPr>
              <w:jc w:val="both"/>
              <w:rPr>
                <w:rFonts w:ascii="Arial" w:hAnsi="Arial" w:cs="Arial"/>
                <w:sz w:val="20"/>
                <w:szCs w:val="20"/>
              </w:rPr>
            </w:pPr>
          </w:p>
          <w:p w14:paraId="6F622B99" w14:textId="142923E3" w:rsidR="006007A1" w:rsidRPr="00521DE9" w:rsidRDefault="006007A1" w:rsidP="006007A1">
            <w:pPr>
              <w:jc w:val="both"/>
              <w:rPr>
                <w:rFonts w:ascii="Arial" w:hAnsi="Arial" w:cs="Arial"/>
                <w:i/>
                <w:iCs/>
                <w:sz w:val="20"/>
                <w:szCs w:val="20"/>
              </w:rPr>
            </w:pPr>
            <w:r w:rsidRPr="00521DE9">
              <w:rPr>
                <w:rFonts w:ascii="Arial" w:hAnsi="Arial" w:cs="Arial"/>
                <w:i/>
                <w:iCs/>
                <w:sz w:val="20"/>
                <w:szCs w:val="20"/>
              </w:rPr>
              <w:t xml:space="preserve">Se vključijo, če podatkovni center upravlja tretja oseba. Uporabijo se v povezavi z </w:t>
            </w:r>
            <w:r w:rsidR="007D526D">
              <w:rPr>
                <w:rFonts w:ascii="Arial" w:hAnsi="Arial" w:cs="Arial"/>
                <w:i/>
                <w:iCs/>
                <w:sz w:val="20"/>
                <w:szCs w:val="20"/>
              </w:rPr>
              <w:t>ME</w:t>
            </w:r>
            <w:r w:rsidR="007D526D" w:rsidRPr="00521DE9">
              <w:rPr>
                <w:rFonts w:ascii="Arial" w:hAnsi="Arial" w:cs="Arial"/>
                <w:i/>
                <w:iCs/>
                <w:sz w:val="20"/>
                <w:szCs w:val="20"/>
              </w:rPr>
              <w:t xml:space="preserve"> </w:t>
            </w:r>
            <w:r w:rsidRPr="00521DE9">
              <w:rPr>
                <w:rFonts w:ascii="Arial" w:hAnsi="Arial" w:cs="Arial"/>
                <w:i/>
                <w:iCs/>
                <w:sz w:val="20"/>
                <w:szCs w:val="20"/>
              </w:rPr>
              <w:t xml:space="preserve">7. </w:t>
            </w:r>
          </w:p>
          <w:p w14:paraId="242F74E2" w14:textId="77777777" w:rsidR="006007A1" w:rsidRDefault="006007A1" w:rsidP="006007A1">
            <w:pPr>
              <w:jc w:val="both"/>
              <w:rPr>
                <w:rFonts w:ascii="Arial" w:hAnsi="Arial" w:cs="Arial"/>
                <w:sz w:val="20"/>
                <w:szCs w:val="20"/>
              </w:rPr>
            </w:pPr>
          </w:p>
          <w:p w14:paraId="4BA3D5F2" w14:textId="0AC89004" w:rsidR="006007A1" w:rsidRDefault="00822EEC" w:rsidP="006007A1">
            <w:pPr>
              <w:jc w:val="both"/>
              <w:rPr>
                <w:rFonts w:ascii="Arial" w:hAnsi="Arial" w:cs="Arial"/>
                <w:sz w:val="20"/>
                <w:szCs w:val="20"/>
              </w:rPr>
            </w:pPr>
            <w:r>
              <w:rPr>
                <w:rFonts w:ascii="Arial" w:hAnsi="Arial" w:cs="Arial"/>
                <w:sz w:val="20"/>
                <w:szCs w:val="20"/>
              </w:rPr>
              <w:t>Izvajalec</w:t>
            </w:r>
            <w:r w:rsidR="006007A1" w:rsidRPr="00521DE9">
              <w:rPr>
                <w:rFonts w:ascii="Arial" w:hAnsi="Arial" w:cs="Arial"/>
                <w:sz w:val="20"/>
                <w:szCs w:val="20"/>
              </w:rPr>
              <w:t xml:space="preserve"> mora predložiti mesečne in letne podatke za porabo energije sistema za hlajenje podatkovnega centra. Spremljanje mora biti opredeljeno v skladu s smernicami iz EN 50600-4-2:2016 ali enakovrednega standarda.</w:t>
            </w:r>
          </w:p>
          <w:p w14:paraId="67173720" w14:textId="77777777" w:rsidR="007D526D" w:rsidRDefault="007D526D" w:rsidP="006007A1">
            <w:pPr>
              <w:jc w:val="both"/>
              <w:rPr>
                <w:rFonts w:ascii="Arial" w:hAnsi="Arial" w:cs="Arial"/>
                <w:sz w:val="20"/>
                <w:szCs w:val="20"/>
              </w:rPr>
            </w:pPr>
          </w:p>
          <w:p w14:paraId="6C12C9F9" w14:textId="3371CDCE" w:rsidR="007D526D" w:rsidRPr="00195DD9" w:rsidRDefault="007D526D" w:rsidP="006007A1">
            <w:pPr>
              <w:jc w:val="both"/>
              <w:rPr>
                <w:rFonts w:ascii="Arial" w:hAnsi="Arial" w:cs="Arial"/>
                <w:b/>
                <w:bCs/>
                <w:sz w:val="20"/>
                <w:szCs w:val="20"/>
              </w:rPr>
            </w:pPr>
            <w:r w:rsidRPr="00195DD9">
              <w:rPr>
                <w:rFonts w:ascii="Arial" w:hAnsi="Arial" w:cs="Arial"/>
                <w:b/>
                <w:bCs/>
                <w:sz w:val="20"/>
                <w:szCs w:val="20"/>
              </w:rPr>
              <w:t>Priporočilo:</w:t>
            </w:r>
          </w:p>
          <w:p w14:paraId="4809A401" w14:textId="46CB3991" w:rsidR="007D526D" w:rsidRPr="00521DE9" w:rsidRDefault="007D526D" w:rsidP="006007A1">
            <w:pPr>
              <w:jc w:val="both"/>
              <w:rPr>
                <w:rFonts w:ascii="Arial" w:hAnsi="Arial" w:cs="Arial"/>
                <w:sz w:val="20"/>
                <w:szCs w:val="20"/>
              </w:rPr>
            </w:pPr>
            <w:r>
              <w:rPr>
                <w:rFonts w:ascii="Arial" w:hAnsi="Arial" w:cs="Arial"/>
                <w:sz w:val="20"/>
                <w:szCs w:val="20"/>
              </w:rPr>
              <w:t>Naročnikom se predlaga, da preverijo razmere na trgu ob pripravi naročila.</w:t>
            </w:r>
          </w:p>
          <w:p w14:paraId="506409A0" w14:textId="77777777" w:rsidR="006007A1" w:rsidRPr="00853340" w:rsidRDefault="006007A1" w:rsidP="006007A1">
            <w:pPr>
              <w:jc w:val="both"/>
              <w:rPr>
                <w:rFonts w:ascii="Arial" w:hAnsi="Arial" w:cs="Arial"/>
                <w:b/>
                <w:bCs/>
                <w:sz w:val="20"/>
                <w:szCs w:val="20"/>
              </w:rPr>
            </w:pPr>
          </w:p>
        </w:tc>
      </w:tr>
    </w:tbl>
    <w:p w14:paraId="2CD1EDF8" w14:textId="77777777" w:rsidR="005E1CF5" w:rsidRDefault="005E1CF5"/>
    <w:p w14:paraId="68D06C09" w14:textId="77777777" w:rsidR="005E1CF5" w:rsidRDefault="005E1CF5"/>
    <w:tbl>
      <w:tblPr>
        <w:tblStyle w:val="Tabelamrea"/>
        <w:tblW w:w="0" w:type="auto"/>
        <w:tblLook w:val="04A0" w:firstRow="1" w:lastRow="0" w:firstColumn="1" w:lastColumn="0" w:noHBand="0" w:noVBand="1"/>
        <w:tblCaption w:val="Tabela "/>
        <w:tblDescription w:val="Tabela vsebuje posebna določila pogodbe o izvedbi naročila (Pogodbene klavzule - PK)."/>
      </w:tblPr>
      <w:tblGrid>
        <w:gridCol w:w="766"/>
        <w:gridCol w:w="3865"/>
        <w:gridCol w:w="4385"/>
      </w:tblGrid>
      <w:tr w:rsidR="006007A1" w14:paraId="74E8A799" w14:textId="77777777" w:rsidTr="00195DD9">
        <w:tc>
          <w:tcPr>
            <w:tcW w:w="766" w:type="dxa"/>
          </w:tcPr>
          <w:p w14:paraId="366087A9" w14:textId="485DC32F" w:rsidR="006007A1" w:rsidRDefault="0004687D" w:rsidP="00545CF0">
            <w:pPr>
              <w:jc w:val="both"/>
              <w:rPr>
                <w:rFonts w:ascii="Arial" w:eastAsia="Arial" w:hAnsi="Arial" w:cs="Arial"/>
                <w:bCs/>
                <w:spacing w:val="1"/>
                <w:kern w:val="0"/>
                <w:sz w:val="20"/>
                <w:szCs w:val="20"/>
                <w14:ligatures w14:val="none"/>
              </w:rPr>
            </w:pPr>
            <w:r>
              <w:rPr>
                <w:rFonts w:ascii="Arial" w:eastAsia="Arial" w:hAnsi="Arial" w:cs="Arial"/>
                <w:bCs/>
                <w:spacing w:val="1"/>
                <w:kern w:val="0"/>
                <w:sz w:val="20"/>
                <w:szCs w:val="20"/>
                <w14:ligatures w14:val="none"/>
              </w:rPr>
              <w:lastRenderedPageBreak/>
              <w:t>PK</w:t>
            </w:r>
            <w:r w:rsidR="006007A1">
              <w:rPr>
                <w:rFonts w:ascii="Arial" w:eastAsia="Arial" w:hAnsi="Arial" w:cs="Arial"/>
                <w:bCs/>
                <w:spacing w:val="1"/>
                <w:kern w:val="0"/>
                <w:sz w:val="20"/>
                <w:szCs w:val="20"/>
                <w14:ligatures w14:val="none"/>
              </w:rPr>
              <w:t>8</w:t>
            </w:r>
          </w:p>
        </w:tc>
        <w:tc>
          <w:tcPr>
            <w:tcW w:w="3865" w:type="dxa"/>
          </w:tcPr>
          <w:p w14:paraId="3041280D" w14:textId="77777777" w:rsidR="006007A1" w:rsidRPr="00853340" w:rsidRDefault="006007A1" w:rsidP="006007A1">
            <w:pPr>
              <w:jc w:val="both"/>
              <w:rPr>
                <w:rFonts w:ascii="Arial" w:hAnsi="Arial" w:cs="Arial"/>
                <w:b/>
                <w:bCs/>
                <w:sz w:val="20"/>
                <w:szCs w:val="20"/>
              </w:rPr>
            </w:pPr>
          </w:p>
        </w:tc>
        <w:tc>
          <w:tcPr>
            <w:tcW w:w="4385" w:type="dxa"/>
          </w:tcPr>
          <w:p w14:paraId="7088E748" w14:textId="77777777" w:rsidR="006007A1" w:rsidRPr="00853340" w:rsidRDefault="006007A1" w:rsidP="006007A1">
            <w:pPr>
              <w:jc w:val="both"/>
              <w:rPr>
                <w:rFonts w:ascii="Arial" w:hAnsi="Arial" w:cs="Arial"/>
                <w:b/>
                <w:bCs/>
                <w:sz w:val="20"/>
                <w:szCs w:val="20"/>
              </w:rPr>
            </w:pPr>
            <w:r w:rsidRPr="00904E26">
              <w:rPr>
                <w:rFonts w:ascii="Arial" w:hAnsi="Arial" w:cs="Arial"/>
                <w:b/>
                <w:bCs/>
                <w:sz w:val="20"/>
                <w:szCs w:val="20"/>
              </w:rPr>
              <w:t xml:space="preserve">Spremljanje ogrevalne oskrbe in povezave – </w:t>
            </w:r>
            <w:r w:rsidRPr="00403C9F">
              <w:rPr>
                <w:rFonts w:ascii="Arial" w:hAnsi="Arial" w:cs="Arial"/>
                <w:b/>
                <w:bCs/>
                <w:i/>
                <w:iCs/>
                <w:sz w:val="20"/>
                <w:szCs w:val="20"/>
              </w:rPr>
              <w:t>Zahtevnejši nivo</w:t>
            </w:r>
          </w:p>
          <w:p w14:paraId="4F1DAC37" w14:textId="77777777" w:rsidR="006007A1" w:rsidRPr="00853340" w:rsidRDefault="006007A1" w:rsidP="006007A1">
            <w:pPr>
              <w:jc w:val="both"/>
              <w:rPr>
                <w:rFonts w:ascii="Arial" w:hAnsi="Arial" w:cs="Arial"/>
                <w:b/>
                <w:bCs/>
                <w:sz w:val="20"/>
                <w:szCs w:val="20"/>
              </w:rPr>
            </w:pPr>
          </w:p>
          <w:p w14:paraId="4064ABF2" w14:textId="469F9982" w:rsidR="006007A1" w:rsidRPr="008D56BA" w:rsidRDefault="006007A1" w:rsidP="006007A1">
            <w:pPr>
              <w:jc w:val="both"/>
              <w:rPr>
                <w:rFonts w:ascii="Arial" w:hAnsi="Arial" w:cs="Arial"/>
                <w:i/>
                <w:iCs/>
                <w:sz w:val="20"/>
                <w:szCs w:val="20"/>
              </w:rPr>
            </w:pPr>
            <w:r w:rsidRPr="008D56BA">
              <w:rPr>
                <w:rFonts w:ascii="Arial" w:hAnsi="Arial" w:cs="Arial"/>
                <w:i/>
                <w:iCs/>
                <w:sz w:val="20"/>
                <w:szCs w:val="20"/>
              </w:rPr>
              <w:t>Se vključijo, če podatkovni center upravlja tretja oseba, v povezavi s TS</w:t>
            </w:r>
            <w:r w:rsidR="007478DD">
              <w:rPr>
                <w:rFonts w:ascii="Arial" w:hAnsi="Arial" w:cs="Arial"/>
                <w:i/>
                <w:iCs/>
                <w:sz w:val="20"/>
                <w:szCs w:val="20"/>
              </w:rPr>
              <w:t>7</w:t>
            </w:r>
            <w:r w:rsidRPr="008D56BA">
              <w:rPr>
                <w:rFonts w:ascii="Arial" w:hAnsi="Arial" w:cs="Arial"/>
                <w:i/>
                <w:iCs/>
                <w:sz w:val="20"/>
                <w:szCs w:val="20"/>
              </w:rPr>
              <w:t xml:space="preserve"> ter </w:t>
            </w:r>
            <w:r w:rsidR="007D526D">
              <w:rPr>
                <w:rFonts w:ascii="Arial" w:hAnsi="Arial" w:cs="Arial"/>
                <w:i/>
                <w:iCs/>
                <w:sz w:val="20"/>
                <w:szCs w:val="20"/>
              </w:rPr>
              <w:t>ME</w:t>
            </w:r>
            <w:r w:rsidRPr="008D56BA">
              <w:rPr>
                <w:rFonts w:ascii="Arial" w:hAnsi="Arial" w:cs="Arial"/>
                <w:i/>
                <w:iCs/>
                <w:sz w:val="20"/>
                <w:szCs w:val="20"/>
              </w:rPr>
              <w:t xml:space="preserve">8 in </w:t>
            </w:r>
            <w:r w:rsidR="007478DD">
              <w:rPr>
                <w:rFonts w:ascii="Arial" w:hAnsi="Arial" w:cs="Arial"/>
                <w:i/>
                <w:iCs/>
                <w:sz w:val="20"/>
                <w:szCs w:val="20"/>
              </w:rPr>
              <w:t>ME</w:t>
            </w:r>
            <w:r w:rsidRPr="008D56BA">
              <w:rPr>
                <w:rFonts w:ascii="Arial" w:hAnsi="Arial" w:cs="Arial"/>
                <w:i/>
                <w:iCs/>
                <w:sz w:val="20"/>
                <w:szCs w:val="20"/>
              </w:rPr>
              <w:t>9.</w:t>
            </w:r>
          </w:p>
          <w:p w14:paraId="71254751" w14:textId="77777777" w:rsidR="006007A1" w:rsidRPr="008D56BA" w:rsidRDefault="006007A1" w:rsidP="006007A1">
            <w:pPr>
              <w:jc w:val="both"/>
              <w:rPr>
                <w:rFonts w:ascii="Arial" w:hAnsi="Arial" w:cs="Arial"/>
                <w:sz w:val="20"/>
                <w:szCs w:val="20"/>
              </w:rPr>
            </w:pPr>
          </w:p>
          <w:p w14:paraId="3E2DD78D" w14:textId="25DCE37F" w:rsidR="006007A1" w:rsidRDefault="00822EEC" w:rsidP="006007A1">
            <w:pPr>
              <w:jc w:val="both"/>
              <w:rPr>
                <w:rFonts w:ascii="Arial" w:hAnsi="Arial" w:cs="Arial"/>
                <w:sz w:val="20"/>
                <w:szCs w:val="20"/>
              </w:rPr>
            </w:pPr>
            <w:r>
              <w:rPr>
                <w:rFonts w:ascii="Arial" w:hAnsi="Arial" w:cs="Arial"/>
                <w:sz w:val="20"/>
                <w:szCs w:val="20"/>
              </w:rPr>
              <w:t>Izvajalec</w:t>
            </w:r>
            <w:r w:rsidR="006007A1" w:rsidRPr="008D56BA">
              <w:rPr>
                <w:rFonts w:ascii="Arial" w:hAnsi="Arial" w:cs="Arial"/>
                <w:sz w:val="20"/>
                <w:szCs w:val="20"/>
              </w:rPr>
              <w:t xml:space="preserve"> mora predložiti povprečne mesečne podatke za toploto,</w:t>
            </w:r>
            <w:r w:rsidR="006007A1">
              <w:rPr>
                <w:rFonts w:ascii="Arial" w:hAnsi="Arial" w:cs="Arial"/>
                <w:sz w:val="20"/>
                <w:szCs w:val="20"/>
              </w:rPr>
              <w:t xml:space="preserve"> </w:t>
            </w:r>
            <w:r w:rsidR="006007A1" w:rsidRPr="008D56BA">
              <w:rPr>
                <w:rFonts w:ascii="Arial" w:hAnsi="Arial" w:cs="Arial"/>
                <w:sz w:val="20"/>
                <w:szCs w:val="20"/>
              </w:rPr>
              <w:t>dobavljeno lokalnim potrošnikom toplote.</w:t>
            </w:r>
          </w:p>
          <w:p w14:paraId="7FB31010" w14:textId="77777777" w:rsidR="006007A1" w:rsidRPr="008D56BA" w:rsidRDefault="006007A1" w:rsidP="006007A1">
            <w:pPr>
              <w:jc w:val="both"/>
              <w:rPr>
                <w:rFonts w:ascii="Arial" w:hAnsi="Arial" w:cs="Arial"/>
                <w:sz w:val="20"/>
                <w:szCs w:val="20"/>
              </w:rPr>
            </w:pPr>
          </w:p>
          <w:p w14:paraId="137C3FD5" w14:textId="77777777" w:rsidR="006007A1" w:rsidRDefault="006007A1" w:rsidP="006007A1">
            <w:pPr>
              <w:jc w:val="both"/>
              <w:rPr>
                <w:rFonts w:ascii="Arial" w:hAnsi="Arial" w:cs="Arial"/>
                <w:sz w:val="20"/>
                <w:szCs w:val="20"/>
              </w:rPr>
            </w:pPr>
            <w:r w:rsidRPr="008D56BA">
              <w:rPr>
                <w:rFonts w:ascii="Arial" w:hAnsi="Arial" w:cs="Arial"/>
                <w:sz w:val="20"/>
                <w:szCs w:val="20"/>
              </w:rPr>
              <w:t>Poleg tega mora v skladu z EN 50600-4-6:2020 ali enakovrednim standardom izračunati in</w:t>
            </w:r>
            <w:r>
              <w:rPr>
                <w:rFonts w:ascii="Arial" w:hAnsi="Arial" w:cs="Arial"/>
                <w:sz w:val="20"/>
                <w:szCs w:val="20"/>
              </w:rPr>
              <w:t xml:space="preserve"> </w:t>
            </w:r>
            <w:r w:rsidRPr="008D56BA">
              <w:rPr>
                <w:rFonts w:ascii="Arial" w:hAnsi="Arial" w:cs="Arial"/>
                <w:sz w:val="20"/>
                <w:szCs w:val="20"/>
              </w:rPr>
              <w:t>sporočiti faktor ponovne uporabe energije (ERF).</w:t>
            </w:r>
          </w:p>
          <w:p w14:paraId="20A99856" w14:textId="77777777" w:rsidR="006007A1" w:rsidRPr="008D56BA" w:rsidRDefault="006007A1" w:rsidP="006007A1">
            <w:pPr>
              <w:jc w:val="both"/>
              <w:rPr>
                <w:rFonts w:ascii="Arial" w:hAnsi="Arial" w:cs="Arial"/>
                <w:sz w:val="20"/>
                <w:szCs w:val="20"/>
              </w:rPr>
            </w:pPr>
          </w:p>
          <w:p w14:paraId="2545D96F" w14:textId="45092F93" w:rsidR="006007A1" w:rsidRPr="00904E26" w:rsidRDefault="000B1B94" w:rsidP="006007A1">
            <w:pPr>
              <w:jc w:val="both"/>
              <w:rPr>
                <w:rFonts w:ascii="Arial" w:hAnsi="Arial" w:cs="Arial"/>
                <w:b/>
                <w:bCs/>
                <w:sz w:val="20"/>
                <w:szCs w:val="20"/>
              </w:rPr>
            </w:pPr>
            <w:r>
              <w:rPr>
                <w:rFonts w:ascii="Arial" w:hAnsi="Arial" w:cs="Arial"/>
                <w:sz w:val="20"/>
                <w:szCs w:val="20"/>
              </w:rPr>
              <w:t>N</w:t>
            </w:r>
            <w:r w:rsidR="006007A1" w:rsidRPr="008D56BA">
              <w:rPr>
                <w:rFonts w:ascii="Arial" w:hAnsi="Arial" w:cs="Arial"/>
                <w:sz w:val="20"/>
                <w:szCs w:val="20"/>
              </w:rPr>
              <w:t>aročniku mora na zahtevo omogočiti dostop do opreme in omrežne povezave na</w:t>
            </w:r>
            <w:r w:rsidR="006007A1">
              <w:rPr>
                <w:rFonts w:ascii="Arial" w:hAnsi="Arial" w:cs="Arial"/>
                <w:sz w:val="20"/>
                <w:szCs w:val="20"/>
              </w:rPr>
              <w:t xml:space="preserve"> </w:t>
            </w:r>
            <w:r w:rsidR="006007A1" w:rsidRPr="008D56BA">
              <w:rPr>
                <w:rFonts w:ascii="Arial" w:hAnsi="Arial" w:cs="Arial"/>
                <w:sz w:val="20"/>
                <w:szCs w:val="20"/>
              </w:rPr>
              <w:t>lokaciji podatkovnega centra za namene pregledov.</w:t>
            </w:r>
          </w:p>
          <w:p w14:paraId="4EAA4367" w14:textId="77777777" w:rsidR="006007A1" w:rsidRPr="00853340" w:rsidRDefault="006007A1" w:rsidP="006007A1">
            <w:pPr>
              <w:jc w:val="both"/>
              <w:rPr>
                <w:rFonts w:ascii="Arial" w:hAnsi="Arial" w:cs="Arial"/>
                <w:b/>
                <w:bCs/>
                <w:sz w:val="20"/>
                <w:szCs w:val="20"/>
              </w:rPr>
            </w:pPr>
          </w:p>
        </w:tc>
      </w:tr>
      <w:tr w:rsidR="006007A1" w14:paraId="3BDA8D54" w14:textId="77777777" w:rsidTr="00195DD9">
        <w:tc>
          <w:tcPr>
            <w:tcW w:w="766" w:type="dxa"/>
          </w:tcPr>
          <w:p w14:paraId="4AF587EF" w14:textId="68CFAFB9" w:rsidR="006007A1" w:rsidRDefault="0004687D" w:rsidP="00545CF0">
            <w:pPr>
              <w:jc w:val="both"/>
              <w:rPr>
                <w:rFonts w:ascii="Arial" w:eastAsia="Arial" w:hAnsi="Arial" w:cs="Arial"/>
                <w:bCs/>
                <w:spacing w:val="1"/>
                <w:kern w:val="0"/>
                <w:sz w:val="20"/>
                <w:szCs w:val="20"/>
                <w14:ligatures w14:val="none"/>
              </w:rPr>
            </w:pPr>
            <w:r>
              <w:rPr>
                <w:rFonts w:ascii="Arial" w:eastAsia="Arial" w:hAnsi="Arial" w:cs="Arial"/>
                <w:bCs/>
                <w:spacing w:val="1"/>
                <w:kern w:val="0"/>
                <w:sz w:val="20"/>
                <w:szCs w:val="20"/>
                <w14:ligatures w14:val="none"/>
              </w:rPr>
              <w:t>PK</w:t>
            </w:r>
            <w:r w:rsidR="006007A1">
              <w:rPr>
                <w:rFonts w:ascii="Arial" w:eastAsia="Arial" w:hAnsi="Arial" w:cs="Arial"/>
                <w:bCs/>
                <w:spacing w:val="1"/>
                <w:kern w:val="0"/>
                <w:sz w:val="20"/>
                <w:szCs w:val="20"/>
                <w14:ligatures w14:val="none"/>
              </w:rPr>
              <w:t>9</w:t>
            </w:r>
          </w:p>
        </w:tc>
        <w:tc>
          <w:tcPr>
            <w:tcW w:w="8250" w:type="dxa"/>
            <w:gridSpan w:val="2"/>
          </w:tcPr>
          <w:p w14:paraId="11D2943A" w14:textId="77777777" w:rsidR="006007A1" w:rsidRPr="00853340" w:rsidRDefault="006007A1" w:rsidP="006007A1">
            <w:pPr>
              <w:jc w:val="both"/>
              <w:rPr>
                <w:rFonts w:ascii="Arial" w:hAnsi="Arial" w:cs="Arial"/>
                <w:b/>
                <w:bCs/>
                <w:sz w:val="20"/>
                <w:szCs w:val="20"/>
              </w:rPr>
            </w:pPr>
            <w:r w:rsidRPr="00904E26">
              <w:rPr>
                <w:rFonts w:ascii="Arial" w:hAnsi="Arial" w:cs="Arial"/>
                <w:b/>
                <w:bCs/>
                <w:sz w:val="20"/>
                <w:szCs w:val="20"/>
              </w:rPr>
              <w:t xml:space="preserve">Faktor obnovljive energije (REF) – </w:t>
            </w:r>
            <w:r w:rsidRPr="00403C9F">
              <w:rPr>
                <w:rFonts w:ascii="Arial" w:hAnsi="Arial" w:cs="Arial"/>
                <w:b/>
                <w:bCs/>
                <w:i/>
                <w:iCs/>
                <w:sz w:val="20"/>
                <w:szCs w:val="20"/>
              </w:rPr>
              <w:t>Osnovni in zahtevnejši nivo</w:t>
            </w:r>
          </w:p>
          <w:p w14:paraId="568D2373" w14:textId="77777777" w:rsidR="006007A1" w:rsidRPr="00853340" w:rsidRDefault="006007A1" w:rsidP="006007A1">
            <w:pPr>
              <w:jc w:val="both"/>
              <w:rPr>
                <w:rFonts w:ascii="Arial" w:hAnsi="Arial" w:cs="Arial"/>
                <w:b/>
                <w:bCs/>
                <w:sz w:val="20"/>
                <w:szCs w:val="20"/>
              </w:rPr>
            </w:pPr>
          </w:p>
          <w:p w14:paraId="7F95DD52" w14:textId="583DD3BE" w:rsidR="006007A1" w:rsidRPr="00A207BE" w:rsidRDefault="006007A1" w:rsidP="006007A1">
            <w:pPr>
              <w:jc w:val="both"/>
              <w:rPr>
                <w:rFonts w:ascii="Arial" w:hAnsi="Arial" w:cs="Arial"/>
                <w:i/>
                <w:iCs/>
                <w:sz w:val="20"/>
                <w:szCs w:val="20"/>
              </w:rPr>
            </w:pPr>
            <w:r w:rsidRPr="00A207BE">
              <w:rPr>
                <w:rFonts w:ascii="Arial" w:hAnsi="Arial" w:cs="Arial"/>
                <w:i/>
                <w:iCs/>
                <w:sz w:val="20"/>
                <w:szCs w:val="20"/>
              </w:rPr>
              <w:t xml:space="preserve">Uporabijo se v povezavi z </w:t>
            </w:r>
            <w:r w:rsidR="007D526D">
              <w:rPr>
                <w:rFonts w:ascii="Arial" w:hAnsi="Arial" w:cs="Arial"/>
                <w:i/>
                <w:iCs/>
                <w:sz w:val="20"/>
                <w:szCs w:val="20"/>
              </w:rPr>
              <w:t>ME</w:t>
            </w:r>
            <w:r w:rsidR="007D526D" w:rsidRPr="00A207BE">
              <w:rPr>
                <w:rFonts w:ascii="Arial" w:hAnsi="Arial" w:cs="Arial"/>
                <w:i/>
                <w:iCs/>
                <w:sz w:val="20"/>
                <w:szCs w:val="20"/>
              </w:rPr>
              <w:t xml:space="preserve"> </w:t>
            </w:r>
            <w:r w:rsidRPr="00A207BE">
              <w:rPr>
                <w:rFonts w:ascii="Arial" w:hAnsi="Arial" w:cs="Arial"/>
                <w:i/>
                <w:iCs/>
                <w:sz w:val="20"/>
                <w:szCs w:val="20"/>
              </w:rPr>
              <w:t xml:space="preserve">10. </w:t>
            </w:r>
          </w:p>
          <w:p w14:paraId="33589E3B" w14:textId="77777777" w:rsidR="006007A1" w:rsidRDefault="006007A1" w:rsidP="006007A1">
            <w:pPr>
              <w:jc w:val="both"/>
              <w:rPr>
                <w:rFonts w:ascii="Arial" w:hAnsi="Arial" w:cs="Arial"/>
                <w:sz w:val="20"/>
                <w:szCs w:val="20"/>
              </w:rPr>
            </w:pPr>
          </w:p>
          <w:p w14:paraId="69BB189E" w14:textId="2AEF32B2" w:rsidR="006007A1" w:rsidRDefault="00822EEC" w:rsidP="006007A1">
            <w:pPr>
              <w:jc w:val="both"/>
              <w:rPr>
                <w:rFonts w:ascii="Arial" w:hAnsi="Arial" w:cs="Arial"/>
                <w:sz w:val="20"/>
                <w:szCs w:val="20"/>
              </w:rPr>
            </w:pPr>
            <w:r>
              <w:rPr>
                <w:rFonts w:ascii="Arial" w:hAnsi="Arial" w:cs="Arial"/>
                <w:sz w:val="20"/>
                <w:szCs w:val="20"/>
              </w:rPr>
              <w:t>Izvajalec</w:t>
            </w:r>
            <w:r w:rsidR="006007A1" w:rsidRPr="00A207BE">
              <w:rPr>
                <w:rFonts w:ascii="Arial" w:hAnsi="Arial" w:cs="Arial"/>
                <w:sz w:val="20"/>
                <w:szCs w:val="20"/>
              </w:rPr>
              <w:t xml:space="preserve"> mora predložiti mesečne podatke za kupljeno ali proizvedeno energijo iz obnovljivih virov. Tretji upravljavci morajo za primerjalne namene predložiti tudi skupno izmerjeno porabo energije podatkovnega centra.</w:t>
            </w:r>
          </w:p>
          <w:p w14:paraId="0B40466D" w14:textId="77777777" w:rsidR="006007A1" w:rsidRPr="00853340" w:rsidRDefault="006007A1" w:rsidP="006007A1">
            <w:pPr>
              <w:jc w:val="both"/>
              <w:rPr>
                <w:rFonts w:ascii="Arial" w:hAnsi="Arial" w:cs="Arial"/>
                <w:b/>
                <w:bCs/>
                <w:sz w:val="20"/>
                <w:szCs w:val="20"/>
              </w:rPr>
            </w:pPr>
          </w:p>
        </w:tc>
      </w:tr>
      <w:tr w:rsidR="006007A1" w14:paraId="5F6E021C" w14:textId="77777777" w:rsidTr="00195DD9">
        <w:tc>
          <w:tcPr>
            <w:tcW w:w="766" w:type="dxa"/>
          </w:tcPr>
          <w:p w14:paraId="5CF88810" w14:textId="326E8BC5" w:rsidR="006007A1" w:rsidRDefault="0004687D" w:rsidP="00545CF0">
            <w:pPr>
              <w:jc w:val="both"/>
              <w:rPr>
                <w:rFonts w:ascii="Arial" w:eastAsia="Arial" w:hAnsi="Arial" w:cs="Arial"/>
                <w:bCs/>
                <w:spacing w:val="1"/>
                <w:kern w:val="0"/>
                <w:sz w:val="20"/>
                <w:szCs w:val="20"/>
                <w14:ligatures w14:val="none"/>
              </w:rPr>
            </w:pPr>
            <w:r>
              <w:rPr>
                <w:rFonts w:ascii="Arial" w:eastAsia="Arial" w:hAnsi="Arial" w:cs="Arial"/>
                <w:bCs/>
                <w:spacing w:val="1"/>
                <w:kern w:val="0"/>
                <w:sz w:val="20"/>
                <w:szCs w:val="20"/>
                <w14:ligatures w14:val="none"/>
              </w:rPr>
              <w:t>PK</w:t>
            </w:r>
            <w:r w:rsidR="006007A1">
              <w:rPr>
                <w:rFonts w:ascii="Arial" w:eastAsia="Arial" w:hAnsi="Arial" w:cs="Arial"/>
                <w:bCs/>
                <w:spacing w:val="1"/>
                <w:kern w:val="0"/>
                <w:sz w:val="20"/>
                <w:szCs w:val="20"/>
                <w14:ligatures w14:val="none"/>
              </w:rPr>
              <w:t>10</w:t>
            </w:r>
          </w:p>
        </w:tc>
        <w:tc>
          <w:tcPr>
            <w:tcW w:w="3865" w:type="dxa"/>
          </w:tcPr>
          <w:p w14:paraId="4588B12B" w14:textId="77777777" w:rsidR="006007A1" w:rsidRPr="00853340" w:rsidRDefault="006007A1" w:rsidP="006007A1">
            <w:pPr>
              <w:jc w:val="both"/>
              <w:rPr>
                <w:rFonts w:ascii="Arial" w:hAnsi="Arial" w:cs="Arial"/>
                <w:b/>
                <w:bCs/>
                <w:sz w:val="20"/>
                <w:szCs w:val="20"/>
              </w:rPr>
            </w:pPr>
          </w:p>
        </w:tc>
        <w:tc>
          <w:tcPr>
            <w:tcW w:w="4385" w:type="dxa"/>
          </w:tcPr>
          <w:p w14:paraId="118CFCB3" w14:textId="77777777" w:rsidR="006007A1" w:rsidRPr="00853340" w:rsidRDefault="006007A1" w:rsidP="006007A1">
            <w:pPr>
              <w:jc w:val="both"/>
              <w:rPr>
                <w:rFonts w:ascii="Arial" w:hAnsi="Arial" w:cs="Arial"/>
                <w:b/>
                <w:bCs/>
                <w:sz w:val="20"/>
                <w:szCs w:val="20"/>
              </w:rPr>
            </w:pPr>
            <w:r w:rsidRPr="00383477">
              <w:rPr>
                <w:rFonts w:ascii="Arial" w:hAnsi="Arial" w:cs="Arial"/>
                <w:b/>
                <w:bCs/>
                <w:sz w:val="20"/>
                <w:szCs w:val="20"/>
              </w:rPr>
              <w:t xml:space="preserve">Potencial globalnega segrevanja zmesi hladilnih sredstev – </w:t>
            </w:r>
            <w:r w:rsidRPr="00403C9F">
              <w:rPr>
                <w:rFonts w:ascii="Arial" w:hAnsi="Arial" w:cs="Arial"/>
                <w:b/>
                <w:bCs/>
                <w:i/>
                <w:iCs/>
                <w:sz w:val="20"/>
                <w:szCs w:val="20"/>
              </w:rPr>
              <w:t>Zahtevnejši nivo</w:t>
            </w:r>
          </w:p>
          <w:p w14:paraId="68C72B4D" w14:textId="77777777" w:rsidR="006007A1" w:rsidRPr="00853340" w:rsidRDefault="006007A1" w:rsidP="006007A1">
            <w:pPr>
              <w:jc w:val="both"/>
              <w:rPr>
                <w:rFonts w:ascii="Arial" w:hAnsi="Arial" w:cs="Arial"/>
                <w:b/>
                <w:bCs/>
                <w:sz w:val="20"/>
                <w:szCs w:val="20"/>
              </w:rPr>
            </w:pPr>
          </w:p>
          <w:p w14:paraId="3BD525BB" w14:textId="56F1143C" w:rsidR="006007A1" w:rsidRPr="00A207BE" w:rsidRDefault="006007A1" w:rsidP="006007A1">
            <w:pPr>
              <w:jc w:val="both"/>
              <w:rPr>
                <w:rFonts w:ascii="Arial" w:hAnsi="Arial" w:cs="Arial"/>
                <w:i/>
                <w:iCs/>
                <w:sz w:val="20"/>
                <w:szCs w:val="20"/>
              </w:rPr>
            </w:pPr>
            <w:r w:rsidRPr="00A207BE">
              <w:rPr>
                <w:rFonts w:ascii="Arial" w:hAnsi="Arial" w:cs="Arial"/>
                <w:i/>
                <w:iCs/>
                <w:sz w:val="20"/>
                <w:szCs w:val="20"/>
              </w:rPr>
              <w:t xml:space="preserve">Se vključijo, če se uporabijo </w:t>
            </w:r>
            <w:r w:rsidR="007D526D">
              <w:rPr>
                <w:rFonts w:ascii="Arial" w:hAnsi="Arial" w:cs="Arial"/>
                <w:i/>
                <w:iCs/>
                <w:sz w:val="20"/>
                <w:szCs w:val="20"/>
              </w:rPr>
              <w:t>ME</w:t>
            </w:r>
            <w:r w:rsidR="007D526D" w:rsidRPr="00A207BE">
              <w:rPr>
                <w:rFonts w:ascii="Arial" w:hAnsi="Arial" w:cs="Arial"/>
                <w:i/>
                <w:iCs/>
                <w:sz w:val="20"/>
                <w:szCs w:val="20"/>
              </w:rPr>
              <w:t xml:space="preserve"> </w:t>
            </w:r>
            <w:r w:rsidRPr="00A207BE">
              <w:rPr>
                <w:rFonts w:ascii="Arial" w:hAnsi="Arial" w:cs="Arial"/>
                <w:i/>
                <w:iCs/>
                <w:sz w:val="20"/>
                <w:szCs w:val="20"/>
              </w:rPr>
              <w:t xml:space="preserve">11. </w:t>
            </w:r>
          </w:p>
          <w:p w14:paraId="7B153AF7" w14:textId="77777777" w:rsidR="006007A1" w:rsidRDefault="006007A1" w:rsidP="006007A1">
            <w:pPr>
              <w:jc w:val="both"/>
              <w:rPr>
                <w:rFonts w:ascii="Arial" w:hAnsi="Arial" w:cs="Arial"/>
                <w:sz w:val="20"/>
                <w:szCs w:val="20"/>
              </w:rPr>
            </w:pPr>
          </w:p>
          <w:p w14:paraId="7884133B" w14:textId="5C89BB02" w:rsidR="006007A1" w:rsidRDefault="00822EEC" w:rsidP="006007A1">
            <w:pPr>
              <w:jc w:val="both"/>
              <w:rPr>
                <w:rFonts w:ascii="Arial" w:hAnsi="Arial" w:cs="Arial"/>
                <w:sz w:val="20"/>
                <w:szCs w:val="20"/>
              </w:rPr>
            </w:pPr>
            <w:r>
              <w:rPr>
                <w:rFonts w:ascii="Arial" w:hAnsi="Arial" w:cs="Arial"/>
                <w:sz w:val="20"/>
                <w:szCs w:val="20"/>
              </w:rPr>
              <w:t>Izvajalec</w:t>
            </w:r>
            <w:r w:rsidR="006007A1" w:rsidRPr="00A207BE">
              <w:rPr>
                <w:rFonts w:ascii="Arial" w:hAnsi="Arial" w:cs="Arial"/>
                <w:sz w:val="20"/>
                <w:szCs w:val="20"/>
              </w:rPr>
              <w:t xml:space="preserve"> mora spremljati in preverjati emisije toplogrednih plinov za hladilna sredstva sistema hlajenja, kakor so ocenjene v fazi zbiranja ponudb. Za vsako leto obratovanja mora sporočati dejanske spremljane emisije na podlagi izmerjene porabe energije z možnostjo pregleda tretje osebe, če se to zahteva.</w:t>
            </w:r>
          </w:p>
          <w:p w14:paraId="280192EB" w14:textId="77777777" w:rsidR="006007A1" w:rsidRPr="00853340" w:rsidRDefault="006007A1" w:rsidP="006007A1">
            <w:pPr>
              <w:jc w:val="both"/>
              <w:rPr>
                <w:rFonts w:ascii="Arial" w:hAnsi="Arial" w:cs="Arial"/>
                <w:b/>
                <w:bCs/>
                <w:sz w:val="20"/>
                <w:szCs w:val="20"/>
              </w:rPr>
            </w:pPr>
          </w:p>
        </w:tc>
      </w:tr>
    </w:tbl>
    <w:p w14:paraId="2BA6D5D2" w14:textId="0D7312D5" w:rsidR="005E1CF5" w:rsidRDefault="005E1CF5" w:rsidP="00E3435A">
      <w:pPr>
        <w:jc w:val="both"/>
        <w:rPr>
          <w:rFonts w:ascii="Arial" w:hAnsi="Arial" w:cs="Arial"/>
          <w:sz w:val="20"/>
          <w:szCs w:val="20"/>
        </w:rPr>
      </w:pPr>
    </w:p>
    <w:p w14:paraId="12A6397E" w14:textId="77777777" w:rsidR="005E1CF5" w:rsidRDefault="005E1CF5">
      <w:pPr>
        <w:rPr>
          <w:rFonts w:ascii="Arial" w:hAnsi="Arial" w:cs="Arial"/>
          <w:sz w:val="20"/>
          <w:szCs w:val="20"/>
        </w:rPr>
      </w:pPr>
      <w:r>
        <w:rPr>
          <w:rFonts w:ascii="Arial" w:hAnsi="Arial" w:cs="Arial"/>
          <w:sz w:val="20"/>
          <w:szCs w:val="20"/>
        </w:rPr>
        <w:br w:type="page"/>
      </w:r>
    </w:p>
    <w:p w14:paraId="537C12FE" w14:textId="77777777" w:rsidR="005B1162" w:rsidRDefault="005B1162" w:rsidP="005B1162">
      <w:pPr>
        <w:pStyle w:val="Odstavekseznama"/>
        <w:numPr>
          <w:ilvl w:val="0"/>
          <w:numId w:val="21"/>
        </w:numPr>
        <w:rPr>
          <w:rFonts w:ascii="Arial" w:eastAsia="Arial" w:hAnsi="Arial" w:cs="Arial"/>
          <w:b/>
          <w:color w:val="385522"/>
          <w:spacing w:val="1"/>
          <w:kern w:val="0"/>
          <w:sz w:val="20"/>
          <w:szCs w:val="20"/>
          <w14:ligatures w14:val="none"/>
        </w:rPr>
      </w:pPr>
      <w:r>
        <w:rPr>
          <w:rFonts w:ascii="Arial" w:eastAsia="Arial" w:hAnsi="Arial" w:cs="Arial"/>
          <w:b/>
          <w:color w:val="385522"/>
          <w:spacing w:val="1"/>
          <w:kern w:val="0"/>
          <w:sz w:val="20"/>
          <w:szCs w:val="20"/>
          <w14:ligatures w14:val="none"/>
        </w:rPr>
        <w:lastRenderedPageBreak/>
        <w:t>Izračun</w:t>
      </w:r>
      <w:r w:rsidRPr="00D74990">
        <w:rPr>
          <w:rFonts w:ascii="Arial" w:eastAsia="Arial" w:hAnsi="Arial" w:cs="Arial"/>
          <w:b/>
          <w:color w:val="385522"/>
          <w:spacing w:val="1"/>
          <w:kern w:val="0"/>
          <w:sz w:val="20"/>
          <w:szCs w:val="20"/>
          <w14:ligatures w14:val="none"/>
        </w:rPr>
        <w:t xml:space="preserve"> strošk</w:t>
      </w:r>
      <w:r>
        <w:rPr>
          <w:rFonts w:ascii="Arial" w:eastAsia="Arial" w:hAnsi="Arial" w:cs="Arial"/>
          <w:b/>
          <w:color w:val="385522"/>
          <w:spacing w:val="1"/>
          <w:kern w:val="0"/>
          <w:sz w:val="20"/>
          <w:szCs w:val="20"/>
          <w14:ligatures w14:val="none"/>
        </w:rPr>
        <w:t>ov</w:t>
      </w:r>
      <w:r w:rsidRPr="00D74990">
        <w:rPr>
          <w:rFonts w:ascii="Arial" w:eastAsia="Arial" w:hAnsi="Arial" w:cs="Arial"/>
          <w:b/>
          <w:color w:val="385522"/>
          <w:spacing w:val="1"/>
          <w:kern w:val="0"/>
          <w:sz w:val="20"/>
          <w:szCs w:val="20"/>
          <w14:ligatures w14:val="none"/>
        </w:rPr>
        <w:t xml:space="preserve"> v življenjskem ciklu</w:t>
      </w:r>
    </w:p>
    <w:p w14:paraId="59F16CD8" w14:textId="77777777" w:rsidR="005B1162" w:rsidRPr="006C54F7" w:rsidRDefault="005B1162" w:rsidP="005B1162">
      <w:pPr>
        <w:pStyle w:val="Odstavekseznama"/>
        <w:rPr>
          <w:rFonts w:ascii="Arial" w:eastAsia="Arial" w:hAnsi="Arial" w:cs="Arial"/>
          <w:b/>
          <w:color w:val="385522"/>
          <w:spacing w:val="1"/>
          <w:kern w:val="0"/>
          <w:sz w:val="20"/>
          <w:szCs w:val="20"/>
          <w14:ligatures w14:val="none"/>
        </w:rPr>
      </w:pPr>
    </w:p>
    <w:p w14:paraId="1DE97AC1" w14:textId="77777777" w:rsidR="005B1162" w:rsidRDefault="005B1162" w:rsidP="005B1162">
      <w:pPr>
        <w:pStyle w:val="Odstavekseznama"/>
        <w:numPr>
          <w:ilvl w:val="0"/>
          <w:numId w:val="20"/>
        </w:numPr>
        <w:jc w:val="both"/>
        <w:rPr>
          <w:rFonts w:ascii="Arial" w:eastAsia="Arial" w:hAnsi="Arial" w:cs="Arial"/>
          <w:b/>
          <w:spacing w:val="1"/>
          <w:kern w:val="0"/>
          <w:sz w:val="20"/>
          <w:szCs w:val="20"/>
          <w14:ligatures w14:val="none"/>
        </w:rPr>
      </w:pPr>
      <w:r w:rsidRPr="00B41166">
        <w:rPr>
          <w:rFonts w:ascii="Arial" w:eastAsia="Arial" w:hAnsi="Arial" w:cs="Arial"/>
          <w:b/>
          <w:spacing w:val="1"/>
          <w:kern w:val="0"/>
          <w:sz w:val="20"/>
          <w:szCs w:val="20"/>
          <w14:ligatures w14:val="none"/>
        </w:rPr>
        <w:t>Stroškovni vidik</w:t>
      </w:r>
    </w:p>
    <w:p w14:paraId="534307F1" w14:textId="365DFC26" w:rsidR="00320D03" w:rsidRPr="00320D03" w:rsidRDefault="00320D03" w:rsidP="00320D03">
      <w:pPr>
        <w:jc w:val="both"/>
        <w:rPr>
          <w:rFonts w:ascii="Arial" w:hAnsi="Arial" w:cs="Arial"/>
          <w:sz w:val="20"/>
          <w:szCs w:val="20"/>
        </w:rPr>
      </w:pPr>
      <w:r w:rsidRPr="00320D03">
        <w:rPr>
          <w:rFonts w:ascii="Arial" w:hAnsi="Arial" w:cs="Arial"/>
          <w:sz w:val="20"/>
          <w:szCs w:val="20"/>
        </w:rPr>
        <w:t>Stroškovni vidik pri javni na</w:t>
      </w:r>
      <w:r>
        <w:rPr>
          <w:rFonts w:ascii="Arial" w:hAnsi="Arial" w:cs="Arial"/>
          <w:sz w:val="20"/>
          <w:szCs w:val="20"/>
        </w:rPr>
        <w:t>kupu</w:t>
      </w:r>
      <w:r w:rsidRPr="00320D03">
        <w:rPr>
          <w:rFonts w:ascii="Arial" w:hAnsi="Arial" w:cs="Arial"/>
          <w:sz w:val="20"/>
          <w:szCs w:val="20"/>
        </w:rPr>
        <w:t xml:space="preserve"> podatkovnih centrov je smiselno obravnavati skozi stroške življenjskega cikla (LCC), kar pomeni, da ne gledamo le </w:t>
      </w:r>
      <w:r>
        <w:rPr>
          <w:rFonts w:ascii="Arial" w:hAnsi="Arial" w:cs="Arial"/>
          <w:sz w:val="20"/>
          <w:szCs w:val="20"/>
        </w:rPr>
        <w:t>nabavno ceno</w:t>
      </w:r>
      <w:r w:rsidRPr="00320D03">
        <w:rPr>
          <w:rFonts w:ascii="Arial" w:hAnsi="Arial" w:cs="Arial"/>
          <w:sz w:val="20"/>
          <w:szCs w:val="20"/>
        </w:rPr>
        <w:t>, temveč seštevamo vse stroške od začetne naložbe in namestitve do energije, vzdrževanja, nadgradenj ter razgradnje na koncu življenjske dobe. V praksi sta najpogostejša dva pristopa: če naročnik upravlja lastno strežniško sobo ali podatkovni center, sam nosi večino začetnih naložb (oprema IT ter mehanska in električna infrastruktura) in tudi poznejše stroške delovanja ter razgradnje. Če pa se odloči za nakup storitev (npr. kolokacija ali upravljane storitve/oblak), se teža stroškov prenese z večjih začetnih naložb na redne obratovalne izdatke v obliki storitvenih pristojbin; s tem so začetni vložki nižji, a so tekoči stroški praviloma višji in vezani na obseg ter raven storitev (SLA). Ne glede na izbrani model LCC omogoča</w:t>
      </w:r>
      <w:r>
        <w:rPr>
          <w:rFonts w:ascii="Arial" w:hAnsi="Arial" w:cs="Arial"/>
          <w:sz w:val="20"/>
          <w:szCs w:val="20"/>
        </w:rPr>
        <w:t xml:space="preserve"> ustreznejšo</w:t>
      </w:r>
      <w:r w:rsidRPr="00320D03">
        <w:rPr>
          <w:rFonts w:ascii="Arial" w:hAnsi="Arial" w:cs="Arial"/>
          <w:sz w:val="20"/>
          <w:szCs w:val="20"/>
        </w:rPr>
        <w:t xml:space="preserve"> primerjavo, saj upošteva celotno finančno sliko skozi čas in pomaga izbrati</w:t>
      </w:r>
      <w:r>
        <w:rPr>
          <w:rFonts w:ascii="Arial" w:hAnsi="Arial" w:cs="Arial"/>
          <w:sz w:val="20"/>
          <w:szCs w:val="20"/>
        </w:rPr>
        <w:t xml:space="preserve"> najgospodarnejšo</w:t>
      </w:r>
      <w:r w:rsidRPr="00320D03">
        <w:rPr>
          <w:rFonts w:ascii="Arial" w:hAnsi="Arial" w:cs="Arial"/>
          <w:sz w:val="20"/>
          <w:szCs w:val="20"/>
        </w:rPr>
        <w:t xml:space="preserve"> rešitev</w:t>
      </w:r>
      <w:r>
        <w:rPr>
          <w:rFonts w:ascii="Arial" w:hAnsi="Arial" w:cs="Arial"/>
          <w:sz w:val="20"/>
          <w:szCs w:val="20"/>
        </w:rPr>
        <w:t>.</w:t>
      </w:r>
    </w:p>
    <w:p w14:paraId="4D9489CF" w14:textId="77777777" w:rsidR="00320D03" w:rsidRPr="00320D03" w:rsidRDefault="00320D03" w:rsidP="00320D03">
      <w:pPr>
        <w:numPr>
          <w:ilvl w:val="0"/>
          <w:numId w:val="40"/>
        </w:numPr>
        <w:jc w:val="both"/>
        <w:rPr>
          <w:rFonts w:ascii="Arial" w:hAnsi="Arial" w:cs="Arial"/>
          <w:sz w:val="20"/>
          <w:szCs w:val="20"/>
        </w:rPr>
      </w:pPr>
      <w:r w:rsidRPr="00320D03">
        <w:rPr>
          <w:rFonts w:ascii="Arial" w:hAnsi="Arial" w:cs="Arial"/>
          <w:b/>
          <w:bCs/>
          <w:sz w:val="20"/>
          <w:szCs w:val="20"/>
        </w:rPr>
        <w:t>CAPEX (Capital Expenditure)</w:t>
      </w:r>
      <w:r w:rsidRPr="00320D03">
        <w:rPr>
          <w:rFonts w:ascii="Arial" w:hAnsi="Arial" w:cs="Arial"/>
          <w:sz w:val="20"/>
          <w:szCs w:val="20"/>
        </w:rPr>
        <w:t xml:space="preserve"> = začetne </w:t>
      </w:r>
      <w:r w:rsidRPr="00320D03">
        <w:rPr>
          <w:rFonts w:ascii="Arial" w:hAnsi="Arial" w:cs="Arial"/>
          <w:b/>
          <w:bCs/>
          <w:sz w:val="20"/>
          <w:szCs w:val="20"/>
        </w:rPr>
        <w:t>naložbe</w:t>
      </w:r>
      <w:r w:rsidRPr="00320D03">
        <w:rPr>
          <w:rFonts w:ascii="Arial" w:hAnsi="Arial" w:cs="Arial"/>
          <w:sz w:val="20"/>
          <w:szCs w:val="20"/>
        </w:rPr>
        <w:t>: nakup in vgradnja IT opreme, hlajenja, napajanja, gradbenih prilagoditev.</w:t>
      </w:r>
    </w:p>
    <w:p w14:paraId="4CB8AD63" w14:textId="4BFC26F3" w:rsidR="00320D03" w:rsidRPr="000C74BE" w:rsidRDefault="00320D03" w:rsidP="005B1162">
      <w:pPr>
        <w:numPr>
          <w:ilvl w:val="0"/>
          <w:numId w:val="40"/>
        </w:numPr>
        <w:jc w:val="both"/>
        <w:rPr>
          <w:rFonts w:ascii="Arial" w:hAnsi="Arial" w:cs="Arial"/>
          <w:sz w:val="20"/>
          <w:szCs w:val="20"/>
        </w:rPr>
      </w:pPr>
      <w:r w:rsidRPr="00320D03">
        <w:rPr>
          <w:rFonts w:ascii="Arial" w:hAnsi="Arial" w:cs="Arial"/>
          <w:b/>
          <w:bCs/>
          <w:sz w:val="20"/>
          <w:szCs w:val="20"/>
        </w:rPr>
        <w:t>OPEX (Operating Expenditure)</w:t>
      </w:r>
      <w:r w:rsidRPr="00320D03">
        <w:rPr>
          <w:rFonts w:ascii="Arial" w:hAnsi="Arial" w:cs="Arial"/>
          <w:sz w:val="20"/>
          <w:szCs w:val="20"/>
        </w:rPr>
        <w:t xml:space="preserve"> = </w:t>
      </w:r>
      <w:r w:rsidRPr="00320D03">
        <w:rPr>
          <w:rFonts w:ascii="Arial" w:hAnsi="Arial" w:cs="Arial"/>
          <w:b/>
          <w:bCs/>
          <w:sz w:val="20"/>
          <w:szCs w:val="20"/>
        </w:rPr>
        <w:t>obratovalni stroški</w:t>
      </w:r>
      <w:r w:rsidRPr="00320D03">
        <w:rPr>
          <w:rFonts w:ascii="Arial" w:hAnsi="Arial" w:cs="Arial"/>
          <w:sz w:val="20"/>
          <w:szCs w:val="20"/>
        </w:rPr>
        <w:t>: energija, hlajenje, vzdrževanje, nadgradnje, licenčnine, mesečne/letne storitvene pristojbine.</w:t>
      </w:r>
    </w:p>
    <w:p w14:paraId="7B5A2A94" w14:textId="2DBD5405" w:rsidR="005B1162" w:rsidRPr="00463490" w:rsidRDefault="005B1162" w:rsidP="005B1162">
      <w:pPr>
        <w:pStyle w:val="Napis"/>
        <w:keepNext/>
        <w:jc w:val="both"/>
        <w:rPr>
          <w:rFonts w:ascii="Arial" w:hAnsi="Arial" w:cs="Arial"/>
          <w:b/>
          <w:bCs/>
          <w:i w:val="0"/>
          <w:iCs w:val="0"/>
          <w:color w:val="auto"/>
          <w:sz w:val="20"/>
          <w:szCs w:val="20"/>
        </w:rPr>
      </w:pPr>
      <w:r w:rsidRPr="0004687D">
        <w:rPr>
          <w:rFonts w:ascii="Arial" w:hAnsi="Arial" w:cs="Arial"/>
          <w:i w:val="0"/>
          <w:iCs w:val="0"/>
          <w:color w:val="auto"/>
          <w:sz w:val="20"/>
          <w:szCs w:val="20"/>
        </w:rPr>
        <w:t xml:space="preserve">Tabela </w:t>
      </w:r>
      <w:r w:rsidRPr="0004687D">
        <w:rPr>
          <w:rFonts w:ascii="Arial" w:hAnsi="Arial" w:cs="Arial"/>
          <w:i w:val="0"/>
          <w:iCs w:val="0"/>
          <w:color w:val="auto"/>
          <w:sz w:val="20"/>
          <w:szCs w:val="20"/>
        </w:rPr>
        <w:fldChar w:fldCharType="begin"/>
      </w:r>
      <w:r w:rsidRPr="0004687D">
        <w:rPr>
          <w:rFonts w:ascii="Arial" w:hAnsi="Arial" w:cs="Arial"/>
          <w:i w:val="0"/>
          <w:iCs w:val="0"/>
          <w:color w:val="auto"/>
          <w:sz w:val="20"/>
          <w:szCs w:val="20"/>
        </w:rPr>
        <w:instrText xml:space="preserve"> SEQ Tabela \* ARABIC </w:instrText>
      </w:r>
      <w:r w:rsidRPr="0004687D">
        <w:rPr>
          <w:rFonts w:ascii="Arial" w:hAnsi="Arial" w:cs="Arial"/>
          <w:i w:val="0"/>
          <w:iCs w:val="0"/>
          <w:color w:val="auto"/>
          <w:sz w:val="20"/>
          <w:szCs w:val="20"/>
        </w:rPr>
        <w:fldChar w:fldCharType="separate"/>
      </w:r>
      <w:r w:rsidR="009E5743">
        <w:rPr>
          <w:rFonts w:ascii="Arial" w:hAnsi="Arial" w:cs="Arial"/>
          <w:i w:val="0"/>
          <w:iCs w:val="0"/>
          <w:noProof/>
          <w:color w:val="auto"/>
          <w:sz w:val="20"/>
          <w:szCs w:val="20"/>
        </w:rPr>
        <w:t>1</w:t>
      </w:r>
      <w:r w:rsidRPr="0004687D">
        <w:rPr>
          <w:rFonts w:ascii="Arial" w:hAnsi="Arial" w:cs="Arial"/>
          <w:i w:val="0"/>
          <w:iCs w:val="0"/>
          <w:color w:val="auto"/>
          <w:sz w:val="20"/>
          <w:szCs w:val="20"/>
        </w:rPr>
        <w:fldChar w:fldCharType="end"/>
      </w:r>
      <w:r w:rsidRPr="0004687D">
        <w:rPr>
          <w:rFonts w:ascii="Arial" w:hAnsi="Arial" w:cs="Arial"/>
          <w:i w:val="0"/>
          <w:iCs w:val="0"/>
          <w:color w:val="auto"/>
          <w:sz w:val="20"/>
          <w:szCs w:val="20"/>
        </w:rPr>
        <w:t xml:space="preserve">: </w:t>
      </w:r>
      <w:r w:rsidRPr="00463490">
        <w:rPr>
          <w:rFonts w:ascii="Arial" w:hAnsi="Arial" w:cs="Arial"/>
          <w:b/>
          <w:bCs/>
          <w:i w:val="0"/>
          <w:iCs w:val="0"/>
          <w:color w:val="auto"/>
          <w:sz w:val="20"/>
          <w:szCs w:val="20"/>
        </w:rPr>
        <w:t>Indikativni stroški v življenjskem ciklu za lastnike in stranke podatkovnih centrov</w:t>
      </w:r>
    </w:p>
    <w:p w14:paraId="4D2065ED" w14:textId="77777777" w:rsidR="005B1162" w:rsidRPr="0004687D" w:rsidRDefault="005B1162" w:rsidP="005B1162">
      <w:pPr>
        <w:jc w:val="both"/>
        <w:rPr>
          <w:rFonts w:ascii="Arial" w:eastAsia="Arial" w:hAnsi="Arial" w:cs="Arial"/>
          <w:b/>
          <w:spacing w:val="1"/>
          <w:kern w:val="0"/>
          <w:sz w:val="20"/>
          <w:szCs w:val="20"/>
          <w14:ligatures w14:val="none"/>
        </w:rPr>
      </w:pPr>
      <w:r w:rsidRPr="0004687D">
        <w:rPr>
          <w:rFonts w:ascii="Arial" w:eastAsia="Arial" w:hAnsi="Arial" w:cs="Arial"/>
          <w:b/>
          <w:noProof/>
          <w:spacing w:val="1"/>
          <w:kern w:val="0"/>
          <w:sz w:val="20"/>
          <w:szCs w:val="20"/>
          <w14:ligatures w14:val="none"/>
        </w:rPr>
        <w:drawing>
          <wp:inline distT="0" distB="0" distL="0" distR="0" wp14:anchorId="5C8EAAFD" wp14:editId="3D6C6305">
            <wp:extent cx="5731510" cy="2515870"/>
            <wp:effectExtent l="0" t="0" r="2540" b="0"/>
            <wp:docPr id="782889680" name="Slika 1" descr="Slika pikazuje tabelo z indikativinimi stroški v življenjskem ciklusu za lastnike in stranke podatkovnih centrov.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889680" name="Slika 1" descr="Slika pikazuje tabelo z indikativinimi stroški v življenjskem ciklusu za lastnike in stranke podatkovnih centrov. &#10;"/>
                    <pic:cNvPicPr/>
                  </pic:nvPicPr>
                  <pic:blipFill>
                    <a:blip r:embed="rId43"/>
                    <a:stretch>
                      <a:fillRect/>
                    </a:stretch>
                  </pic:blipFill>
                  <pic:spPr>
                    <a:xfrm>
                      <a:off x="0" y="0"/>
                      <a:ext cx="5731510" cy="2515870"/>
                    </a:xfrm>
                    <a:prstGeom prst="rect">
                      <a:avLst/>
                    </a:prstGeom>
                  </pic:spPr>
                </pic:pic>
              </a:graphicData>
            </a:graphic>
          </wp:inline>
        </w:drawing>
      </w:r>
    </w:p>
    <w:p w14:paraId="6EF3202B" w14:textId="77777777" w:rsidR="005B1162" w:rsidRPr="003030DA" w:rsidRDefault="005B1162" w:rsidP="005B1162">
      <w:pPr>
        <w:jc w:val="both"/>
        <w:rPr>
          <w:rFonts w:ascii="Arial" w:hAnsi="Arial" w:cs="Arial"/>
          <w:sz w:val="20"/>
          <w:szCs w:val="20"/>
        </w:rPr>
      </w:pPr>
      <w:r w:rsidRPr="003030DA">
        <w:rPr>
          <w:rFonts w:ascii="Arial" w:hAnsi="Arial" w:cs="Arial"/>
          <w:sz w:val="20"/>
          <w:szCs w:val="20"/>
        </w:rPr>
        <w:t>Merila EU za zelena javna naročila za podatkovne centre, strežniške sobe in storitve v oblaku bodo pozitivno vplivala na nekatere ključne stroške, ki jih je treba upoštevati v življenjskem ciklu podatkovnega centra. Čeprav je zelo težko oceniti določene prihranke pri stroških, ima uporaba teh meril visok potencial za zmanjšanje stroškov v življenjskem ciklu. Kvalitativen opis pričakovanega vpliva vsakega sklopa meril na stroške v življenjskem ciklu je opisan v nadaljevanju:</w:t>
      </w:r>
    </w:p>
    <w:p w14:paraId="0026011E" w14:textId="77777777" w:rsidR="005B1162" w:rsidRPr="003030DA" w:rsidRDefault="005B1162" w:rsidP="005B1162">
      <w:pPr>
        <w:jc w:val="both"/>
        <w:rPr>
          <w:rFonts w:ascii="Arial" w:hAnsi="Arial" w:cs="Arial"/>
          <w:sz w:val="20"/>
          <w:szCs w:val="20"/>
        </w:rPr>
      </w:pPr>
      <w:r w:rsidRPr="003030DA">
        <w:rPr>
          <w:rFonts w:ascii="Arial" w:hAnsi="Arial" w:cs="Arial"/>
          <w:sz w:val="20"/>
          <w:szCs w:val="20"/>
        </w:rPr>
        <w:t>Izdatki, povezani z opremo IT</w:t>
      </w:r>
    </w:p>
    <w:p w14:paraId="4D059A2A" w14:textId="77777777" w:rsidR="005B1162" w:rsidRPr="003030DA" w:rsidRDefault="005B1162" w:rsidP="005B1162">
      <w:pPr>
        <w:pStyle w:val="Odstavekseznama"/>
        <w:numPr>
          <w:ilvl w:val="0"/>
          <w:numId w:val="15"/>
        </w:numPr>
        <w:jc w:val="both"/>
        <w:rPr>
          <w:rFonts w:ascii="Arial" w:hAnsi="Arial" w:cs="Arial"/>
          <w:sz w:val="20"/>
          <w:szCs w:val="20"/>
        </w:rPr>
      </w:pPr>
      <w:r w:rsidRPr="003030DA">
        <w:rPr>
          <w:rFonts w:ascii="Arial" w:hAnsi="Arial" w:cs="Arial"/>
          <w:b/>
          <w:bCs/>
          <w:sz w:val="20"/>
          <w:szCs w:val="20"/>
        </w:rPr>
        <w:t>Merila za energetsko učinkovitost strežnikov</w:t>
      </w:r>
      <w:r w:rsidRPr="003030DA">
        <w:rPr>
          <w:rFonts w:ascii="Arial" w:hAnsi="Arial" w:cs="Arial"/>
          <w:sz w:val="20"/>
          <w:szCs w:val="20"/>
        </w:rPr>
        <w:t xml:space="preserve"> lahko vodijo v zmanjšanje stroškov OPEX za napravo (zaradi neposrednega zmanjšanja porabe električne energije strežnikov). Poleg tega lahko povečajo računalniško zmogljivost podatkovnega centra in s tem preprečijo potrebo po razširitvi infrastrukture ter s tem povezane stroške (ki vplivajo na CAPEX in OPEX).</w:t>
      </w:r>
    </w:p>
    <w:p w14:paraId="6AF814EC" w14:textId="77777777" w:rsidR="005B1162" w:rsidRPr="003030DA" w:rsidRDefault="005B1162" w:rsidP="005B1162">
      <w:pPr>
        <w:pStyle w:val="Odstavekseznama"/>
        <w:numPr>
          <w:ilvl w:val="0"/>
          <w:numId w:val="15"/>
        </w:numPr>
        <w:jc w:val="both"/>
        <w:rPr>
          <w:rFonts w:ascii="Arial" w:hAnsi="Arial" w:cs="Arial"/>
          <w:sz w:val="20"/>
          <w:szCs w:val="20"/>
        </w:rPr>
      </w:pPr>
      <w:r w:rsidRPr="003030DA">
        <w:rPr>
          <w:rFonts w:ascii="Arial" w:hAnsi="Arial" w:cs="Arial"/>
          <w:b/>
          <w:bCs/>
          <w:sz w:val="20"/>
          <w:szCs w:val="20"/>
        </w:rPr>
        <w:t>Merila za optimizacijo strežnikov</w:t>
      </w:r>
      <w:r w:rsidRPr="003030DA">
        <w:rPr>
          <w:rFonts w:ascii="Arial" w:hAnsi="Arial" w:cs="Arial"/>
          <w:sz w:val="20"/>
          <w:szCs w:val="20"/>
        </w:rPr>
        <w:t>: večja izkoriščenost zmanjšuje stroške CAPEX, ker je enako delo doseženo z manj opreme IT. Poleg tega se znižajo stroški energije OPEX, ker so mehanske in električne potrebe po hlajenju manjše.</w:t>
      </w:r>
    </w:p>
    <w:p w14:paraId="4A479DE4" w14:textId="77777777" w:rsidR="005B1162" w:rsidRPr="003030DA" w:rsidRDefault="005B1162" w:rsidP="005B1162">
      <w:pPr>
        <w:pStyle w:val="Odstavekseznama"/>
        <w:numPr>
          <w:ilvl w:val="0"/>
          <w:numId w:val="15"/>
        </w:numPr>
        <w:jc w:val="both"/>
        <w:rPr>
          <w:rFonts w:ascii="Arial" w:hAnsi="Arial" w:cs="Arial"/>
          <w:sz w:val="20"/>
          <w:szCs w:val="20"/>
        </w:rPr>
      </w:pPr>
      <w:r w:rsidRPr="003030DA">
        <w:rPr>
          <w:rFonts w:ascii="Arial" w:hAnsi="Arial" w:cs="Arial"/>
          <w:b/>
          <w:bCs/>
          <w:sz w:val="20"/>
          <w:szCs w:val="20"/>
        </w:rPr>
        <w:lastRenderedPageBreak/>
        <w:t>Merila za upravljanje izrabljenih izdelkov</w:t>
      </w:r>
      <w:r w:rsidRPr="003030DA">
        <w:rPr>
          <w:rFonts w:ascii="Arial" w:hAnsi="Arial" w:cs="Arial"/>
          <w:sz w:val="20"/>
          <w:szCs w:val="20"/>
        </w:rPr>
        <w:t xml:space="preserve"> se lahko uporabljajo za spodbujanje proizvajalcev in specializiranih trgovcev OEEO, da vlagajo ponudbe za zaloge izrabljene opreme. To lahko omogoča povračilo preostale vrednosti opreme.</w:t>
      </w:r>
    </w:p>
    <w:p w14:paraId="38810CEB" w14:textId="77777777" w:rsidR="005B1162" w:rsidRPr="003030DA" w:rsidRDefault="005B1162" w:rsidP="005B1162">
      <w:pPr>
        <w:pStyle w:val="Odstavekseznama"/>
        <w:numPr>
          <w:ilvl w:val="0"/>
          <w:numId w:val="15"/>
        </w:numPr>
        <w:jc w:val="both"/>
        <w:rPr>
          <w:rFonts w:ascii="Arial" w:hAnsi="Arial" w:cs="Arial"/>
          <w:sz w:val="20"/>
          <w:szCs w:val="20"/>
        </w:rPr>
      </w:pPr>
      <w:r w:rsidRPr="003030DA">
        <w:rPr>
          <w:rFonts w:ascii="Arial" w:hAnsi="Arial" w:cs="Arial"/>
          <w:b/>
          <w:bCs/>
          <w:sz w:val="20"/>
          <w:szCs w:val="20"/>
        </w:rPr>
        <w:t>Merila za popravljivost in posodobljivost opreme IT</w:t>
      </w:r>
      <w:r w:rsidRPr="003030DA">
        <w:rPr>
          <w:rFonts w:ascii="Arial" w:hAnsi="Arial" w:cs="Arial"/>
          <w:sz w:val="20"/>
          <w:szCs w:val="20"/>
        </w:rPr>
        <w:t xml:space="preserve"> lahko pozitivno vplivajo na zmanjšanje obratovalnih stroškov za vzdrževanje opreme (OPEX za IT). Ti izdatki so lahko v življenjskem ciklu podatkovnega centra enaki kapitalskim odhodkom.</w:t>
      </w:r>
    </w:p>
    <w:p w14:paraId="49D96C16" w14:textId="77777777" w:rsidR="005B1162" w:rsidRPr="003030DA" w:rsidRDefault="005B1162" w:rsidP="005B1162">
      <w:pPr>
        <w:pStyle w:val="Odstavekseznama"/>
        <w:numPr>
          <w:ilvl w:val="0"/>
          <w:numId w:val="15"/>
        </w:numPr>
        <w:jc w:val="both"/>
        <w:rPr>
          <w:rFonts w:ascii="Arial" w:hAnsi="Arial" w:cs="Arial"/>
          <w:sz w:val="20"/>
          <w:szCs w:val="20"/>
        </w:rPr>
      </w:pPr>
      <w:r w:rsidRPr="003030DA">
        <w:rPr>
          <w:rFonts w:ascii="Arial" w:hAnsi="Arial" w:cs="Arial"/>
          <w:b/>
          <w:bCs/>
          <w:sz w:val="20"/>
          <w:szCs w:val="20"/>
        </w:rPr>
        <w:t>Merila za območje delovanja opreme IKT</w:t>
      </w:r>
      <w:r w:rsidRPr="003030DA">
        <w:rPr>
          <w:rFonts w:ascii="Arial" w:hAnsi="Arial" w:cs="Arial"/>
          <w:sz w:val="20"/>
          <w:szCs w:val="20"/>
        </w:rPr>
        <w:t>: stroški hlajenja so eden od dejavnikov, ki najbolj prispevajo k skupnemu strošku električne energije za velike podatkovne centre. Naročanje opreme IT, ki lahko vzdrži širše okoljske pogoje (za delovanje, ki ni neprekinjeno), pozitivno vpliva na prožnost in stroške podatkovnega centra. To je pomembno, če omogoča uvedbo prostega hlajenja in/ali ekonomičnih sistemov hlajenja, s čimer se zmanjšajo obstoječa mehanska in električna zmogljivost ter stroški kapitala in operativni stroški naprave. Čeprav so pričakovani stroški CAPEX za IT višji, bodo prihranki pri stroških energije prevladali nad začetnim zvišanjem in nabavno ceno.</w:t>
      </w:r>
    </w:p>
    <w:p w14:paraId="3514643B" w14:textId="77777777" w:rsidR="005B1162" w:rsidRPr="003030DA" w:rsidRDefault="005B1162" w:rsidP="005B1162">
      <w:pPr>
        <w:jc w:val="both"/>
        <w:rPr>
          <w:rFonts w:ascii="Arial" w:hAnsi="Arial" w:cs="Arial"/>
          <w:sz w:val="20"/>
          <w:szCs w:val="20"/>
        </w:rPr>
      </w:pPr>
      <w:r w:rsidRPr="003030DA">
        <w:rPr>
          <w:rFonts w:ascii="Arial" w:hAnsi="Arial" w:cs="Arial"/>
          <w:sz w:val="20"/>
          <w:szCs w:val="20"/>
        </w:rPr>
        <w:t>Izdatki, povezani z mehanskimi in električnimi sistemi</w:t>
      </w:r>
    </w:p>
    <w:p w14:paraId="6A55F5E9" w14:textId="77777777" w:rsidR="005B1162" w:rsidRPr="003030DA" w:rsidRDefault="005B1162" w:rsidP="005B1162">
      <w:pPr>
        <w:pStyle w:val="Odstavekseznama"/>
        <w:numPr>
          <w:ilvl w:val="0"/>
          <w:numId w:val="15"/>
        </w:numPr>
        <w:jc w:val="both"/>
        <w:rPr>
          <w:rFonts w:ascii="Arial" w:hAnsi="Arial" w:cs="Arial"/>
          <w:sz w:val="20"/>
          <w:szCs w:val="20"/>
        </w:rPr>
      </w:pPr>
      <w:r w:rsidRPr="003030DA">
        <w:rPr>
          <w:rFonts w:ascii="Arial" w:hAnsi="Arial" w:cs="Arial"/>
          <w:b/>
          <w:bCs/>
          <w:sz w:val="20"/>
          <w:szCs w:val="20"/>
        </w:rPr>
        <w:t>Merila za učinkovitost uporabe energije (PUE):</w:t>
      </w:r>
      <w:r w:rsidRPr="003030DA">
        <w:rPr>
          <w:rFonts w:ascii="Arial" w:hAnsi="Arial" w:cs="Arial"/>
          <w:sz w:val="20"/>
          <w:szCs w:val="20"/>
        </w:rPr>
        <w:t xml:space="preserve"> za zmanjšanje PUE se lahko izvaja več strategij, kot je kombinacija izboljšav v učinkovitosti mehanske in električne opreme, obratovalnih pogojev in toplotne zasnove. Zmanjšanje porabe energije zniža operativne stroške.</w:t>
      </w:r>
    </w:p>
    <w:p w14:paraId="7EC7DA9C" w14:textId="77777777" w:rsidR="005B1162" w:rsidRPr="003030DA" w:rsidRDefault="005B1162" w:rsidP="005B1162">
      <w:pPr>
        <w:pStyle w:val="Odstavekseznama"/>
        <w:numPr>
          <w:ilvl w:val="0"/>
          <w:numId w:val="15"/>
        </w:numPr>
        <w:jc w:val="both"/>
        <w:rPr>
          <w:rFonts w:ascii="Arial" w:hAnsi="Arial" w:cs="Arial"/>
          <w:sz w:val="20"/>
          <w:szCs w:val="20"/>
        </w:rPr>
      </w:pPr>
      <w:r w:rsidRPr="003030DA">
        <w:rPr>
          <w:rFonts w:ascii="Arial" w:hAnsi="Arial" w:cs="Arial"/>
          <w:b/>
          <w:bCs/>
          <w:sz w:val="20"/>
          <w:szCs w:val="20"/>
        </w:rPr>
        <w:t>Merila za ponovno uporabo odpadne toplote</w:t>
      </w:r>
      <w:r w:rsidRPr="003030DA">
        <w:rPr>
          <w:rFonts w:ascii="Arial" w:hAnsi="Arial" w:cs="Arial"/>
          <w:sz w:val="20"/>
          <w:szCs w:val="20"/>
        </w:rPr>
        <w:t>: potencialni stroški in koristi so zelo odvisne od lokacije, vendar je mogoče pridobiti vrednost, če je ogrevanje že na voljo ali se načrtuje. Predvideva se, da se odpadna toplota ne uporablja ponovno, če ni povpraševanja. V skladu s študijami primerov o zračno hlajeni opremi IKT in toplotnih črpalkah znaša ocenjeno obdobje amortizacije približno tri leta, če daljinsko ogrevanje delno financira tretja oseba. Tekočinsko hlajenje, ki omogoča zajemanje toplote pri višjih temperaturah, lahko zaradi nižjih ali izničenih naložbenih (in obratovalnih) stroškov poveča zanimanje za toplotne črpalke.</w:t>
      </w:r>
    </w:p>
    <w:p w14:paraId="541A933F" w14:textId="77777777" w:rsidR="005B1162" w:rsidRPr="003030DA" w:rsidRDefault="005B1162" w:rsidP="005B1162">
      <w:pPr>
        <w:pStyle w:val="Odstavekseznama"/>
        <w:numPr>
          <w:ilvl w:val="0"/>
          <w:numId w:val="15"/>
        </w:numPr>
        <w:jc w:val="both"/>
        <w:rPr>
          <w:rFonts w:ascii="Arial" w:hAnsi="Arial" w:cs="Arial"/>
          <w:sz w:val="20"/>
          <w:szCs w:val="20"/>
        </w:rPr>
      </w:pPr>
      <w:r w:rsidRPr="003030DA">
        <w:rPr>
          <w:rFonts w:ascii="Arial" w:hAnsi="Arial" w:cs="Arial"/>
          <w:b/>
          <w:bCs/>
          <w:sz w:val="20"/>
          <w:szCs w:val="20"/>
        </w:rPr>
        <w:t>Merila za nadzor pogojev delovanja, najboljše prakse za sisteme hlajenja</w:t>
      </w:r>
      <w:r w:rsidRPr="003030DA">
        <w:rPr>
          <w:rFonts w:ascii="Arial" w:hAnsi="Arial" w:cs="Arial"/>
          <w:sz w:val="20"/>
          <w:szCs w:val="20"/>
        </w:rPr>
        <w:t>: zmanjšanje potrebe po hlajenju pozitivno vpliva na stroške v življenjskem ciklu podatkovnega centra in stroške OPEX za naprave. Nekatere prakse omogočajo znižanje potrebne obstoječe mehanske in električne zmogljivosti, kar lahko vodi v znižanje stroškov kapitala.</w:t>
      </w:r>
    </w:p>
    <w:p w14:paraId="1A8FCC67" w14:textId="77777777" w:rsidR="005B1162" w:rsidRPr="003030DA" w:rsidRDefault="005B1162" w:rsidP="005B1162">
      <w:pPr>
        <w:pStyle w:val="Odstavekseznama"/>
        <w:numPr>
          <w:ilvl w:val="0"/>
          <w:numId w:val="15"/>
        </w:numPr>
        <w:jc w:val="both"/>
        <w:rPr>
          <w:rFonts w:ascii="Arial" w:hAnsi="Arial" w:cs="Arial"/>
          <w:sz w:val="20"/>
          <w:szCs w:val="20"/>
        </w:rPr>
      </w:pPr>
      <w:r w:rsidRPr="003030DA">
        <w:rPr>
          <w:rFonts w:ascii="Arial" w:hAnsi="Arial" w:cs="Arial"/>
          <w:b/>
          <w:bCs/>
          <w:sz w:val="20"/>
          <w:szCs w:val="20"/>
        </w:rPr>
        <w:t>Merila za uporabo hladilnih sredstev</w:t>
      </w:r>
      <w:r w:rsidRPr="003030DA">
        <w:rPr>
          <w:rFonts w:ascii="Arial" w:hAnsi="Arial" w:cs="Arial"/>
          <w:sz w:val="20"/>
          <w:szCs w:val="20"/>
        </w:rPr>
        <w:t>: če se uporaba običajnih hladilnih sredstev z visokim GWP prepreči z namestitvijo rešitev prostega hlajenja ali ekonomičnega hlajenja, se lahko obratovalni stroški ob predpostavki, da se potrebna naložba amortizira v manj kot 10 letih, v primerjavi z običajnimi sistemi hlajenja znižajo</w:t>
      </w:r>
      <w:r>
        <w:rPr>
          <w:rFonts w:ascii="Arial" w:hAnsi="Arial" w:cs="Arial"/>
          <w:sz w:val="20"/>
          <w:szCs w:val="20"/>
        </w:rPr>
        <w:t xml:space="preserve">. </w:t>
      </w:r>
      <w:r w:rsidRPr="003030DA">
        <w:rPr>
          <w:rFonts w:ascii="Arial" w:hAnsi="Arial" w:cs="Arial"/>
          <w:sz w:val="20"/>
          <w:szCs w:val="20"/>
        </w:rPr>
        <w:t>Vendar je treba upoštevati visoke naložbene stroške, še zlasti za majhne strežniške sobe in strukturno vgrajene srednje velike podatkovne centre. Poleg tega se pričakuje, da bo postopno ukinjanje fluoriranih plinov v hladilnih sredstvih vodilo v višje operativne stroške pri uporabi običajnih hladilnih sredstev. To bi lahko povzročilo, da se bodo na trgu uporabljale okolju prijaznejše alternativne možnosti, ki so lahko cenejše.</w:t>
      </w:r>
    </w:p>
    <w:p w14:paraId="3035DEAE" w14:textId="435F51F8" w:rsidR="00B61A1A" w:rsidRPr="00F47261" w:rsidRDefault="005B1162" w:rsidP="00F47261">
      <w:pPr>
        <w:pStyle w:val="Odstavekseznama"/>
        <w:numPr>
          <w:ilvl w:val="0"/>
          <w:numId w:val="15"/>
        </w:numPr>
        <w:jc w:val="both"/>
        <w:rPr>
          <w:rFonts w:ascii="Arial" w:hAnsi="Arial" w:cs="Arial"/>
          <w:sz w:val="20"/>
          <w:szCs w:val="20"/>
        </w:rPr>
      </w:pPr>
      <w:r w:rsidRPr="003030DA">
        <w:rPr>
          <w:rFonts w:ascii="Arial" w:hAnsi="Arial" w:cs="Arial"/>
          <w:b/>
          <w:bCs/>
          <w:sz w:val="20"/>
          <w:szCs w:val="20"/>
        </w:rPr>
        <w:t>Merila za faktor energije iz obnovljivih virov</w:t>
      </w:r>
      <w:r w:rsidRPr="003030DA">
        <w:rPr>
          <w:rFonts w:ascii="Arial" w:hAnsi="Arial" w:cs="Arial"/>
          <w:sz w:val="20"/>
          <w:szCs w:val="20"/>
        </w:rPr>
        <w:t>: stroški se bodo razlikovali glede na trg, dobavitelja in posamično situacijo podatkovnega centra.</w:t>
      </w:r>
    </w:p>
    <w:sectPr w:rsidR="00B61A1A" w:rsidRPr="00F47261">
      <w:footerReference w:type="default" r:id="rId4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998DE" w14:textId="77777777" w:rsidR="00C107F8" w:rsidRDefault="00C107F8" w:rsidP="00AB0DFC">
      <w:pPr>
        <w:spacing w:after="0" w:line="240" w:lineRule="auto"/>
      </w:pPr>
      <w:r>
        <w:separator/>
      </w:r>
    </w:p>
  </w:endnote>
  <w:endnote w:type="continuationSeparator" w:id="0">
    <w:p w14:paraId="4F0D4B7C" w14:textId="77777777" w:rsidR="00C107F8" w:rsidRDefault="00C107F8" w:rsidP="00AB0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955791981"/>
      <w:docPartObj>
        <w:docPartGallery w:val="Page Numbers (Bottom of Page)"/>
        <w:docPartUnique/>
      </w:docPartObj>
    </w:sdtPr>
    <w:sdtEndPr/>
    <w:sdtContent>
      <w:p w14:paraId="53875B43" w14:textId="6ED98BE1" w:rsidR="001D4B43" w:rsidRPr="001D4B43" w:rsidRDefault="001D4B43">
        <w:pPr>
          <w:pStyle w:val="Noga"/>
          <w:jc w:val="right"/>
          <w:rPr>
            <w:rFonts w:ascii="Arial" w:hAnsi="Arial" w:cs="Arial"/>
            <w:sz w:val="20"/>
            <w:szCs w:val="20"/>
          </w:rPr>
        </w:pPr>
        <w:r w:rsidRPr="001D4B43">
          <w:rPr>
            <w:rFonts w:ascii="Arial" w:hAnsi="Arial" w:cs="Arial"/>
            <w:sz w:val="20"/>
            <w:szCs w:val="20"/>
          </w:rPr>
          <w:fldChar w:fldCharType="begin"/>
        </w:r>
        <w:r w:rsidRPr="001D4B43">
          <w:rPr>
            <w:rFonts w:ascii="Arial" w:hAnsi="Arial" w:cs="Arial"/>
            <w:sz w:val="20"/>
            <w:szCs w:val="20"/>
          </w:rPr>
          <w:instrText>PAGE   \* MERGEFORMAT</w:instrText>
        </w:r>
        <w:r w:rsidRPr="001D4B43">
          <w:rPr>
            <w:rFonts w:ascii="Arial" w:hAnsi="Arial" w:cs="Arial"/>
            <w:sz w:val="20"/>
            <w:szCs w:val="20"/>
          </w:rPr>
          <w:fldChar w:fldCharType="separate"/>
        </w:r>
        <w:r w:rsidRPr="001D4B43">
          <w:rPr>
            <w:rFonts w:ascii="Arial" w:hAnsi="Arial" w:cs="Arial"/>
            <w:sz w:val="20"/>
            <w:szCs w:val="20"/>
          </w:rPr>
          <w:t>2</w:t>
        </w:r>
        <w:r w:rsidRPr="001D4B43">
          <w:rPr>
            <w:rFonts w:ascii="Arial" w:hAnsi="Arial" w:cs="Arial"/>
            <w:sz w:val="20"/>
            <w:szCs w:val="20"/>
          </w:rPr>
          <w:fldChar w:fldCharType="end"/>
        </w:r>
      </w:p>
    </w:sdtContent>
  </w:sdt>
  <w:p w14:paraId="018E4164" w14:textId="77777777" w:rsidR="001D4B43" w:rsidRPr="001D4B43" w:rsidRDefault="001D4B43">
    <w:pPr>
      <w:pStyle w:val="Noga"/>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CC46F" w14:textId="77777777" w:rsidR="00C107F8" w:rsidRDefault="00C107F8" w:rsidP="00AB0DFC">
      <w:pPr>
        <w:spacing w:after="0" w:line="240" w:lineRule="auto"/>
      </w:pPr>
      <w:r>
        <w:separator/>
      </w:r>
    </w:p>
  </w:footnote>
  <w:footnote w:type="continuationSeparator" w:id="0">
    <w:p w14:paraId="25B6BC2D" w14:textId="77777777" w:rsidR="00C107F8" w:rsidRDefault="00C107F8" w:rsidP="00AB0DFC">
      <w:pPr>
        <w:spacing w:after="0" w:line="240" w:lineRule="auto"/>
      </w:pPr>
      <w:r>
        <w:continuationSeparator/>
      </w:r>
    </w:p>
  </w:footnote>
  <w:footnote w:id="1">
    <w:p w14:paraId="77EAE278" w14:textId="10FCE03E" w:rsidR="000C0F69" w:rsidRPr="006973B6" w:rsidRDefault="000C0F69" w:rsidP="006973B6">
      <w:pPr>
        <w:pStyle w:val="Sprotnaopomba-besedilo"/>
        <w:spacing w:after="120"/>
        <w:rPr>
          <w:rFonts w:ascii="Arial" w:hAnsi="Arial" w:cs="Arial"/>
        </w:rPr>
      </w:pPr>
      <w:r w:rsidRPr="006973B6">
        <w:rPr>
          <w:rStyle w:val="Sprotnaopomba-sklic"/>
          <w:rFonts w:ascii="Arial" w:hAnsi="Arial" w:cs="Arial"/>
        </w:rPr>
        <w:footnoteRef/>
      </w:r>
      <w:r w:rsidRPr="006973B6">
        <w:rPr>
          <w:rFonts w:ascii="Arial" w:hAnsi="Arial" w:cs="Arial"/>
        </w:rPr>
        <w:t xml:space="preserve"> Glej </w:t>
      </w:r>
      <w:r w:rsidR="00716706" w:rsidRPr="006973B6">
        <w:rPr>
          <w:rFonts w:ascii="Arial" w:hAnsi="Arial" w:cs="Arial"/>
        </w:rPr>
        <w:t xml:space="preserve">zahtevo </w:t>
      </w:r>
      <w:r w:rsidRPr="006973B6">
        <w:rPr>
          <w:rFonts w:ascii="Arial" w:hAnsi="Arial" w:cs="Arial"/>
        </w:rPr>
        <w:t>TS1</w:t>
      </w:r>
      <w:r w:rsidR="00326B89" w:rsidRPr="006973B6">
        <w:rPr>
          <w:rFonts w:ascii="Arial" w:hAnsi="Arial" w:cs="Arial"/>
        </w:rPr>
        <w:t>0</w:t>
      </w:r>
      <w:r w:rsidRPr="006973B6">
        <w:rPr>
          <w:rFonts w:ascii="Arial" w:hAnsi="Arial" w:cs="Arial"/>
        </w:rPr>
        <w:t xml:space="preserve"> v teh Primerih</w:t>
      </w:r>
      <w:r w:rsidR="00716706" w:rsidRPr="006973B6">
        <w:rPr>
          <w:rFonts w:ascii="Arial" w:hAnsi="Arial" w:cs="Arial"/>
        </w:rPr>
        <w:t xml:space="preserve">, ki je navedena z </w:t>
      </w:r>
      <w:r w:rsidR="00716706" w:rsidRPr="006973B6">
        <w:rPr>
          <w:rFonts w:ascii="Arial" w:hAnsi="Arial" w:cs="Arial"/>
          <w:color w:val="EE0000"/>
        </w:rPr>
        <w:t>rdečo</w:t>
      </w:r>
      <w:r w:rsidR="00716706" w:rsidRPr="006973B6">
        <w:rPr>
          <w:rFonts w:ascii="Arial" w:hAnsi="Arial" w:cs="Arial"/>
        </w:rPr>
        <w:t xml:space="preserve"> pisavo.</w:t>
      </w:r>
    </w:p>
  </w:footnote>
  <w:footnote w:id="2">
    <w:p w14:paraId="43AAFAE4" w14:textId="0C4B7739" w:rsidR="000C0F69" w:rsidRPr="006973B6" w:rsidRDefault="000C0F69" w:rsidP="006973B6">
      <w:pPr>
        <w:pStyle w:val="Sprotnaopomba-besedilo"/>
        <w:spacing w:after="120"/>
        <w:rPr>
          <w:rFonts w:ascii="Arial" w:hAnsi="Arial" w:cs="Arial"/>
        </w:rPr>
      </w:pPr>
      <w:r w:rsidRPr="006973B6">
        <w:rPr>
          <w:rStyle w:val="Sprotnaopomba-sklic"/>
          <w:rFonts w:ascii="Arial" w:hAnsi="Arial" w:cs="Arial"/>
        </w:rPr>
        <w:footnoteRef/>
      </w:r>
      <w:r w:rsidRPr="006973B6">
        <w:rPr>
          <w:rFonts w:ascii="Arial" w:hAnsi="Arial" w:cs="Arial"/>
        </w:rPr>
        <w:t xml:space="preserve"> Glej </w:t>
      </w:r>
      <w:r w:rsidR="00716706" w:rsidRPr="006973B6">
        <w:rPr>
          <w:rFonts w:ascii="Arial" w:hAnsi="Arial" w:cs="Arial"/>
        </w:rPr>
        <w:t xml:space="preserve">zahtevo </w:t>
      </w:r>
      <w:r w:rsidRPr="006973B6">
        <w:rPr>
          <w:rFonts w:ascii="Arial" w:hAnsi="Arial" w:cs="Arial"/>
        </w:rPr>
        <w:t>TS</w:t>
      </w:r>
      <w:r w:rsidR="00326B89" w:rsidRPr="006973B6">
        <w:rPr>
          <w:rFonts w:ascii="Arial" w:hAnsi="Arial" w:cs="Arial"/>
        </w:rPr>
        <w:t>7</w:t>
      </w:r>
      <w:r w:rsidRPr="006973B6">
        <w:rPr>
          <w:rFonts w:ascii="Arial" w:hAnsi="Arial" w:cs="Arial"/>
        </w:rPr>
        <w:t xml:space="preserve"> v teh Primerih</w:t>
      </w:r>
      <w:r w:rsidR="00716706" w:rsidRPr="006973B6">
        <w:rPr>
          <w:rFonts w:ascii="Arial" w:hAnsi="Arial" w:cs="Arial"/>
        </w:rPr>
        <w:t xml:space="preserve">, ki je navedena z </w:t>
      </w:r>
      <w:r w:rsidR="00716706" w:rsidRPr="006973B6">
        <w:rPr>
          <w:rFonts w:ascii="Arial" w:hAnsi="Arial" w:cs="Arial"/>
          <w:color w:val="EE0000"/>
        </w:rPr>
        <w:t>rdečo</w:t>
      </w:r>
      <w:r w:rsidR="00716706" w:rsidRPr="006973B6">
        <w:rPr>
          <w:rFonts w:ascii="Arial" w:hAnsi="Arial" w:cs="Arial"/>
        </w:rPr>
        <w:t xml:space="preserve"> pisavo</w:t>
      </w:r>
      <w:r w:rsidRPr="006973B6">
        <w:rPr>
          <w:rFonts w:ascii="Arial" w:hAnsi="Arial" w:cs="Arial"/>
        </w:rPr>
        <w:t>.</w:t>
      </w:r>
    </w:p>
  </w:footnote>
  <w:footnote w:id="3">
    <w:p w14:paraId="120CADF6" w14:textId="68F2B4BA" w:rsidR="000C0F69" w:rsidRPr="006973B6" w:rsidRDefault="000C0F69" w:rsidP="006973B6">
      <w:pPr>
        <w:pStyle w:val="Sprotnaopomba-besedilo"/>
        <w:spacing w:after="120"/>
        <w:rPr>
          <w:rFonts w:ascii="Arial" w:hAnsi="Arial" w:cs="Arial"/>
        </w:rPr>
      </w:pPr>
      <w:r w:rsidRPr="006973B6">
        <w:rPr>
          <w:rStyle w:val="Sprotnaopomba-sklic"/>
          <w:rFonts w:ascii="Arial" w:hAnsi="Arial" w:cs="Arial"/>
        </w:rPr>
        <w:footnoteRef/>
      </w:r>
      <w:r w:rsidRPr="006973B6">
        <w:rPr>
          <w:rFonts w:ascii="Arial" w:hAnsi="Arial" w:cs="Arial"/>
        </w:rPr>
        <w:t xml:space="preserve"> Glej </w:t>
      </w:r>
      <w:r w:rsidR="00716706" w:rsidRPr="006973B6">
        <w:rPr>
          <w:rFonts w:ascii="Arial" w:hAnsi="Arial" w:cs="Arial"/>
        </w:rPr>
        <w:t xml:space="preserve">zahtevo </w:t>
      </w:r>
      <w:r w:rsidRPr="006973B6">
        <w:rPr>
          <w:rFonts w:ascii="Arial" w:hAnsi="Arial" w:cs="Arial"/>
        </w:rPr>
        <w:t>TS</w:t>
      </w:r>
      <w:r w:rsidR="00326B89" w:rsidRPr="006973B6">
        <w:rPr>
          <w:rFonts w:ascii="Arial" w:hAnsi="Arial" w:cs="Arial"/>
        </w:rPr>
        <w:t>4</w:t>
      </w:r>
      <w:r w:rsidRPr="006973B6">
        <w:rPr>
          <w:rFonts w:ascii="Arial" w:hAnsi="Arial" w:cs="Arial"/>
        </w:rPr>
        <w:t xml:space="preserve"> v teh Primerih</w:t>
      </w:r>
      <w:r w:rsidR="00716706" w:rsidRPr="006973B6">
        <w:rPr>
          <w:rFonts w:ascii="Arial" w:hAnsi="Arial" w:cs="Arial"/>
        </w:rPr>
        <w:t xml:space="preserve">, ki je navedena z </w:t>
      </w:r>
      <w:r w:rsidR="00716706" w:rsidRPr="006973B6">
        <w:rPr>
          <w:rFonts w:ascii="Arial" w:hAnsi="Arial" w:cs="Arial"/>
          <w:color w:val="EE0000"/>
        </w:rPr>
        <w:t>rdečo</w:t>
      </w:r>
      <w:r w:rsidR="00716706" w:rsidRPr="006973B6">
        <w:rPr>
          <w:rFonts w:ascii="Arial" w:hAnsi="Arial" w:cs="Arial"/>
        </w:rPr>
        <w:t xml:space="preserve"> pisavo</w:t>
      </w:r>
      <w:r w:rsidRPr="006973B6">
        <w:rPr>
          <w:rFonts w:ascii="Arial" w:hAnsi="Arial" w:cs="Arial"/>
        </w:rPr>
        <w:t>.</w:t>
      </w:r>
    </w:p>
  </w:footnote>
  <w:footnote w:id="4">
    <w:p w14:paraId="2B1C0BF0" w14:textId="56B548D2" w:rsidR="00052D22" w:rsidRPr="006973B6" w:rsidRDefault="00052D22" w:rsidP="00E46D6F">
      <w:pPr>
        <w:pStyle w:val="Sprotnaopomba-besedilo"/>
        <w:spacing w:after="120"/>
        <w:jc w:val="both"/>
        <w:rPr>
          <w:rFonts w:ascii="Arial" w:hAnsi="Arial" w:cs="Arial"/>
        </w:rPr>
      </w:pPr>
      <w:r w:rsidRPr="006973B6">
        <w:rPr>
          <w:rStyle w:val="Sprotnaopomba-sklic"/>
          <w:rFonts w:ascii="Arial" w:hAnsi="Arial" w:cs="Arial"/>
        </w:rPr>
        <w:footnoteRef/>
      </w:r>
      <w:r w:rsidRPr="006973B6">
        <w:rPr>
          <w:rFonts w:ascii="Arial" w:hAnsi="Arial" w:cs="Arial"/>
        </w:rPr>
        <w:t xml:space="preserve"> </w:t>
      </w:r>
      <w:r w:rsidR="00AB0349" w:rsidRPr="00E46D6F">
        <w:rPr>
          <w:rFonts w:ascii="Arial" w:hAnsi="Arial" w:cs="Arial"/>
          <w:color w:val="EE0000"/>
        </w:rPr>
        <w:t>Pomembno opozorilo:</w:t>
      </w:r>
      <w:r w:rsidR="00AB0349" w:rsidRPr="006973B6">
        <w:rPr>
          <w:rFonts w:ascii="Arial" w:hAnsi="Arial" w:cs="Arial"/>
        </w:rPr>
        <w:t xml:space="preserve"> </w:t>
      </w:r>
      <w:r w:rsidR="00B8487C" w:rsidRPr="006973B6">
        <w:rPr>
          <w:rFonts w:ascii="Arial" w:hAnsi="Arial" w:cs="Arial"/>
        </w:rPr>
        <w:t>V Uredbi o spremembah in dopolnitvah Uredbe o zelenem javnem naročanju (Uradni list RS, št. 42/2025) je g</w:t>
      </w:r>
      <w:r w:rsidR="00AB0349" w:rsidRPr="006973B6">
        <w:rPr>
          <w:rFonts w:ascii="Arial" w:hAnsi="Arial" w:cs="Arial"/>
        </w:rPr>
        <w:t>lede storitev v oblaku napačno zapisan cilj</w:t>
      </w:r>
      <w:r w:rsidR="00B8487C" w:rsidRPr="006973B6">
        <w:rPr>
          <w:rFonts w:ascii="Arial" w:hAnsi="Arial" w:cs="Arial"/>
        </w:rPr>
        <w:t xml:space="preserve"> na način, da </w:t>
      </w:r>
      <w:r w:rsidR="00AB0349" w:rsidRPr="006973B6">
        <w:rPr>
          <w:rFonts w:ascii="Arial" w:hAnsi="Arial" w:cs="Arial"/>
        </w:rPr>
        <w:t xml:space="preserve">mora biti </w:t>
      </w:r>
      <w:r w:rsidR="00917965" w:rsidRPr="006973B6">
        <w:rPr>
          <w:rFonts w:ascii="Arial" w:hAnsi="Arial" w:cs="Arial"/>
        </w:rPr>
        <w:t>»</w:t>
      </w:r>
      <w:r w:rsidR="00AB0349" w:rsidRPr="006973B6">
        <w:rPr>
          <w:rFonts w:ascii="Arial" w:hAnsi="Arial" w:cs="Arial"/>
        </w:rPr>
        <w:t>PUE vsaj 1,8</w:t>
      </w:r>
      <w:r w:rsidR="00917965" w:rsidRPr="006973B6">
        <w:rPr>
          <w:rFonts w:ascii="Arial" w:hAnsi="Arial" w:cs="Arial"/>
        </w:rPr>
        <w:t>«, pri čemer je</w:t>
      </w:r>
      <w:r w:rsidR="00AB0349" w:rsidRPr="006973B6">
        <w:rPr>
          <w:rFonts w:ascii="Arial" w:hAnsi="Arial" w:cs="Arial"/>
        </w:rPr>
        <w:t xml:space="preserve"> </w:t>
      </w:r>
      <w:r w:rsidR="00917965" w:rsidRPr="006973B6">
        <w:rPr>
          <w:rFonts w:ascii="Arial" w:hAnsi="Arial" w:cs="Arial"/>
        </w:rPr>
        <w:t>p</w:t>
      </w:r>
      <w:r w:rsidR="00AB0349" w:rsidRPr="006973B6">
        <w:rPr>
          <w:rFonts w:ascii="Arial" w:hAnsi="Arial" w:cs="Arial"/>
        </w:rPr>
        <w:t xml:space="preserve">ravilno </w:t>
      </w:r>
      <w:r w:rsidR="00917965" w:rsidRPr="006973B6">
        <w:rPr>
          <w:rFonts w:ascii="Arial" w:hAnsi="Arial" w:cs="Arial"/>
        </w:rPr>
        <w:t>»</w:t>
      </w:r>
      <w:r w:rsidR="00AB0349" w:rsidRPr="006973B6">
        <w:rPr>
          <w:rFonts w:ascii="Arial" w:hAnsi="Arial" w:cs="Arial"/>
        </w:rPr>
        <w:t>1,8 ali manj</w:t>
      </w:r>
      <w:r w:rsidR="00917965" w:rsidRPr="006973B6">
        <w:rPr>
          <w:rFonts w:ascii="Arial" w:hAnsi="Arial" w:cs="Arial"/>
        </w:rPr>
        <w:t>«,</w:t>
      </w:r>
      <w:r w:rsidR="00AB0349" w:rsidRPr="006973B6">
        <w:rPr>
          <w:rFonts w:ascii="Arial" w:hAnsi="Arial" w:cs="Arial"/>
        </w:rPr>
        <w:t xml:space="preserve"> podobno kot je naveden cilj pri podatkovnih centrih.</w:t>
      </w:r>
      <w:r w:rsidR="00917965" w:rsidRPr="006973B6">
        <w:rPr>
          <w:rFonts w:ascii="Arial" w:hAnsi="Arial" w:cs="Arial"/>
        </w:rPr>
        <w:t xml:space="preserve"> Načrtuje se popravek, v teh primerih pa</w:t>
      </w:r>
      <w:r w:rsidR="00954900" w:rsidRPr="006973B6">
        <w:rPr>
          <w:rFonts w:ascii="Arial" w:hAnsi="Arial" w:cs="Arial"/>
        </w:rPr>
        <w:t xml:space="preserve"> že</w:t>
      </w:r>
      <w:r w:rsidR="00917965" w:rsidRPr="006973B6">
        <w:rPr>
          <w:rFonts w:ascii="Arial" w:hAnsi="Arial" w:cs="Arial"/>
        </w:rPr>
        <w:t xml:space="preserve"> navajamo pravilno navedbo</w:t>
      </w:r>
      <w:r w:rsidR="00954900" w:rsidRPr="006973B6">
        <w:rPr>
          <w:rFonts w:ascii="Arial" w:hAnsi="Arial" w:cs="Arial"/>
        </w:rPr>
        <w:t>.</w:t>
      </w:r>
    </w:p>
  </w:footnote>
  <w:footnote w:id="5">
    <w:p w14:paraId="22A910D4" w14:textId="0222FA36" w:rsidR="000C0F69" w:rsidRPr="006973B6" w:rsidRDefault="000C0F69" w:rsidP="006973B6">
      <w:pPr>
        <w:pStyle w:val="Sprotnaopomba-besedilo"/>
        <w:spacing w:after="120"/>
        <w:rPr>
          <w:rFonts w:ascii="Arial" w:hAnsi="Arial" w:cs="Arial"/>
        </w:rPr>
      </w:pPr>
      <w:r w:rsidRPr="006973B6">
        <w:rPr>
          <w:rStyle w:val="Sprotnaopomba-sklic"/>
          <w:rFonts w:ascii="Arial" w:hAnsi="Arial" w:cs="Arial"/>
        </w:rPr>
        <w:footnoteRef/>
      </w:r>
      <w:r w:rsidRPr="006973B6">
        <w:rPr>
          <w:rFonts w:ascii="Arial" w:hAnsi="Arial" w:cs="Arial"/>
        </w:rPr>
        <w:t xml:space="preserve"> Glej </w:t>
      </w:r>
      <w:r w:rsidR="00716706" w:rsidRPr="006973B6">
        <w:rPr>
          <w:rFonts w:ascii="Arial" w:hAnsi="Arial" w:cs="Arial"/>
        </w:rPr>
        <w:t>zahtevo TS1</w:t>
      </w:r>
      <w:r w:rsidR="00811266" w:rsidRPr="006973B6">
        <w:rPr>
          <w:rFonts w:ascii="Arial" w:hAnsi="Arial" w:cs="Arial"/>
        </w:rPr>
        <w:t>1</w:t>
      </w:r>
      <w:r w:rsidR="00716706" w:rsidRPr="006973B6">
        <w:rPr>
          <w:rFonts w:ascii="Arial" w:hAnsi="Arial" w:cs="Arial"/>
        </w:rPr>
        <w:t xml:space="preserve"> v teh Primerih, ki je navedena z </w:t>
      </w:r>
      <w:r w:rsidR="00716706" w:rsidRPr="00E46D6F">
        <w:rPr>
          <w:rFonts w:ascii="Arial" w:hAnsi="Arial" w:cs="Arial"/>
          <w:color w:val="EE0000"/>
        </w:rPr>
        <w:t>rdečo</w:t>
      </w:r>
      <w:r w:rsidR="00716706" w:rsidRPr="006973B6">
        <w:rPr>
          <w:rFonts w:ascii="Arial" w:hAnsi="Arial" w:cs="Arial"/>
        </w:rPr>
        <w:t xml:space="preserve"> pisavo.</w:t>
      </w:r>
    </w:p>
  </w:footnote>
  <w:footnote w:id="6">
    <w:p w14:paraId="2470DD40" w14:textId="24F78CC5" w:rsidR="00747B10" w:rsidRPr="006973B6" w:rsidRDefault="00747B10" w:rsidP="006973B6">
      <w:pPr>
        <w:pStyle w:val="Sprotnaopomba-besedilo"/>
        <w:spacing w:after="120"/>
        <w:rPr>
          <w:rFonts w:ascii="Arial" w:hAnsi="Arial" w:cs="Arial"/>
        </w:rPr>
      </w:pPr>
      <w:r w:rsidRPr="006973B6">
        <w:rPr>
          <w:rStyle w:val="Sprotnaopomba-sklic"/>
          <w:rFonts w:ascii="Arial" w:hAnsi="Arial" w:cs="Arial"/>
        </w:rPr>
        <w:footnoteRef/>
      </w:r>
      <w:r w:rsidRPr="006973B6">
        <w:rPr>
          <w:rFonts w:ascii="Arial" w:hAnsi="Arial" w:cs="Arial"/>
        </w:rPr>
        <w:t xml:space="preserve"> </w:t>
      </w:r>
      <w:r w:rsidR="004A56FA" w:rsidRPr="006973B6">
        <w:rPr>
          <w:rFonts w:ascii="Arial" w:hAnsi="Arial" w:cs="Arial"/>
        </w:rPr>
        <w:t xml:space="preserve">UL L 74, 18.3.2019, </w:t>
      </w:r>
      <w:r w:rsidR="00286EB7" w:rsidRPr="006973B6">
        <w:rPr>
          <w:rFonts w:ascii="Arial" w:hAnsi="Arial" w:cs="Arial"/>
        </w:rPr>
        <w:t>str</w:t>
      </w:r>
      <w:r w:rsidR="004A56FA" w:rsidRPr="006973B6">
        <w:rPr>
          <w:rFonts w:ascii="Arial" w:hAnsi="Arial" w:cs="Arial"/>
        </w:rPr>
        <w:t>. 46–66, k</w:t>
      </w:r>
      <w:r w:rsidRPr="006973B6">
        <w:rPr>
          <w:rFonts w:ascii="Arial" w:hAnsi="Arial" w:cs="Arial"/>
        </w:rPr>
        <w:t xml:space="preserve">onsolidirana različica na dan </w:t>
      </w:r>
      <w:r w:rsidR="008D6B38" w:rsidRPr="006973B6">
        <w:rPr>
          <w:rFonts w:ascii="Arial" w:hAnsi="Arial" w:cs="Arial"/>
        </w:rPr>
        <w:t>4</w:t>
      </w:r>
      <w:r w:rsidRPr="006973B6">
        <w:rPr>
          <w:rFonts w:ascii="Arial" w:hAnsi="Arial" w:cs="Arial"/>
        </w:rPr>
        <w:t xml:space="preserve">. </w:t>
      </w:r>
      <w:r w:rsidR="008D6B38" w:rsidRPr="006973B6">
        <w:rPr>
          <w:rFonts w:ascii="Arial" w:hAnsi="Arial" w:cs="Arial"/>
        </w:rPr>
        <w:t>9</w:t>
      </w:r>
      <w:r w:rsidRPr="006973B6">
        <w:rPr>
          <w:rFonts w:ascii="Arial" w:hAnsi="Arial" w:cs="Arial"/>
        </w:rPr>
        <w:t>. 202</w:t>
      </w:r>
      <w:r w:rsidR="008D6B38" w:rsidRPr="006973B6">
        <w:rPr>
          <w:rFonts w:ascii="Arial" w:hAnsi="Arial" w:cs="Arial"/>
        </w:rPr>
        <w:t>5</w:t>
      </w:r>
      <w:r w:rsidRPr="006973B6">
        <w:rPr>
          <w:rFonts w:ascii="Arial" w:hAnsi="Arial" w:cs="Arial"/>
        </w:rPr>
        <w:t xml:space="preserve"> se nahaja na strani: </w:t>
      </w:r>
      <w:hyperlink r:id="rId1" w:history="1">
        <w:r w:rsidRPr="006973B6">
          <w:rPr>
            <w:rStyle w:val="Hiperpovezava"/>
            <w:rFonts w:ascii="Arial" w:hAnsi="Arial" w:cs="Arial"/>
          </w:rPr>
          <w:t>https://eur-lex.europa.eu/legal-content/EN/TXT/?uri=CELEX%3A02019R0424-20210501</w:t>
        </w:r>
      </w:hyperlink>
      <w:r w:rsidRPr="006973B6">
        <w:rPr>
          <w:rFonts w:ascii="Arial" w:hAnsi="Arial" w:cs="Arial"/>
        </w:rPr>
        <w:t xml:space="preserve"> </w:t>
      </w:r>
    </w:p>
  </w:footnote>
  <w:footnote w:id="7">
    <w:p w14:paraId="75E24F69" w14:textId="103B8A34" w:rsidR="00A856F8" w:rsidRPr="006973B6" w:rsidRDefault="005C6DB7" w:rsidP="006973B6">
      <w:pPr>
        <w:pStyle w:val="Sprotnaopomba-besedilo"/>
        <w:spacing w:after="120"/>
        <w:rPr>
          <w:rFonts w:ascii="Arial" w:hAnsi="Arial" w:cs="Arial"/>
        </w:rPr>
      </w:pPr>
      <w:r w:rsidRPr="006973B6">
        <w:rPr>
          <w:rStyle w:val="Sprotnaopomba-sklic"/>
          <w:rFonts w:ascii="Arial" w:hAnsi="Arial" w:cs="Arial"/>
        </w:rPr>
        <w:footnoteRef/>
      </w:r>
      <w:r w:rsidRPr="006973B6">
        <w:rPr>
          <w:rFonts w:ascii="Arial" w:hAnsi="Arial" w:cs="Arial"/>
        </w:rPr>
        <w:t xml:space="preserve"> </w:t>
      </w:r>
      <w:r w:rsidR="004A56FA" w:rsidRPr="006973B6">
        <w:rPr>
          <w:rFonts w:ascii="Arial" w:hAnsi="Arial" w:cs="Arial"/>
        </w:rPr>
        <w:t>UL L 231, 20/09/2023, str. 1–111, n</w:t>
      </w:r>
      <w:r w:rsidRPr="006973B6">
        <w:rPr>
          <w:rFonts w:ascii="Arial" w:hAnsi="Arial" w:cs="Arial"/>
        </w:rPr>
        <w:t xml:space="preserve">a strani: </w:t>
      </w:r>
      <w:hyperlink r:id="rId2" w:history="1">
        <w:r w:rsidRPr="006973B6">
          <w:rPr>
            <w:rStyle w:val="Hiperpovezava"/>
            <w:rFonts w:ascii="Arial" w:hAnsi="Arial" w:cs="Arial"/>
          </w:rPr>
          <w:t>https://eur-lex.europa.eu/legal-content/sl/TXT/?uri=CELEX%3A32023L1791</w:t>
        </w:r>
      </w:hyperlink>
      <w:r w:rsidRPr="006973B6">
        <w:rPr>
          <w:rFonts w:ascii="Arial" w:hAnsi="Arial" w:cs="Arial"/>
        </w:rPr>
        <w:t xml:space="preserve"> </w:t>
      </w:r>
    </w:p>
  </w:footnote>
  <w:footnote w:id="8">
    <w:p w14:paraId="31260E27" w14:textId="77777777" w:rsidR="00C93E9C" w:rsidRPr="006973B6" w:rsidRDefault="00C93E9C" w:rsidP="006973B6">
      <w:pPr>
        <w:pStyle w:val="Sprotnaopomba-besedilo"/>
        <w:spacing w:after="120"/>
        <w:jc w:val="both"/>
        <w:rPr>
          <w:rFonts w:ascii="Arial" w:hAnsi="Arial" w:cs="Arial"/>
        </w:rPr>
      </w:pPr>
      <w:r w:rsidRPr="006973B6">
        <w:rPr>
          <w:rStyle w:val="Sprotnaopomba-sklic"/>
          <w:rFonts w:ascii="Arial" w:hAnsi="Arial" w:cs="Arial"/>
        </w:rPr>
        <w:footnoteRef/>
      </w:r>
      <w:r w:rsidRPr="006973B6">
        <w:rPr>
          <w:rFonts w:ascii="Arial" w:hAnsi="Arial" w:cs="Arial"/>
        </w:rPr>
        <w:t xml:space="preserve">  To lahko vključuje virtualizacijo in optimizacijo shranjenih podatkov s komprimiranjem, deduplikacijo podatkov, sprotno dodelitvijo potrebnega pomnilnega prostora, porazdeljeno replikacijo podatkov na oddaljeno lokacijo in s sistemi shranjevanja podatkov, določenimi s programsko opremo.</w:t>
      </w:r>
    </w:p>
    <w:p w14:paraId="1BF9AA57" w14:textId="77777777" w:rsidR="00C93E9C" w:rsidRPr="006973B6" w:rsidRDefault="00C93E9C" w:rsidP="006973B6">
      <w:pPr>
        <w:pStyle w:val="Sprotnaopomba-besedilo"/>
        <w:spacing w:after="120"/>
        <w:rPr>
          <w:rFonts w:ascii="Arial" w:hAnsi="Arial" w:cs="Arial"/>
        </w:rPr>
      </w:pPr>
    </w:p>
  </w:footnote>
  <w:footnote w:id="9">
    <w:p w14:paraId="4B5949FC" w14:textId="006E7968" w:rsidR="00233A8D" w:rsidRPr="006973B6" w:rsidRDefault="00233A8D" w:rsidP="006973B6">
      <w:pPr>
        <w:pStyle w:val="Sprotnaopomba-besedilo"/>
        <w:spacing w:after="120"/>
        <w:rPr>
          <w:rFonts w:ascii="Arial" w:hAnsi="Arial" w:cs="Arial"/>
        </w:rPr>
      </w:pPr>
      <w:r w:rsidRPr="006973B6">
        <w:rPr>
          <w:rStyle w:val="Sprotnaopomba-sklic"/>
          <w:rFonts w:ascii="Arial" w:hAnsi="Arial" w:cs="Arial"/>
        </w:rPr>
        <w:footnoteRef/>
      </w:r>
      <w:r w:rsidRPr="006973B6">
        <w:rPr>
          <w:rFonts w:ascii="Arial" w:hAnsi="Arial" w:cs="Arial"/>
        </w:rPr>
        <w:t xml:space="preserve"> Naročniki naj uporabijo </w:t>
      </w:r>
      <w:r w:rsidR="00B47836" w:rsidRPr="006973B6">
        <w:rPr>
          <w:rFonts w:ascii="Arial" w:hAnsi="Arial" w:cs="Arial"/>
        </w:rPr>
        <w:t xml:space="preserve">besedo </w:t>
      </w:r>
      <w:r w:rsidRPr="006973B6">
        <w:rPr>
          <w:rFonts w:ascii="Arial" w:hAnsi="Arial" w:cs="Arial"/>
        </w:rPr>
        <w:t xml:space="preserve">»vsaj«, v kolikor se bodo odločili, da se bodo izvajale meritve zgolj zglede </w:t>
      </w:r>
      <w:r w:rsidR="00B47836" w:rsidRPr="006973B6">
        <w:rPr>
          <w:rFonts w:ascii="Arial" w:hAnsi="Arial" w:cs="Arial"/>
        </w:rPr>
        <w:t>kazalnikov, ki so po Uredbi o ZeJN obvezni.</w:t>
      </w:r>
    </w:p>
  </w:footnote>
  <w:footnote w:id="10">
    <w:p w14:paraId="63640E43" w14:textId="74BD6125" w:rsidR="00B9225D" w:rsidRPr="006973B6" w:rsidRDefault="00B9225D" w:rsidP="006973B6">
      <w:pPr>
        <w:pStyle w:val="Sprotnaopomba-besedilo"/>
        <w:spacing w:after="120"/>
        <w:rPr>
          <w:rFonts w:ascii="Arial" w:hAnsi="Arial" w:cs="Arial"/>
        </w:rPr>
      </w:pPr>
      <w:r w:rsidRPr="006973B6">
        <w:rPr>
          <w:rStyle w:val="Sprotnaopomba-sklic"/>
          <w:rFonts w:ascii="Arial" w:hAnsi="Arial" w:cs="Arial"/>
        </w:rPr>
        <w:footnoteRef/>
      </w:r>
      <w:r w:rsidRPr="006973B6">
        <w:rPr>
          <w:rFonts w:ascii="Arial" w:hAnsi="Arial" w:cs="Arial"/>
        </w:rPr>
        <w:t xml:space="preserve"> To lahko vključuje potrošnike na isti lokaciji ali tiste, priključene na podatkovni center preko omrežja daljinskega ogrevanja.</w:t>
      </w:r>
    </w:p>
  </w:footnote>
  <w:footnote w:id="11">
    <w:p w14:paraId="17F84CDC" w14:textId="3E0784F2" w:rsidR="00CC10A6" w:rsidRPr="00D37FB9" w:rsidRDefault="00CC10A6" w:rsidP="00D37FB9">
      <w:pPr>
        <w:pStyle w:val="Sprotnaopomba-besedilo"/>
        <w:spacing w:after="120"/>
        <w:jc w:val="both"/>
        <w:rPr>
          <w:rFonts w:ascii="Arial" w:hAnsi="Arial" w:cs="Arial"/>
          <w:sz w:val="18"/>
          <w:szCs w:val="18"/>
        </w:rPr>
      </w:pPr>
      <w:r w:rsidRPr="006973B6">
        <w:rPr>
          <w:rStyle w:val="Sprotnaopomba-sklic"/>
          <w:rFonts w:ascii="Arial" w:hAnsi="Arial" w:cs="Arial"/>
        </w:rPr>
        <w:footnoteRef/>
      </w:r>
      <w:r w:rsidRPr="006973B6">
        <w:rPr>
          <w:rFonts w:ascii="Arial" w:hAnsi="Arial" w:cs="Arial"/>
        </w:rPr>
        <w:t xml:space="preserve"> </w:t>
      </w:r>
      <w:r w:rsidRPr="00D37FB9">
        <w:rPr>
          <w:rFonts w:ascii="Arial" w:hAnsi="Arial" w:cs="Arial"/>
          <w:sz w:val="18"/>
          <w:szCs w:val="18"/>
        </w:rPr>
        <w:t>EVROPSKI STANDARD EN 50600-4-3 - Informacijska tehnologija – zmogljivosti in infrastrukture podatkovnega centra – del 4–3: faktor energije iz obnovljivih virov.</w:t>
      </w:r>
    </w:p>
  </w:footnote>
  <w:footnote w:id="12">
    <w:p w14:paraId="2EA31F9A" w14:textId="417779A6" w:rsidR="00CC10A6" w:rsidRPr="00D37FB9" w:rsidRDefault="00CC10A6" w:rsidP="00D37FB9">
      <w:pPr>
        <w:pStyle w:val="Sprotnaopomba-besedilo"/>
        <w:spacing w:after="120"/>
        <w:jc w:val="both"/>
        <w:rPr>
          <w:rFonts w:ascii="Arial" w:hAnsi="Arial" w:cs="Arial"/>
          <w:sz w:val="18"/>
          <w:szCs w:val="18"/>
        </w:rPr>
      </w:pPr>
      <w:r w:rsidRPr="00D37FB9">
        <w:rPr>
          <w:rStyle w:val="Sprotnaopomba-sklic"/>
          <w:rFonts w:ascii="Arial" w:hAnsi="Arial" w:cs="Arial"/>
          <w:sz w:val="18"/>
          <w:szCs w:val="18"/>
        </w:rPr>
        <w:footnoteRef/>
      </w:r>
      <w:r w:rsidRPr="00D37FB9">
        <w:rPr>
          <w:rFonts w:ascii="Arial" w:hAnsi="Arial" w:cs="Arial"/>
          <w:sz w:val="18"/>
          <w:szCs w:val="18"/>
        </w:rPr>
        <w:t xml:space="preserve"> Direktiva 2009/28/ES Evropskega parlamenta in Sveta z dne 23. aprila 2009 o spodbujanju uporabe energije iz obnovljivih virov. Od 30. junija 2021 se bo uporabljala opredelitev pojma energije iz obnovljivih virov, kakor je določena v Direktivi 2018/2001/EU o razveljavitvi Direktive 2009/28/ES.  </w:t>
      </w:r>
    </w:p>
  </w:footnote>
  <w:footnote w:id="13">
    <w:p w14:paraId="3EA56F7A" w14:textId="59F89B38" w:rsidR="0004687D" w:rsidRPr="00D37FB9" w:rsidRDefault="0004687D" w:rsidP="006973B6">
      <w:pPr>
        <w:pStyle w:val="Sprotnaopomba-besedilo"/>
        <w:spacing w:after="120"/>
        <w:jc w:val="both"/>
        <w:rPr>
          <w:rFonts w:ascii="Arial" w:hAnsi="Arial" w:cs="Arial"/>
          <w:sz w:val="18"/>
          <w:szCs w:val="18"/>
        </w:rPr>
      </w:pPr>
      <w:r w:rsidRPr="006973B6">
        <w:rPr>
          <w:rStyle w:val="Sprotnaopomba-sklic"/>
          <w:rFonts w:ascii="Arial" w:hAnsi="Arial" w:cs="Arial"/>
        </w:rPr>
        <w:footnoteRef/>
      </w:r>
      <w:r w:rsidRPr="006973B6">
        <w:rPr>
          <w:rFonts w:ascii="Arial" w:hAnsi="Arial" w:cs="Arial"/>
        </w:rPr>
        <w:t xml:space="preserve"> </w:t>
      </w:r>
      <w:r w:rsidRPr="00D37FB9">
        <w:rPr>
          <w:rFonts w:ascii="Arial" w:hAnsi="Arial" w:cs="Arial"/>
          <w:sz w:val="18"/>
          <w:szCs w:val="18"/>
        </w:rPr>
        <w:t xml:space="preserve">V </w:t>
      </w:r>
      <w:r w:rsidR="000B1B94">
        <w:rPr>
          <w:rFonts w:ascii="Arial" w:hAnsi="Arial" w:cs="Arial"/>
          <w:sz w:val="18"/>
          <w:szCs w:val="18"/>
        </w:rPr>
        <w:t xml:space="preserve">času objave (oktober 2025) </w:t>
      </w:r>
      <w:r w:rsidRPr="00D37FB9">
        <w:rPr>
          <w:rFonts w:ascii="Arial" w:hAnsi="Arial" w:cs="Arial"/>
          <w:sz w:val="18"/>
          <w:szCs w:val="18"/>
        </w:rPr>
        <w:t>se naslednje sheme skladnosti štejejo kot sheme skladnosti, ki izpolnjujejo te zahteve: WEEELABEX:2011 zahteva za predelavo OEEO'; 'Responsible Recycling' (R2:2013) standard za podjetja za recikliranje elektronike; e-Stewards standard 2.0 za razumno recikliranje in ponovno uporabo elektronske opreme; avstralski/novozelandski standard AS/NZS 5377:2013 o „zbiranju, skladiščenju, prevozu in obdelavi izrabljene električne in elektronske opreme“</w:t>
      </w:r>
      <w:r w:rsidR="00757EE1" w:rsidRPr="00D37FB9">
        <w:rPr>
          <w:rFonts w:ascii="Arial" w:hAnsi="Arial" w:cs="Arial"/>
          <w:sz w:val="18"/>
          <w:szCs w:val="18"/>
        </w:rPr>
        <w:t>.</w:t>
      </w:r>
      <w:r w:rsidRPr="00D37FB9">
        <w:rPr>
          <w:rFonts w:ascii="Arial" w:hAnsi="Arial" w:cs="Arial"/>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723B3"/>
    <w:multiLevelType w:val="hybridMultilevel"/>
    <w:tmpl w:val="8F86695E"/>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79631BF"/>
    <w:multiLevelType w:val="hybridMultilevel"/>
    <w:tmpl w:val="6BF88130"/>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9344D9A"/>
    <w:multiLevelType w:val="hybridMultilevel"/>
    <w:tmpl w:val="57F82CAE"/>
    <w:lvl w:ilvl="0" w:tplc="EC62245A">
      <w:start w:val="3"/>
      <w:numFmt w:val="bullet"/>
      <w:lvlText w:val="-"/>
      <w:lvlJc w:val="left"/>
      <w:pPr>
        <w:ind w:left="720" w:hanging="360"/>
      </w:pPr>
      <w:rPr>
        <w:rFonts w:ascii="Arial" w:eastAsiaTheme="minorHAnsi"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9D431C7"/>
    <w:multiLevelType w:val="hybridMultilevel"/>
    <w:tmpl w:val="5CEEA39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EE215F5"/>
    <w:multiLevelType w:val="hybridMultilevel"/>
    <w:tmpl w:val="2FB47908"/>
    <w:lvl w:ilvl="0" w:tplc="AD809A8A">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64D3A63"/>
    <w:multiLevelType w:val="hybridMultilevel"/>
    <w:tmpl w:val="4E28C8F2"/>
    <w:lvl w:ilvl="0" w:tplc="910AC880">
      <w:start w:val="1"/>
      <w:numFmt w:val="bullet"/>
      <w:lvlText w:val=""/>
      <w:lvlJc w:val="left"/>
      <w:pPr>
        <w:ind w:left="1080" w:hanging="360"/>
      </w:pPr>
      <w:rPr>
        <w:rFonts w:ascii="Symbol" w:hAnsi="Symbol"/>
      </w:rPr>
    </w:lvl>
    <w:lvl w:ilvl="1" w:tplc="85BE2C10">
      <w:start w:val="1"/>
      <w:numFmt w:val="bullet"/>
      <w:lvlText w:val=""/>
      <w:lvlJc w:val="left"/>
      <w:pPr>
        <w:ind w:left="1080" w:hanging="360"/>
      </w:pPr>
      <w:rPr>
        <w:rFonts w:ascii="Symbol" w:hAnsi="Symbol"/>
      </w:rPr>
    </w:lvl>
    <w:lvl w:ilvl="2" w:tplc="BBAAF03E">
      <w:start w:val="1"/>
      <w:numFmt w:val="bullet"/>
      <w:lvlText w:val=""/>
      <w:lvlJc w:val="left"/>
      <w:pPr>
        <w:ind w:left="1080" w:hanging="360"/>
      </w:pPr>
      <w:rPr>
        <w:rFonts w:ascii="Symbol" w:hAnsi="Symbol"/>
      </w:rPr>
    </w:lvl>
    <w:lvl w:ilvl="3" w:tplc="23E430FE">
      <w:start w:val="1"/>
      <w:numFmt w:val="bullet"/>
      <w:lvlText w:val=""/>
      <w:lvlJc w:val="left"/>
      <w:pPr>
        <w:ind w:left="1080" w:hanging="360"/>
      </w:pPr>
      <w:rPr>
        <w:rFonts w:ascii="Symbol" w:hAnsi="Symbol"/>
      </w:rPr>
    </w:lvl>
    <w:lvl w:ilvl="4" w:tplc="D06EB7B8">
      <w:start w:val="1"/>
      <w:numFmt w:val="bullet"/>
      <w:lvlText w:val=""/>
      <w:lvlJc w:val="left"/>
      <w:pPr>
        <w:ind w:left="1080" w:hanging="360"/>
      </w:pPr>
      <w:rPr>
        <w:rFonts w:ascii="Symbol" w:hAnsi="Symbol"/>
      </w:rPr>
    </w:lvl>
    <w:lvl w:ilvl="5" w:tplc="88BC09C2">
      <w:start w:val="1"/>
      <w:numFmt w:val="bullet"/>
      <w:lvlText w:val=""/>
      <w:lvlJc w:val="left"/>
      <w:pPr>
        <w:ind w:left="1080" w:hanging="360"/>
      </w:pPr>
      <w:rPr>
        <w:rFonts w:ascii="Symbol" w:hAnsi="Symbol"/>
      </w:rPr>
    </w:lvl>
    <w:lvl w:ilvl="6" w:tplc="C142B3FC">
      <w:start w:val="1"/>
      <w:numFmt w:val="bullet"/>
      <w:lvlText w:val=""/>
      <w:lvlJc w:val="left"/>
      <w:pPr>
        <w:ind w:left="1080" w:hanging="360"/>
      </w:pPr>
      <w:rPr>
        <w:rFonts w:ascii="Symbol" w:hAnsi="Symbol"/>
      </w:rPr>
    </w:lvl>
    <w:lvl w:ilvl="7" w:tplc="4AFC0048">
      <w:start w:val="1"/>
      <w:numFmt w:val="bullet"/>
      <w:lvlText w:val=""/>
      <w:lvlJc w:val="left"/>
      <w:pPr>
        <w:ind w:left="1080" w:hanging="360"/>
      </w:pPr>
      <w:rPr>
        <w:rFonts w:ascii="Symbol" w:hAnsi="Symbol"/>
      </w:rPr>
    </w:lvl>
    <w:lvl w:ilvl="8" w:tplc="18AE1DCE">
      <w:start w:val="1"/>
      <w:numFmt w:val="bullet"/>
      <w:lvlText w:val=""/>
      <w:lvlJc w:val="left"/>
      <w:pPr>
        <w:ind w:left="1080" w:hanging="360"/>
      </w:pPr>
      <w:rPr>
        <w:rFonts w:ascii="Symbol" w:hAnsi="Symbol"/>
      </w:rPr>
    </w:lvl>
  </w:abstractNum>
  <w:abstractNum w:abstractNumId="6" w15:restartNumberingAfterBreak="0">
    <w:nsid w:val="17C22CDD"/>
    <w:multiLevelType w:val="hybridMultilevel"/>
    <w:tmpl w:val="D228E916"/>
    <w:lvl w:ilvl="0" w:tplc="FFFFFFFF">
      <w:start w:val="1"/>
      <w:numFmt w:val="decimal"/>
      <w:lvlText w:val="%1."/>
      <w:lvlJc w:val="left"/>
      <w:pPr>
        <w:ind w:left="720" w:hanging="360"/>
      </w:pPr>
      <w:rPr>
        <w:rFonts w:hint="default"/>
        <w:b/>
        <w:bCs/>
        <w:color w:val="385623" w:themeColor="accent6" w:themeShade="8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CB8747C"/>
    <w:multiLevelType w:val="hybridMultilevel"/>
    <w:tmpl w:val="FA60FDCE"/>
    <w:lvl w:ilvl="0" w:tplc="59488B22">
      <w:start w:val="1"/>
      <w:numFmt w:val="bullet"/>
      <w:lvlText w:val=""/>
      <w:lvlJc w:val="left"/>
      <w:pPr>
        <w:ind w:left="1080" w:hanging="360"/>
      </w:pPr>
      <w:rPr>
        <w:rFonts w:ascii="Symbol" w:hAnsi="Symbol"/>
      </w:rPr>
    </w:lvl>
    <w:lvl w:ilvl="1" w:tplc="1F126A04">
      <w:start w:val="1"/>
      <w:numFmt w:val="bullet"/>
      <w:lvlText w:val=""/>
      <w:lvlJc w:val="left"/>
      <w:pPr>
        <w:ind w:left="1080" w:hanging="360"/>
      </w:pPr>
      <w:rPr>
        <w:rFonts w:ascii="Symbol" w:hAnsi="Symbol"/>
      </w:rPr>
    </w:lvl>
    <w:lvl w:ilvl="2" w:tplc="93A6CC5E">
      <w:start w:val="1"/>
      <w:numFmt w:val="bullet"/>
      <w:lvlText w:val=""/>
      <w:lvlJc w:val="left"/>
      <w:pPr>
        <w:ind w:left="1080" w:hanging="360"/>
      </w:pPr>
      <w:rPr>
        <w:rFonts w:ascii="Symbol" w:hAnsi="Symbol"/>
      </w:rPr>
    </w:lvl>
    <w:lvl w:ilvl="3" w:tplc="F1A63430">
      <w:start w:val="1"/>
      <w:numFmt w:val="bullet"/>
      <w:lvlText w:val=""/>
      <w:lvlJc w:val="left"/>
      <w:pPr>
        <w:ind w:left="1080" w:hanging="360"/>
      </w:pPr>
      <w:rPr>
        <w:rFonts w:ascii="Symbol" w:hAnsi="Symbol"/>
      </w:rPr>
    </w:lvl>
    <w:lvl w:ilvl="4" w:tplc="90AECC22">
      <w:start w:val="1"/>
      <w:numFmt w:val="bullet"/>
      <w:lvlText w:val=""/>
      <w:lvlJc w:val="left"/>
      <w:pPr>
        <w:ind w:left="1080" w:hanging="360"/>
      </w:pPr>
      <w:rPr>
        <w:rFonts w:ascii="Symbol" w:hAnsi="Symbol"/>
      </w:rPr>
    </w:lvl>
    <w:lvl w:ilvl="5" w:tplc="E9E0BADE">
      <w:start w:val="1"/>
      <w:numFmt w:val="bullet"/>
      <w:lvlText w:val=""/>
      <w:lvlJc w:val="left"/>
      <w:pPr>
        <w:ind w:left="1080" w:hanging="360"/>
      </w:pPr>
      <w:rPr>
        <w:rFonts w:ascii="Symbol" w:hAnsi="Symbol"/>
      </w:rPr>
    </w:lvl>
    <w:lvl w:ilvl="6" w:tplc="4F2A894E">
      <w:start w:val="1"/>
      <w:numFmt w:val="bullet"/>
      <w:lvlText w:val=""/>
      <w:lvlJc w:val="left"/>
      <w:pPr>
        <w:ind w:left="1080" w:hanging="360"/>
      </w:pPr>
      <w:rPr>
        <w:rFonts w:ascii="Symbol" w:hAnsi="Symbol"/>
      </w:rPr>
    </w:lvl>
    <w:lvl w:ilvl="7" w:tplc="1FB828B6">
      <w:start w:val="1"/>
      <w:numFmt w:val="bullet"/>
      <w:lvlText w:val=""/>
      <w:lvlJc w:val="left"/>
      <w:pPr>
        <w:ind w:left="1080" w:hanging="360"/>
      </w:pPr>
      <w:rPr>
        <w:rFonts w:ascii="Symbol" w:hAnsi="Symbol"/>
      </w:rPr>
    </w:lvl>
    <w:lvl w:ilvl="8" w:tplc="2AB0FEFA">
      <w:start w:val="1"/>
      <w:numFmt w:val="bullet"/>
      <w:lvlText w:val=""/>
      <w:lvlJc w:val="left"/>
      <w:pPr>
        <w:ind w:left="1080" w:hanging="360"/>
      </w:pPr>
      <w:rPr>
        <w:rFonts w:ascii="Symbol" w:hAnsi="Symbol"/>
      </w:rPr>
    </w:lvl>
  </w:abstractNum>
  <w:abstractNum w:abstractNumId="8" w15:restartNumberingAfterBreak="0">
    <w:nsid w:val="1D155AC4"/>
    <w:multiLevelType w:val="hybridMultilevel"/>
    <w:tmpl w:val="CF1623B4"/>
    <w:lvl w:ilvl="0" w:tplc="AD809A8A">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D4B0BA9"/>
    <w:multiLevelType w:val="hybridMultilevel"/>
    <w:tmpl w:val="27C07A70"/>
    <w:lvl w:ilvl="0" w:tplc="EC62245A">
      <w:start w:val="3"/>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D4E7922"/>
    <w:multiLevelType w:val="hybridMultilevel"/>
    <w:tmpl w:val="FDCAF5F8"/>
    <w:lvl w:ilvl="0" w:tplc="AD809A8A">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1" w15:restartNumberingAfterBreak="0">
    <w:nsid w:val="209B0560"/>
    <w:multiLevelType w:val="hybridMultilevel"/>
    <w:tmpl w:val="CB6A24D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4B74971"/>
    <w:multiLevelType w:val="hybridMultilevel"/>
    <w:tmpl w:val="6E866200"/>
    <w:lvl w:ilvl="0" w:tplc="BE882236">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53819FE"/>
    <w:multiLevelType w:val="hybridMultilevel"/>
    <w:tmpl w:val="88246578"/>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5381A30"/>
    <w:multiLevelType w:val="hybridMultilevel"/>
    <w:tmpl w:val="AEB49AD4"/>
    <w:lvl w:ilvl="0" w:tplc="AD809A8A">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27674488"/>
    <w:multiLevelType w:val="multilevel"/>
    <w:tmpl w:val="8FE23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FC1B22"/>
    <w:multiLevelType w:val="multilevel"/>
    <w:tmpl w:val="20165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2F3100"/>
    <w:multiLevelType w:val="hybridMultilevel"/>
    <w:tmpl w:val="D87C9816"/>
    <w:lvl w:ilvl="0" w:tplc="FFFFFFFF">
      <w:start w:val="3"/>
      <w:numFmt w:val="bullet"/>
      <w:lvlText w:val="-"/>
      <w:lvlJc w:val="left"/>
      <w:pPr>
        <w:ind w:left="720" w:hanging="360"/>
      </w:pPr>
      <w:rPr>
        <w:rFonts w:ascii="Arial" w:eastAsiaTheme="minorHAnsi" w:hAnsi="Arial" w:cs="Arial" w:hint="default"/>
      </w:rPr>
    </w:lvl>
    <w:lvl w:ilvl="1" w:tplc="AD809A8A">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FAC0F8B"/>
    <w:multiLevelType w:val="hybridMultilevel"/>
    <w:tmpl w:val="52AC110E"/>
    <w:lvl w:ilvl="0" w:tplc="6DFAA924">
      <w:start w:val="1"/>
      <w:numFmt w:val="decimal"/>
      <w:lvlText w:val="%1."/>
      <w:lvlJc w:val="left"/>
      <w:pPr>
        <w:ind w:left="720" w:hanging="360"/>
      </w:pPr>
      <w:rPr>
        <w:rFonts w:hint="default"/>
        <w:b/>
        <w:bCs/>
        <w:color w:val="385623" w:themeColor="accent6" w:themeShade="80"/>
      </w:rPr>
    </w:lvl>
    <w:lvl w:ilvl="1" w:tplc="BC488F5C">
      <w:start w:val="1"/>
      <w:numFmt w:val="lowerRoman"/>
      <w:lvlText w:val="%2)"/>
      <w:lvlJc w:val="left"/>
      <w:pPr>
        <w:ind w:left="1800" w:hanging="720"/>
      </w:pPr>
      <w:rPr>
        <w:rFonts w:hint="default"/>
      </w:rPr>
    </w:lvl>
    <w:lvl w:ilvl="2" w:tplc="C70809B0">
      <w:start w:val="2"/>
      <w:numFmt w:val="bullet"/>
      <w:lvlText w:val="•"/>
      <w:lvlJc w:val="left"/>
      <w:pPr>
        <w:ind w:left="2340" w:hanging="360"/>
      </w:pPr>
      <w:rPr>
        <w:rFonts w:ascii="Arial" w:eastAsiaTheme="minorHAnsi" w:hAnsi="Arial" w:cs="Arial" w:hint="default"/>
      </w:r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31443C7E"/>
    <w:multiLevelType w:val="multilevel"/>
    <w:tmpl w:val="F5D80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717FCF"/>
    <w:multiLevelType w:val="hybridMultilevel"/>
    <w:tmpl w:val="160296DE"/>
    <w:lvl w:ilvl="0" w:tplc="66CE77A6">
      <w:start w:val="1"/>
      <w:numFmt w:val="bullet"/>
      <w:lvlText w:val=""/>
      <w:lvlJc w:val="left"/>
      <w:pPr>
        <w:ind w:left="720" w:hanging="360"/>
      </w:pPr>
      <w:rPr>
        <w:rFonts w:ascii="Symbol" w:hAnsi="Symbol"/>
      </w:rPr>
    </w:lvl>
    <w:lvl w:ilvl="1" w:tplc="B03C84BE">
      <w:start w:val="1"/>
      <w:numFmt w:val="bullet"/>
      <w:lvlText w:val=""/>
      <w:lvlJc w:val="left"/>
      <w:pPr>
        <w:ind w:left="720" w:hanging="360"/>
      </w:pPr>
      <w:rPr>
        <w:rFonts w:ascii="Symbol" w:hAnsi="Symbol"/>
      </w:rPr>
    </w:lvl>
    <w:lvl w:ilvl="2" w:tplc="D724299E">
      <w:start w:val="1"/>
      <w:numFmt w:val="bullet"/>
      <w:lvlText w:val=""/>
      <w:lvlJc w:val="left"/>
      <w:pPr>
        <w:ind w:left="720" w:hanging="360"/>
      </w:pPr>
      <w:rPr>
        <w:rFonts w:ascii="Symbol" w:hAnsi="Symbol"/>
      </w:rPr>
    </w:lvl>
    <w:lvl w:ilvl="3" w:tplc="EC1A5E36">
      <w:start w:val="1"/>
      <w:numFmt w:val="bullet"/>
      <w:lvlText w:val=""/>
      <w:lvlJc w:val="left"/>
      <w:pPr>
        <w:ind w:left="720" w:hanging="360"/>
      </w:pPr>
      <w:rPr>
        <w:rFonts w:ascii="Symbol" w:hAnsi="Symbol"/>
      </w:rPr>
    </w:lvl>
    <w:lvl w:ilvl="4" w:tplc="BE58D1EE">
      <w:start w:val="1"/>
      <w:numFmt w:val="bullet"/>
      <w:lvlText w:val=""/>
      <w:lvlJc w:val="left"/>
      <w:pPr>
        <w:ind w:left="720" w:hanging="360"/>
      </w:pPr>
      <w:rPr>
        <w:rFonts w:ascii="Symbol" w:hAnsi="Symbol"/>
      </w:rPr>
    </w:lvl>
    <w:lvl w:ilvl="5" w:tplc="230A82D4">
      <w:start w:val="1"/>
      <w:numFmt w:val="bullet"/>
      <w:lvlText w:val=""/>
      <w:lvlJc w:val="left"/>
      <w:pPr>
        <w:ind w:left="720" w:hanging="360"/>
      </w:pPr>
      <w:rPr>
        <w:rFonts w:ascii="Symbol" w:hAnsi="Symbol"/>
      </w:rPr>
    </w:lvl>
    <w:lvl w:ilvl="6" w:tplc="9516003E">
      <w:start w:val="1"/>
      <w:numFmt w:val="bullet"/>
      <w:lvlText w:val=""/>
      <w:lvlJc w:val="left"/>
      <w:pPr>
        <w:ind w:left="720" w:hanging="360"/>
      </w:pPr>
      <w:rPr>
        <w:rFonts w:ascii="Symbol" w:hAnsi="Symbol"/>
      </w:rPr>
    </w:lvl>
    <w:lvl w:ilvl="7" w:tplc="9E9C7176">
      <w:start w:val="1"/>
      <w:numFmt w:val="bullet"/>
      <w:lvlText w:val=""/>
      <w:lvlJc w:val="left"/>
      <w:pPr>
        <w:ind w:left="720" w:hanging="360"/>
      </w:pPr>
      <w:rPr>
        <w:rFonts w:ascii="Symbol" w:hAnsi="Symbol"/>
      </w:rPr>
    </w:lvl>
    <w:lvl w:ilvl="8" w:tplc="5AE6BD0E">
      <w:start w:val="1"/>
      <w:numFmt w:val="bullet"/>
      <w:lvlText w:val=""/>
      <w:lvlJc w:val="left"/>
      <w:pPr>
        <w:ind w:left="720" w:hanging="360"/>
      </w:pPr>
      <w:rPr>
        <w:rFonts w:ascii="Symbol" w:hAnsi="Symbol"/>
      </w:rPr>
    </w:lvl>
  </w:abstractNum>
  <w:abstractNum w:abstractNumId="21" w15:restartNumberingAfterBreak="0">
    <w:nsid w:val="365D491E"/>
    <w:multiLevelType w:val="multilevel"/>
    <w:tmpl w:val="982EB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C83F45"/>
    <w:multiLevelType w:val="hybridMultilevel"/>
    <w:tmpl w:val="EC1ECBAC"/>
    <w:lvl w:ilvl="0" w:tplc="AD809A8A">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3C3B5DE8"/>
    <w:multiLevelType w:val="multilevel"/>
    <w:tmpl w:val="FCDC1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891FF1"/>
    <w:multiLevelType w:val="hybridMultilevel"/>
    <w:tmpl w:val="127EBD52"/>
    <w:lvl w:ilvl="0" w:tplc="9990B824">
      <w:start w:val="1"/>
      <w:numFmt w:val="bullet"/>
      <w:lvlText w:val=""/>
      <w:lvlJc w:val="left"/>
      <w:pPr>
        <w:ind w:left="1080" w:hanging="360"/>
      </w:pPr>
      <w:rPr>
        <w:rFonts w:ascii="Symbol" w:hAnsi="Symbol"/>
      </w:rPr>
    </w:lvl>
    <w:lvl w:ilvl="1" w:tplc="E17268AE">
      <w:start w:val="1"/>
      <w:numFmt w:val="bullet"/>
      <w:lvlText w:val=""/>
      <w:lvlJc w:val="left"/>
      <w:pPr>
        <w:ind w:left="1080" w:hanging="360"/>
      </w:pPr>
      <w:rPr>
        <w:rFonts w:ascii="Symbol" w:hAnsi="Symbol"/>
      </w:rPr>
    </w:lvl>
    <w:lvl w:ilvl="2" w:tplc="4162E302">
      <w:start w:val="1"/>
      <w:numFmt w:val="bullet"/>
      <w:lvlText w:val=""/>
      <w:lvlJc w:val="left"/>
      <w:pPr>
        <w:ind w:left="1080" w:hanging="360"/>
      </w:pPr>
      <w:rPr>
        <w:rFonts w:ascii="Symbol" w:hAnsi="Symbol"/>
      </w:rPr>
    </w:lvl>
    <w:lvl w:ilvl="3" w:tplc="3EA829FA">
      <w:start w:val="1"/>
      <w:numFmt w:val="bullet"/>
      <w:lvlText w:val=""/>
      <w:lvlJc w:val="left"/>
      <w:pPr>
        <w:ind w:left="1080" w:hanging="360"/>
      </w:pPr>
      <w:rPr>
        <w:rFonts w:ascii="Symbol" w:hAnsi="Symbol"/>
      </w:rPr>
    </w:lvl>
    <w:lvl w:ilvl="4" w:tplc="AF828C24">
      <w:start w:val="1"/>
      <w:numFmt w:val="bullet"/>
      <w:lvlText w:val=""/>
      <w:lvlJc w:val="left"/>
      <w:pPr>
        <w:ind w:left="1080" w:hanging="360"/>
      </w:pPr>
      <w:rPr>
        <w:rFonts w:ascii="Symbol" w:hAnsi="Symbol"/>
      </w:rPr>
    </w:lvl>
    <w:lvl w:ilvl="5" w:tplc="C60C3C62">
      <w:start w:val="1"/>
      <w:numFmt w:val="bullet"/>
      <w:lvlText w:val=""/>
      <w:lvlJc w:val="left"/>
      <w:pPr>
        <w:ind w:left="1080" w:hanging="360"/>
      </w:pPr>
      <w:rPr>
        <w:rFonts w:ascii="Symbol" w:hAnsi="Symbol"/>
      </w:rPr>
    </w:lvl>
    <w:lvl w:ilvl="6" w:tplc="06A42FA8">
      <w:start w:val="1"/>
      <w:numFmt w:val="bullet"/>
      <w:lvlText w:val=""/>
      <w:lvlJc w:val="left"/>
      <w:pPr>
        <w:ind w:left="1080" w:hanging="360"/>
      </w:pPr>
      <w:rPr>
        <w:rFonts w:ascii="Symbol" w:hAnsi="Symbol"/>
      </w:rPr>
    </w:lvl>
    <w:lvl w:ilvl="7" w:tplc="860C2368">
      <w:start w:val="1"/>
      <w:numFmt w:val="bullet"/>
      <w:lvlText w:val=""/>
      <w:lvlJc w:val="left"/>
      <w:pPr>
        <w:ind w:left="1080" w:hanging="360"/>
      </w:pPr>
      <w:rPr>
        <w:rFonts w:ascii="Symbol" w:hAnsi="Symbol"/>
      </w:rPr>
    </w:lvl>
    <w:lvl w:ilvl="8" w:tplc="C71E43CC">
      <w:start w:val="1"/>
      <w:numFmt w:val="bullet"/>
      <w:lvlText w:val=""/>
      <w:lvlJc w:val="left"/>
      <w:pPr>
        <w:ind w:left="1080" w:hanging="360"/>
      </w:pPr>
      <w:rPr>
        <w:rFonts w:ascii="Symbol" w:hAnsi="Symbol"/>
      </w:rPr>
    </w:lvl>
  </w:abstractNum>
  <w:abstractNum w:abstractNumId="25" w15:restartNumberingAfterBreak="0">
    <w:nsid w:val="3D2C1308"/>
    <w:multiLevelType w:val="hybridMultilevel"/>
    <w:tmpl w:val="7D2A1200"/>
    <w:lvl w:ilvl="0" w:tplc="04240013">
      <w:start w:val="1"/>
      <w:numFmt w:val="upperRoman"/>
      <w:lvlText w:val="%1."/>
      <w:lvlJc w:val="righ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40C912EF"/>
    <w:multiLevelType w:val="hybridMultilevel"/>
    <w:tmpl w:val="17D6E8B8"/>
    <w:lvl w:ilvl="0" w:tplc="AD809A8A">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47984434"/>
    <w:multiLevelType w:val="multilevel"/>
    <w:tmpl w:val="7EA29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5A030E"/>
    <w:multiLevelType w:val="hybridMultilevel"/>
    <w:tmpl w:val="2FFC3EEE"/>
    <w:lvl w:ilvl="0" w:tplc="B5B203AC">
      <w:start w:val="1"/>
      <w:numFmt w:val="low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4F7C06AE"/>
    <w:multiLevelType w:val="hybridMultilevel"/>
    <w:tmpl w:val="ED603E8E"/>
    <w:lvl w:ilvl="0" w:tplc="AD809A8A">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4FCE4A73"/>
    <w:multiLevelType w:val="hybridMultilevel"/>
    <w:tmpl w:val="E1D8CEBA"/>
    <w:lvl w:ilvl="0" w:tplc="AD809A8A">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508A0632"/>
    <w:multiLevelType w:val="hybridMultilevel"/>
    <w:tmpl w:val="ED5A255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52D32E3B"/>
    <w:multiLevelType w:val="hybridMultilevel"/>
    <w:tmpl w:val="7128963A"/>
    <w:lvl w:ilvl="0" w:tplc="A714278E">
      <w:start w:val="1"/>
      <w:numFmt w:val="bullet"/>
      <w:lvlText w:val=""/>
      <w:lvlJc w:val="left"/>
      <w:pPr>
        <w:ind w:left="1080" w:hanging="360"/>
      </w:pPr>
      <w:rPr>
        <w:rFonts w:ascii="Symbol" w:hAnsi="Symbol"/>
      </w:rPr>
    </w:lvl>
    <w:lvl w:ilvl="1" w:tplc="D0304A62">
      <w:start w:val="1"/>
      <w:numFmt w:val="bullet"/>
      <w:lvlText w:val=""/>
      <w:lvlJc w:val="left"/>
      <w:pPr>
        <w:ind w:left="1080" w:hanging="360"/>
      </w:pPr>
      <w:rPr>
        <w:rFonts w:ascii="Symbol" w:hAnsi="Symbol"/>
      </w:rPr>
    </w:lvl>
    <w:lvl w:ilvl="2" w:tplc="0A34F294">
      <w:start w:val="1"/>
      <w:numFmt w:val="bullet"/>
      <w:lvlText w:val=""/>
      <w:lvlJc w:val="left"/>
      <w:pPr>
        <w:ind w:left="1080" w:hanging="360"/>
      </w:pPr>
      <w:rPr>
        <w:rFonts w:ascii="Symbol" w:hAnsi="Symbol"/>
      </w:rPr>
    </w:lvl>
    <w:lvl w:ilvl="3" w:tplc="CC78A7E0">
      <w:start w:val="1"/>
      <w:numFmt w:val="bullet"/>
      <w:lvlText w:val=""/>
      <w:lvlJc w:val="left"/>
      <w:pPr>
        <w:ind w:left="1080" w:hanging="360"/>
      </w:pPr>
      <w:rPr>
        <w:rFonts w:ascii="Symbol" w:hAnsi="Symbol"/>
      </w:rPr>
    </w:lvl>
    <w:lvl w:ilvl="4" w:tplc="C55AAA2C">
      <w:start w:val="1"/>
      <w:numFmt w:val="bullet"/>
      <w:lvlText w:val=""/>
      <w:lvlJc w:val="left"/>
      <w:pPr>
        <w:ind w:left="1080" w:hanging="360"/>
      </w:pPr>
      <w:rPr>
        <w:rFonts w:ascii="Symbol" w:hAnsi="Symbol"/>
      </w:rPr>
    </w:lvl>
    <w:lvl w:ilvl="5" w:tplc="F5D8FF84">
      <w:start w:val="1"/>
      <w:numFmt w:val="bullet"/>
      <w:lvlText w:val=""/>
      <w:lvlJc w:val="left"/>
      <w:pPr>
        <w:ind w:left="1080" w:hanging="360"/>
      </w:pPr>
      <w:rPr>
        <w:rFonts w:ascii="Symbol" w:hAnsi="Symbol"/>
      </w:rPr>
    </w:lvl>
    <w:lvl w:ilvl="6" w:tplc="02247836">
      <w:start w:val="1"/>
      <w:numFmt w:val="bullet"/>
      <w:lvlText w:val=""/>
      <w:lvlJc w:val="left"/>
      <w:pPr>
        <w:ind w:left="1080" w:hanging="360"/>
      </w:pPr>
      <w:rPr>
        <w:rFonts w:ascii="Symbol" w:hAnsi="Symbol"/>
      </w:rPr>
    </w:lvl>
    <w:lvl w:ilvl="7" w:tplc="16260564">
      <w:start w:val="1"/>
      <w:numFmt w:val="bullet"/>
      <w:lvlText w:val=""/>
      <w:lvlJc w:val="left"/>
      <w:pPr>
        <w:ind w:left="1080" w:hanging="360"/>
      </w:pPr>
      <w:rPr>
        <w:rFonts w:ascii="Symbol" w:hAnsi="Symbol"/>
      </w:rPr>
    </w:lvl>
    <w:lvl w:ilvl="8" w:tplc="208889BE">
      <w:start w:val="1"/>
      <w:numFmt w:val="bullet"/>
      <w:lvlText w:val=""/>
      <w:lvlJc w:val="left"/>
      <w:pPr>
        <w:ind w:left="1080" w:hanging="360"/>
      </w:pPr>
      <w:rPr>
        <w:rFonts w:ascii="Symbol" w:hAnsi="Symbol"/>
      </w:rPr>
    </w:lvl>
  </w:abstractNum>
  <w:abstractNum w:abstractNumId="33" w15:restartNumberingAfterBreak="0">
    <w:nsid w:val="537B6816"/>
    <w:multiLevelType w:val="hybridMultilevel"/>
    <w:tmpl w:val="D580334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57081887"/>
    <w:multiLevelType w:val="hybridMultilevel"/>
    <w:tmpl w:val="35D8FB22"/>
    <w:lvl w:ilvl="0" w:tplc="EC62245A">
      <w:start w:val="3"/>
      <w:numFmt w:val="bullet"/>
      <w:lvlText w:val="-"/>
      <w:lvlJc w:val="left"/>
      <w:pPr>
        <w:ind w:left="360" w:hanging="360"/>
      </w:pPr>
      <w:rPr>
        <w:rFonts w:ascii="Arial" w:eastAsiaTheme="minorHAnsi"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15:restartNumberingAfterBreak="0">
    <w:nsid w:val="573C6C62"/>
    <w:multiLevelType w:val="hybridMultilevel"/>
    <w:tmpl w:val="63DEA83E"/>
    <w:lvl w:ilvl="0" w:tplc="EC62245A">
      <w:start w:val="3"/>
      <w:numFmt w:val="bullet"/>
      <w:lvlText w:val="-"/>
      <w:lvlJc w:val="left"/>
      <w:pPr>
        <w:ind w:left="360" w:hanging="360"/>
      </w:pPr>
      <w:rPr>
        <w:rFonts w:ascii="Arial" w:eastAsiaTheme="minorHAnsi"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15:restartNumberingAfterBreak="0">
    <w:nsid w:val="57B61B12"/>
    <w:multiLevelType w:val="hybridMultilevel"/>
    <w:tmpl w:val="6D4461F6"/>
    <w:lvl w:ilvl="0" w:tplc="0424001B">
      <w:start w:val="1"/>
      <w:numFmt w:val="low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57CF79F8"/>
    <w:multiLevelType w:val="hybridMultilevel"/>
    <w:tmpl w:val="74D0AB48"/>
    <w:lvl w:ilvl="0" w:tplc="FFFFFFFF">
      <w:start w:val="1"/>
      <w:numFmt w:val="upperRoman"/>
      <w:lvlText w:val="%1."/>
      <w:lvlJc w:val="right"/>
      <w:pPr>
        <w:ind w:left="720" w:hanging="360"/>
      </w:pPr>
    </w:lvl>
    <w:lvl w:ilvl="1" w:tplc="0424001B">
      <w:start w:val="1"/>
      <w:numFmt w:val="lowerRoman"/>
      <w:lvlText w:val="%2."/>
      <w:lvlJc w:val="righ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DA12D2B"/>
    <w:multiLevelType w:val="multilevel"/>
    <w:tmpl w:val="01465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D946D8"/>
    <w:multiLevelType w:val="hybridMultilevel"/>
    <w:tmpl w:val="1A00D2FE"/>
    <w:lvl w:ilvl="0" w:tplc="EC62245A">
      <w:start w:val="3"/>
      <w:numFmt w:val="bullet"/>
      <w:lvlText w:val="-"/>
      <w:lvlJc w:val="left"/>
      <w:pPr>
        <w:ind w:left="360" w:hanging="360"/>
      </w:pPr>
      <w:rPr>
        <w:rFonts w:ascii="Arial" w:eastAsiaTheme="minorHAnsi"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0" w15:restartNumberingAfterBreak="0">
    <w:nsid w:val="70A706D9"/>
    <w:multiLevelType w:val="hybridMultilevel"/>
    <w:tmpl w:val="7F0ECFD8"/>
    <w:lvl w:ilvl="0" w:tplc="FFFFFFFF">
      <w:start w:val="1"/>
      <w:numFmt w:val="decimal"/>
      <w:lvlText w:val="%1."/>
      <w:lvlJc w:val="left"/>
      <w:pPr>
        <w:ind w:left="720" w:hanging="360"/>
      </w:pPr>
      <w:rPr>
        <w:rFonts w:hint="default"/>
        <w:b/>
        <w:bCs/>
        <w:color w:val="385623" w:themeColor="accent6" w:themeShade="8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4A07291"/>
    <w:multiLevelType w:val="hybridMultilevel"/>
    <w:tmpl w:val="D4847ED2"/>
    <w:lvl w:ilvl="0" w:tplc="BAEC7C98">
      <w:start w:val="1"/>
      <w:numFmt w:val="bullet"/>
      <w:lvlText w:val=""/>
      <w:lvlJc w:val="left"/>
      <w:pPr>
        <w:ind w:left="1080" w:hanging="360"/>
      </w:pPr>
      <w:rPr>
        <w:rFonts w:ascii="Symbol" w:hAnsi="Symbol"/>
      </w:rPr>
    </w:lvl>
    <w:lvl w:ilvl="1" w:tplc="693E0798">
      <w:start w:val="1"/>
      <w:numFmt w:val="bullet"/>
      <w:lvlText w:val=""/>
      <w:lvlJc w:val="left"/>
      <w:pPr>
        <w:ind w:left="1080" w:hanging="360"/>
      </w:pPr>
      <w:rPr>
        <w:rFonts w:ascii="Symbol" w:hAnsi="Symbol"/>
      </w:rPr>
    </w:lvl>
    <w:lvl w:ilvl="2" w:tplc="9C888A9C">
      <w:start w:val="1"/>
      <w:numFmt w:val="bullet"/>
      <w:lvlText w:val=""/>
      <w:lvlJc w:val="left"/>
      <w:pPr>
        <w:ind w:left="1080" w:hanging="360"/>
      </w:pPr>
      <w:rPr>
        <w:rFonts w:ascii="Symbol" w:hAnsi="Symbol"/>
      </w:rPr>
    </w:lvl>
    <w:lvl w:ilvl="3" w:tplc="17C8BEDA">
      <w:start w:val="1"/>
      <w:numFmt w:val="bullet"/>
      <w:lvlText w:val=""/>
      <w:lvlJc w:val="left"/>
      <w:pPr>
        <w:ind w:left="1080" w:hanging="360"/>
      </w:pPr>
      <w:rPr>
        <w:rFonts w:ascii="Symbol" w:hAnsi="Symbol"/>
      </w:rPr>
    </w:lvl>
    <w:lvl w:ilvl="4" w:tplc="6AD03376">
      <w:start w:val="1"/>
      <w:numFmt w:val="bullet"/>
      <w:lvlText w:val=""/>
      <w:lvlJc w:val="left"/>
      <w:pPr>
        <w:ind w:left="1080" w:hanging="360"/>
      </w:pPr>
      <w:rPr>
        <w:rFonts w:ascii="Symbol" w:hAnsi="Symbol"/>
      </w:rPr>
    </w:lvl>
    <w:lvl w:ilvl="5" w:tplc="8208E066">
      <w:start w:val="1"/>
      <w:numFmt w:val="bullet"/>
      <w:lvlText w:val=""/>
      <w:lvlJc w:val="left"/>
      <w:pPr>
        <w:ind w:left="1080" w:hanging="360"/>
      </w:pPr>
      <w:rPr>
        <w:rFonts w:ascii="Symbol" w:hAnsi="Symbol"/>
      </w:rPr>
    </w:lvl>
    <w:lvl w:ilvl="6" w:tplc="5D6EAD00">
      <w:start w:val="1"/>
      <w:numFmt w:val="bullet"/>
      <w:lvlText w:val=""/>
      <w:lvlJc w:val="left"/>
      <w:pPr>
        <w:ind w:left="1080" w:hanging="360"/>
      </w:pPr>
      <w:rPr>
        <w:rFonts w:ascii="Symbol" w:hAnsi="Symbol"/>
      </w:rPr>
    </w:lvl>
    <w:lvl w:ilvl="7" w:tplc="8A02E11E">
      <w:start w:val="1"/>
      <w:numFmt w:val="bullet"/>
      <w:lvlText w:val=""/>
      <w:lvlJc w:val="left"/>
      <w:pPr>
        <w:ind w:left="1080" w:hanging="360"/>
      </w:pPr>
      <w:rPr>
        <w:rFonts w:ascii="Symbol" w:hAnsi="Symbol"/>
      </w:rPr>
    </w:lvl>
    <w:lvl w:ilvl="8" w:tplc="C07E51F2">
      <w:start w:val="1"/>
      <w:numFmt w:val="bullet"/>
      <w:lvlText w:val=""/>
      <w:lvlJc w:val="left"/>
      <w:pPr>
        <w:ind w:left="1080" w:hanging="360"/>
      </w:pPr>
      <w:rPr>
        <w:rFonts w:ascii="Symbol" w:hAnsi="Symbol"/>
      </w:rPr>
    </w:lvl>
  </w:abstractNum>
  <w:abstractNum w:abstractNumId="42" w15:restartNumberingAfterBreak="0">
    <w:nsid w:val="7E073109"/>
    <w:multiLevelType w:val="hybridMultilevel"/>
    <w:tmpl w:val="D58033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1895315">
    <w:abstractNumId w:val="2"/>
  </w:num>
  <w:num w:numId="2" w16cid:durableId="1962422903">
    <w:abstractNumId w:val="18"/>
  </w:num>
  <w:num w:numId="3" w16cid:durableId="1174344112">
    <w:abstractNumId w:val="30"/>
  </w:num>
  <w:num w:numId="4" w16cid:durableId="566961698">
    <w:abstractNumId w:val="4"/>
  </w:num>
  <w:num w:numId="5" w16cid:durableId="869875286">
    <w:abstractNumId w:val="3"/>
  </w:num>
  <w:num w:numId="6" w16cid:durableId="64232546">
    <w:abstractNumId w:val="13"/>
  </w:num>
  <w:num w:numId="7" w16cid:durableId="493490982">
    <w:abstractNumId w:val="26"/>
  </w:num>
  <w:num w:numId="8" w16cid:durableId="1156218356">
    <w:abstractNumId w:val="21"/>
  </w:num>
  <w:num w:numId="9" w16cid:durableId="1352956764">
    <w:abstractNumId w:val="27"/>
  </w:num>
  <w:num w:numId="10" w16cid:durableId="1734237990">
    <w:abstractNumId w:val="23"/>
  </w:num>
  <w:num w:numId="11" w16cid:durableId="1802965840">
    <w:abstractNumId w:val="14"/>
  </w:num>
  <w:num w:numId="12" w16cid:durableId="1962758916">
    <w:abstractNumId w:val="38"/>
  </w:num>
  <w:num w:numId="13" w16cid:durableId="1750344291">
    <w:abstractNumId w:val="19"/>
  </w:num>
  <w:num w:numId="14" w16cid:durableId="651298556">
    <w:abstractNumId w:val="16"/>
  </w:num>
  <w:num w:numId="15" w16cid:durableId="1666081815">
    <w:abstractNumId w:val="12"/>
  </w:num>
  <w:num w:numId="16" w16cid:durableId="885217756">
    <w:abstractNumId w:val="10"/>
  </w:num>
  <w:num w:numId="17" w16cid:durableId="345405193">
    <w:abstractNumId w:val="17"/>
  </w:num>
  <w:num w:numId="18" w16cid:durableId="1372726448">
    <w:abstractNumId w:val="22"/>
  </w:num>
  <w:num w:numId="19" w16cid:durableId="1082993166">
    <w:abstractNumId w:val="8"/>
  </w:num>
  <w:num w:numId="20" w16cid:durableId="1162546196">
    <w:abstractNumId w:val="1"/>
  </w:num>
  <w:num w:numId="21" w16cid:durableId="1416317862">
    <w:abstractNumId w:val="40"/>
  </w:num>
  <w:num w:numId="22" w16cid:durableId="18288005">
    <w:abstractNumId w:val="36"/>
  </w:num>
  <w:num w:numId="23" w16cid:durableId="471682402">
    <w:abstractNumId w:val="28"/>
  </w:num>
  <w:num w:numId="24" w16cid:durableId="1854683718">
    <w:abstractNumId w:val="25"/>
  </w:num>
  <w:num w:numId="25" w16cid:durableId="2143496138">
    <w:abstractNumId w:val="37"/>
  </w:num>
  <w:num w:numId="26" w16cid:durableId="678435320">
    <w:abstractNumId w:val="0"/>
  </w:num>
  <w:num w:numId="27" w16cid:durableId="1503470359">
    <w:abstractNumId w:val="6"/>
  </w:num>
  <w:num w:numId="28" w16cid:durableId="2062974399">
    <w:abstractNumId w:val="29"/>
  </w:num>
  <w:num w:numId="29" w16cid:durableId="776871700">
    <w:abstractNumId w:val="39"/>
  </w:num>
  <w:num w:numId="30" w16cid:durableId="1013340768">
    <w:abstractNumId w:val="35"/>
  </w:num>
  <w:num w:numId="31" w16cid:durableId="1548029644">
    <w:abstractNumId w:val="34"/>
  </w:num>
  <w:num w:numId="32" w16cid:durableId="740954842">
    <w:abstractNumId w:val="24"/>
  </w:num>
  <w:num w:numId="33" w16cid:durableId="1136138615">
    <w:abstractNumId w:val="7"/>
  </w:num>
  <w:num w:numId="34" w16cid:durableId="219561513">
    <w:abstractNumId w:val="41"/>
  </w:num>
  <w:num w:numId="35" w16cid:durableId="1894610625">
    <w:abstractNumId w:val="32"/>
  </w:num>
  <w:num w:numId="36" w16cid:durableId="1733845217">
    <w:abstractNumId w:val="5"/>
  </w:num>
  <w:num w:numId="37" w16cid:durableId="686559726">
    <w:abstractNumId w:val="20"/>
  </w:num>
  <w:num w:numId="38" w16cid:durableId="165488139">
    <w:abstractNumId w:val="9"/>
  </w:num>
  <w:num w:numId="39" w16cid:durableId="1771197765">
    <w:abstractNumId w:val="31"/>
  </w:num>
  <w:num w:numId="40" w16cid:durableId="861281770">
    <w:abstractNumId w:val="15"/>
  </w:num>
  <w:num w:numId="41" w16cid:durableId="1919629327">
    <w:abstractNumId w:val="33"/>
  </w:num>
  <w:num w:numId="42" w16cid:durableId="1870407827">
    <w:abstractNumId w:val="42"/>
  </w:num>
  <w:num w:numId="43" w16cid:durableId="8651691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44F"/>
    <w:rsid w:val="00001EDE"/>
    <w:rsid w:val="0000419F"/>
    <w:rsid w:val="00010818"/>
    <w:rsid w:val="000122CB"/>
    <w:rsid w:val="00021E76"/>
    <w:rsid w:val="00025661"/>
    <w:rsid w:val="00026A4B"/>
    <w:rsid w:val="00026A9C"/>
    <w:rsid w:val="0003373B"/>
    <w:rsid w:val="00034D31"/>
    <w:rsid w:val="000369D3"/>
    <w:rsid w:val="00040F9E"/>
    <w:rsid w:val="0004687D"/>
    <w:rsid w:val="00052D22"/>
    <w:rsid w:val="00053CB2"/>
    <w:rsid w:val="00062D5B"/>
    <w:rsid w:val="00066A39"/>
    <w:rsid w:val="00072AB6"/>
    <w:rsid w:val="000752D9"/>
    <w:rsid w:val="0007709A"/>
    <w:rsid w:val="00081305"/>
    <w:rsid w:val="00083172"/>
    <w:rsid w:val="000A0D96"/>
    <w:rsid w:val="000B0E80"/>
    <w:rsid w:val="000B1B94"/>
    <w:rsid w:val="000B4D0A"/>
    <w:rsid w:val="000C0F69"/>
    <w:rsid w:val="000C4875"/>
    <w:rsid w:val="000C5C5B"/>
    <w:rsid w:val="000C6F8B"/>
    <w:rsid w:val="000C74BE"/>
    <w:rsid w:val="000D0655"/>
    <w:rsid w:val="000D12F7"/>
    <w:rsid w:val="000D48E8"/>
    <w:rsid w:val="000E7481"/>
    <w:rsid w:val="000F15EE"/>
    <w:rsid w:val="000F5164"/>
    <w:rsid w:val="000F67B1"/>
    <w:rsid w:val="00102449"/>
    <w:rsid w:val="00107F8D"/>
    <w:rsid w:val="00111192"/>
    <w:rsid w:val="00112623"/>
    <w:rsid w:val="00113105"/>
    <w:rsid w:val="00116CDC"/>
    <w:rsid w:val="00116E9A"/>
    <w:rsid w:val="001209FC"/>
    <w:rsid w:val="0012314C"/>
    <w:rsid w:val="001278AB"/>
    <w:rsid w:val="0013362B"/>
    <w:rsid w:val="0013429C"/>
    <w:rsid w:val="00137F33"/>
    <w:rsid w:val="00140B83"/>
    <w:rsid w:val="00146617"/>
    <w:rsid w:val="00151287"/>
    <w:rsid w:val="00151420"/>
    <w:rsid w:val="00154BA3"/>
    <w:rsid w:val="0015580C"/>
    <w:rsid w:val="0017571A"/>
    <w:rsid w:val="00181217"/>
    <w:rsid w:val="001818BB"/>
    <w:rsid w:val="0019481B"/>
    <w:rsid w:val="00195DD9"/>
    <w:rsid w:val="001A5258"/>
    <w:rsid w:val="001B33B0"/>
    <w:rsid w:val="001B5DC2"/>
    <w:rsid w:val="001C1E5D"/>
    <w:rsid w:val="001C6672"/>
    <w:rsid w:val="001D4B43"/>
    <w:rsid w:val="001D5DFC"/>
    <w:rsid w:val="001E44E4"/>
    <w:rsid w:val="001E467F"/>
    <w:rsid w:val="001E6995"/>
    <w:rsid w:val="00211985"/>
    <w:rsid w:val="0021788B"/>
    <w:rsid w:val="00217B8F"/>
    <w:rsid w:val="0023108E"/>
    <w:rsid w:val="00233A8D"/>
    <w:rsid w:val="00261089"/>
    <w:rsid w:val="00261CFC"/>
    <w:rsid w:val="00266651"/>
    <w:rsid w:val="00266E9F"/>
    <w:rsid w:val="00281793"/>
    <w:rsid w:val="00286EB7"/>
    <w:rsid w:val="002945A4"/>
    <w:rsid w:val="00294B02"/>
    <w:rsid w:val="002C4055"/>
    <w:rsid w:val="002C7FE1"/>
    <w:rsid w:val="002D540D"/>
    <w:rsid w:val="002D7E48"/>
    <w:rsid w:val="002F144F"/>
    <w:rsid w:val="002F7692"/>
    <w:rsid w:val="003021EF"/>
    <w:rsid w:val="003030DA"/>
    <w:rsid w:val="00304BE2"/>
    <w:rsid w:val="0030567A"/>
    <w:rsid w:val="00316FAF"/>
    <w:rsid w:val="00320D03"/>
    <w:rsid w:val="00326B89"/>
    <w:rsid w:val="003275E8"/>
    <w:rsid w:val="0034386B"/>
    <w:rsid w:val="00365352"/>
    <w:rsid w:val="00383477"/>
    <w:rsid w:val="00384200"/>
    <w:rsid w:val="00387EDD"/>
    <w:rsid w:val="00393F3D"/>
    <w:rsid w:val="0039646B"/>
    <w:rsid w:val="003A0723"/>
    <w:rsid w:val="003B03FB"/>
    <w:rsid w:val="003C2B42"/>
    <w:rsid w:val="003C6436"/>
    <w:rsid w:val="003D2363"/>
    <w:rsid w:val="003D254F"/>
    <w:rsid w:val="003D36BC"/>
    <w:rsid w:val="003E4941"/>
    <w:rsid w:val="003E554E"/>
    <w:rsid w:val="003E586D"/>
    <w:rsid w:val="003F43F1"/>
    <w:rsid w:val="003F6173"/>
    <w:rsid w:val="004001AF"/>
    <w:rsid w:val="00401D57"/>
    <w:rsid w:val="00403C9F"/>
    <w:rsid w:val="00404129"/>
    <w:rsid w:val="004104E4"/>
    <w:rsid w:val="00412DEE"/>
    <w:rsid w:val="0042477C"/>
    <w:rsid w:val="00426B25"/>
    <w:rsid w:val="004277C8"/>
    <w:rsid w:val="004300AB"/>
    <w:rsid w:val="00431CA1"/>
    <w:rsid w:val="004431E4"/>
    <w:rsid w:val="00453952"/>
    <w:rsid w:val="00460639"/>
    <w:rsid w:val="004608A8"/>
    <w:rsid w:val="00461236"/>
    <w:rsid w:val="00463490"/>
    <w:rsid w:val="0047038B"/>
    <w:rsid w:val="00473F25"/>
    <w:rsid w:val="00477B13"/>
    <w:rsid w:val="004854AA"/>
    <w:rsid w:val="00487522"/>
    <w:rsid w:val="00496874"/>
    <w:rsid w:val="00496B6F"/>
    <w:rsid w:val="004A404C"/>
    <w:rsid w:val="004A56FA"/>
    <w:rsid w:val="004E4812"/>
    <w:rsid w:val="004F06F1"/>
    <w:rsid w:val="00503397"/>
    <w:rsid w:val="00505C83"/>
    <w:rsid w:val="00515362"/>
    <w:rsid w:val="00521DE9"/>
    <w:rsid w:val="005241B9"/>
    <w:rsid w:val="0052782C"/>
    <w:rsid w:val="00533200"/>
    <w:rsid w:val="00545880"/>
    <w:rsid w:val="005603A5"/>
    <w:rsid w:val="005648C2"/>
    <w:rsid w:val="005758B9"/>
    <w:rsid w:val="00577B66"/>
    <w:rsid w:val="00580938"/>
    <w:rsid w:val="005859C5"/>
    <w:rsid w:val="00592B64"/>
    <w:rsid w:val="005931B7"/>
    <w:rsid w:val="00596B9A"/>
    <w:rsid w:val="005A01B6"/>
    <w:rsid w:val="005A38C2"/>
    <w:rsid w:val="005B1162"/>
    <w:rsid w:val="005B5008"/>
    <w:rsid w:val="005B6063"/>
    <w:rsid w:val="005C473D"/>
    <w:rsid w:val="005C65AD"/>
    <w:rsid w:val="005C6DB7"/>
    <w:rsid w:val="005C7A10"/>
    <w:rsid w:val="005D044B"/>
    <w:rsid w:val="005D1B64"/>
    <w:rsid w:val="005D4A50"/>
    <w:rsid w:val="005D6F37"/>
    <w:rsid w:val="005E1CF5"/>
    <w:rsid w:val="005E6558"/>
    <w:rsid w:val="005F2B91"/>
    <w:rsid w:val="006007A1"/>
    <w:rsid w:val="0060136F"/>
    <w:rsid w:val="006104E8"/>
    <w:rsid w:val="00611CCB"/>
    <w:rsid w:val="006257A0"/>
    <w:rsid w:val="00625EDF"/>
    <w:rsid w:val="006339CE"/>
    <w:rsid w:val="00635F38"/>
    <w:rsid w:val="0066151B"/>
    <w:rsid w:val="00662814"/>
    <w:rsid w:val="00667FAB"/>
    <w:rsid w:val="006710DC"/>
    <w:rsid w:val="00673F06"/>
    <w:rsid w:val="00675F22"/>
    <w:rsid w:val="00675F2D"/>
    <w:rsid w:val="006861E2"/>
    <w:rsid w:val="006927AA"/>
    <w:rsid w:val="00695AC3"/>
    <w:rsid w:val="006973B6"/>
    <w:rsid w:val="006A0127"/>
    <w:rsid w:val="006A4ECE"/>
    <w:rsid w:val="006C23D4"/>
    <w:rsid w:val="006C54F7"/>
    <w:rsid w:val="006D0ACD"/>
    <w:rsid w:val="006D68DB"/>
    <w:rsid w:val="006D6BA0"/>
    <w:rsid w:val="006D7AFA"/>
    <w:rsid w:val="006F15B9"/>
    <w:rsid w:val="006F1CF4"/>
    <w:rsid w:val="00704B22"/>
    <w:rsid w:val="007126F3"/>
    <w:rsid w:val="00716706"/>
    <w:rsid w:val="0071723D"/>
    <w:rsid w:val="00737E74"/>
    <w:rsid w:val="00743582"/>
    <w:rsid w:val="007478DD"/>
    <w:rsid w:val="00747B10"/>
    <w:rsid w:val="00747E4E"/>
    <w:rsid w:val="007518A2"/>
    <w:rsid w:val="00753D7C"/>
    <w:rsid w:val="00755DEE"/>
    <w:rsid w:val="00755F5A"/>
    <w:rsid w:val="00757EE1"/>
    <w:rsid w:val="007604EE"/>
    <w:rsid w:val="00767BBC"/>
    <w:rsid w:val="0077185C"/>
    <w:rsid w:val="007773A9"/>
    <w:rsid w:val="0079338B"/>
    <w:rsid w:val="0079499B"/>
    <w:rsid w:val="007A127E"/>
    <w:rsid w:val="007A1E1C"/>
    <w:rsid w:val="007A5BCB"/>
    <w:rsid w:val="007B124B"/>
    <w:rsid w:val="007C320F"/>
    <w:rsid w:val="007C3437"/>
    <w:rsid w:val="007C56B0"/>
    <w:rsid w:val="007D1D96"/>
    <w:rsid w:val="007D2FFB"/>
    <w:rsid w:val="007D526D"/>
    <w:rsid w:val="007E11EC"/>
    <w:rsid w:val="007E3DBB"/>
    <w:rsid w:val="007E4517"/>
    <w:rsid w:val="00803379"/>
    <w:rsid w:val="00803DC4"/>
    <w:rsid w:val="008045CA"/>
    <w:rsid w:val="00806A31"/>
    <w:rsid w:val="00811266"/>
    <w:rsid w:val="00811306"/>
    <w:rsid w:val="00811F8E"/>
    <w:rsid w:val="00814992"/>
    <w:rsid w:val="008167DC"/>
    <w:rsid w:val="0081716D"/>
    <w:rsid w:val="00822EEC"/>
    <w:rsid w:val="008304A8"/>
    <w:rsid w:val="00830E60"/>
    <w:rsid w:val="00841AF0"/>
    <w:rsid w:val="00842C19"/>
    <w:rsid w:val="0084467B"/>
    <w:rsid w:val="00846402"/>
    <w:rsid w:val="00853340"/>
    <w:rsid w:val="0085561C"/>
    <w:rsid w:val="00874B80"/>
    <w:rsid w:val="00876354"/>
    <w:rsid w:val="008776FC"/>
    <w:rsid w:val="00893AAD"/>
    <w:rsid w:val="008A2C6E"/>
    <w:rsid w:val="008A6E42"/>
    <w:rsid w:val="008B35FC"/>
    <w:rsid w:val="008C6BAB"/>
    <w:rsid w:val="008C7B4B"/>
    <w:rsid w:val="008D083D"/>
    <w:rsid w:val="008D2809"/>
    <w:rsid w:val="008D56BA"/>
    <w:rsid w:val="008D6752"/>
    <w:rsid w:val="008D6B38"/>
    <w:rsid w:val="008F483D"/>
    <w:rsid w:val="00904E26"/>
    <w:rsid w:val="009076F9"/>
    <w:rsid w:val="00910356"/>
    <w:rsid w:val="009123A1"/>
    <w:rsid w:val="00917965"/>
    <w:rsid w:val="0092298E"/>
    <w:rsid w:val="0092341B"/>
    <w:rsid w:val="00931AB6"/>
    <w:rsid w:val="009419BD"/>
    <w:rsid w:val="00944FE6"/>
    <w:rsid w:val="00953756"/>
    <w:rsid w:val="00954900"/>
    <w:rsid w:val="0096501E"/>
    <w:rsid w:val="009672A1"/>
    <w:rsid w:val="0097227D"/>
    <w:rsid w:val="00976474"/>
    <w:rsid w:val="00983E6F"/>
    <w:rsid w:val="00986999"/>
    <w:rsid w:val="00994623"/>
    <w:rsid w:val="00994E9C"/>
    <w:rsid w:val="009A013F"/>
    <w:rsid w:val="009A27EC"/>
    <w:rsid w:val="009A3DE5"/>
    <w:rsid w:val="009A43B5"/>
    <w:rsid w:val="009B4EDE"/>
    <w:rsid w:val="009D0814"/>
    <w:rsid w:val="009D2B03"/>
    <w:rsid w:val="009D6863"/>
    <w:rsid w:val="009D718E"/>
    <w:rsid w:val="009E4DD8"/>
    <w:rsid w:val="009E5743"/>
    <w:rsid w:val="009E5AD2"/>
    <w:rsid w:val="009F5A98"/>
    <w:rsid w:val="009F69CB"/>
    <w:rsid w:val="009F79F4"/>
    <w:rsid w:val="00A06CA9"/>
    <w:rsid w:val="00A102C8"/>
    <w:rsid w:val="00A10488"/>
    <w:rsid w:val="00A15BF3"/>
    <w:rsid w:val="00A162FA"/>
    <w:rsid w:val="00A17889"/>
    <w:rsid w:val="00A207BE"/>
    <w:rsid w:val="00A22803"/>
    <w:rsid w:val="00A23C77"/>
    <w:rsid w:val="00A37B5F"/>
    <w:rsid w:val="00A46342"/>
    <w:rsid w:val="00A61458"/>
    <w:rsid w:val="00A61C00"/>
    <w:rsid w:val="00A74DB6"/>
    <w:rsid w:val="00A856F8"/>
    <w:rsid w:val="00A8767E"/>
    <w:rsid w:val="00A92EF1"/>
    <w:rsid w:val="00A93144"/>
    <w:rsid w:val="00A94B0B"/>
    <w:rsid w:val="00A94D88"/>
    <w:rsid w:val="00A960C9"/>
    <w:rsid w:val="00A97E2A"/>
    <w:rsid w:val="00AA31CF"/>
    <w:rsid w:val="00AA4062"/>
    <w:rsid w:val="00AB0349"/>
    <w:rsid w:val="00AB0611"/>
    <w:rsid w:val="00AB0DFC"/>
    <w:rsid w:val="00AB67CE"/>
    <w:rsid w:val="00AC0A89"/>
    <w:rsid w:val="00AD13B5"/>
    <w:rsid w:val="00AD1E01"/>
    <w:rsid w:val="00AE09D6"/>
    <w:rsid w:val="00AE261C"/>
    <w:rsid w:val="00AF1C25"/>
    <w:rsid w:val="00AF23D9"/>
    <w:rsid w:val="00B03046"/>
    <w:rsid w:val="00B11E01"/>
    <w:rsid w:val="00B12636"/>
    <w:rsid w:val="00B1335A"/>
    <w:rsid w:val="00B17B97"/>
    <w:rsid w:val="00B246CC"/>
    <w:rsid w:val="00B2522D"/>
    <w:rsid w:val="00B2562C"/>
    <w:rsid w:val="00B25B9F"/>
    <w:rsid w:val="00B26D44"/>
    <w:rsid w:val="00B27469"/>
    <w:rsid w:val="00B27B1C"/>
    <w:rsid w:val="00B3204D"/>
    <w:rsid w:val="00B334A5"/>
    <w:rsid w:val="00B3598F"/>
    <w:rsid w:val="00B41166"/>
    <w:rsid w:val="00B4722E"/>
    <w:rsid w:val="00B47836"/>
    <w:rsid w:val="00B47EA9"/>
    <w:rsid w:val="00B55F2C"/>
    <w:rsid w:val="00B61A1A"/>
    <w:rsid w:val="00B64ED9"/>
    <w:rsid w:val="00B8487C"/>
    <w:rsid w:val="00B91240"/>
    <w:rsid w:val="00B9225D"/>
    <w:rsid w:val="00B951E5"/>
    <w:rsid w:val="00B97CE9"/>
    <w:rsid w:val="00BA5AC7"/>
    <w:rsid w:val="00BB12A5"/>
    <w:rsid w:val="00BC0F00"/>
    <w:rsid w:val="00BD167A"/>
    <w:rsid w:val="00BE1BCB"/>
    <w:rsid w:val="00BE2FB2"/>
    <w:rsid w:val="00BE726A"/>
    <w:rsid w:val="00BF2AF4"/>
    <w:rsid w:val="00BF626D"/>
    <w:rsid w:val="00BF71D9"/>
    <w:rsid w:val="00C01CF4"/>
    <w:rsid w:val="00C032B2"/>
    <w:rsid w:val="00C0594E"/>
    <w:rsid w:val="00C103FD"/>
    <w:rsid w:val="00C107F8"/>
    <w:rsid w:val="00C203FA"/>
    <w:rsid w:val="00C217F4"/>
    <w:rsid w:val="00C256E4"/>
    <w:rsid w:val="00C2784D"/>
    <w:rsid w:val="00C32AA0"/>
    <w:rsid w:val="00C34F6D"/>
    <w:rsid w:val="00C41E7C"/>
    <w:rsid w:val="00C42D2D"/>
    <w:rsid w:val="00C434BE"/>
    <w:rsid w:val="00C51DAF"/>
    <w:rsid w:val="00C54CA0"/>
    <w:rsid w:val="00C55069"/>
    <w:rsid w:val="00C613CF"/>
    <w:rsid w:val="00C73B04"/>
    <w:rsid w:val="00C74748"/>
    <w:rsid w:val="00C774A8"/>
    <w:rsid w:val="00C83435"/>
    <w:rsid w:val="00C93E9C"/>
    <w:rsid w:val="00CA4D08"/>
    <w:rsid w:val="00CB3F92"/>
    <w:rsid w:val="00CB4B64"/>
    <w:rsid w:val="00CB76DB"/>
    <w:rsid w:val="00CC03FE"/>
    <w:rsid w:val="00CC10A6"/>
    <w:rsid w:val="00CC1C0C"/>
    <w:rsid w:val="00CC2530"/>
    <w:rsid w:val="00CC3652"/>
    <w:rsid w:val="00CC58DF"/>
    <w:rsid w:val="00CD0505"/>
    <w:rsid w:val="00CD0B71"/>
    <w:rsid w:val="00CD3DFF"/>
    <w:rsid w:val="00CD4AFF"/>
    <w:rsid w:val="00CE0545"/>
    <w:rsid w:val="00CE6CB6"/>
    <w:rsid w:val="00CF362F"/>
    <w:rsid w:val="00D03E17"/>
    <w:rsid w:val="00D132BA"/>
    <w:rsid w:val="00D1634C"/>
    <w:rsid w:val="00D16FD1"/>
    <w:rsid w:val="00D23686"/>
    <w:rsid w:val="00D2452E"/>
    <w:rsid w:val="00D3025C"/>
    <w:rsid w:val="00D34281"/>
    <w:rsid w:val="00D34D6C"/>
    <w:rsid w:val="00D35D54"/>
    <w:rsid w:val="00D37FB9"/>
    <w:rsid w:val="00D43B91"/>
    <w:rsid w:val="00D451E0"/>
    <w:rsid w:val="00D568F0"/>
    <w:rsid w:val="00D57F1B"/>
    <w:rsid w:val="00D67824"/>
    <w:rsid w:val="00D7482E"/>
    <w:rsid w:val="00D74990"/>
    <w:rsid w:val="00D81C2E"/>
    <w:rsid w:val="00D82A83"/>
    <w:rsid w:val="00D86950"/>
    <w:rsid w:val="00D91A3A"/>
    <w:rsid w:val="00D94C9A"/>
    <w:rsid w:val="00D94D7F"/>
    <w:rsid w:val="00DA327A"/>
    <w:rsid w:val="00DB1C8B"/>
    <w:rsid w:val="00DB328A"/>
    <w:rsid w:val="00DB3ABE"/>
    <w:rsid w:val="00DB4EF9"/>
    <w:rsid w:val="00DC45D3"/>
    <w:rsid w:val="00DE48E7"/>
    <w:rsid w:val="00DE60B5"/>
    <w:rsid w:val="00DE61D6"/>
    <w:rsid w:val="00DF1959"/>
    <w:rsid w:val="00DF7F74"/>
    <w:rsid w:val="00E02317"/>
    <w:rsid w:val="00E06D40"/>
    <w:rsid w:val="00E124DF"/>
    <w:rsid w:val="00E15E90"/>
    <w:rsid w:val="00E22A8B"/>
    <w:rsid w:val="00E238E7"/>
    <w:rsid w:val="00E3253E"/>
    <w:rsid w:val="00E3435A"/>
    <w:rsid w:val="00E46D6F"/>
    <w:rsid w:val="00E47827"/>
    <w:rsid w:val="00E51F99"/>
    <w:rsid w:val="00E56910"/>
    <w:rsid w:val="00E571AB"/>
    <w:rsid w:val="00E577F6"/>
    <w:rsid w:val="00E611A2"/>
    <w:rsid w:val="00E742EC"/>
    <w:rsid w:val="00E82936"/>
    <w:rsid w:val="00E85F7D"/>
    <w:rsid w:val="00E87D17"/>
    <w:rsid w:val="00E92DB0"/>
    <w:rsid w:val="00EB2BDC"/>
    <w:rsid w:val="00EB58BD"/>
    <w:rsid w:val="00EB675E"/>
    <w:rsid w:val="00EC16EC"/>
    <w:rsid w:val="00EC39E5"/>
    <w:rsid w:val="00ED3639"/>
    <w:rsid w:val="00EE3DA8"/>
    <w:rsid w:val="00EE4AEF"/>
    <w:rsid w:val="00EE5EDA"/>
    <w:rsid w:val="00EE6ECC"/>
    <w:rsid w:val="00EE7FC1"/>
    <w:rsid w:val="00EF078E"/>
    <w:rsid w:val="00EF5C71"/>
    <w:rsid w:val="00EF6FDA"/>
    <w:rsid w:val="00F0103C"/>
    <w:rsid w:val="00F02F62"/>
    <w:rsid w:val="00F05A29"/>
    <w:rsid w:val="00F12F1E"/>
    <w:rsid w:val="00F141B8"/>
    <w:rsid w:val="00F149A2"/>
    <w:rsid w:val="00F223CF"/>
    <w:rsid w:val="00F251ED"/>
    <w:rsid w:val="00F47261"/>
    <w:rsid w:val="00F51099"/>
    <w:rsid w:val="00F55AFA"/>
    <w:rsid w:val="00F649AC"/>
    <w:rsid w:val="00F67EA4"/>
    <w:rsid w:val="00F72B7F"/>
    <w:rsid w:val="00F75042"/>
    <w:rsid w:val="00F80804"/>
    <w:rsid w:val="00F81EC1"/>
    <w:rsid w:val="00F91225"/>
    <w:rsid w:val="00F9592D"/>
    <w:rsid w:val="00F976AD"/>
    <w:rsid w:val="00FB2F5C"/>
    <w:rsid w:val="00FB6AB0"/>
    <w:rsid w:val="00FC20F2"/>
    <w:rsid w:val="00FC2795"/>
    <w:rsid w:val="00FC7EEE"/>
    <w:rsid w:val="00FD1CF9"/>
    <w:rsid w:val="00FD25FD"/>
    <w:rsid w:val="00FD28BD"/>
    <w:rsid w:val="00FD5CB1"/>
    <w:rsid w:val="00FE5C24"/>
    <w:rsid w:val="00FF024D"/>
    <w:rsid w:val="00FF0D9D"/>
    <w:rsid w:val="00FF0F1D"/>
    <w:rsid w:val="00FF14BB"/>
    <w:rsid w:val="00FF5B3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5324B"/>
  <w15:chartTrackingRefBased/>
  <w15:docId w15:val="{406B2C6C-B64F-4BBE-B82A-EF3E8B070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55F5A"/>
  </w:style>
  <w:style w:type="paragraph" w:styleId="Naslov1">
    <w:name w:val="heading 1"/>
    <w:basedOn w:val="Navaden"/>
    <w:next w:val="Navaden"/>
    <w:link w:val="Naslov1Znak"/>
    <w:uiPriority w:val="9"/>
    <w:qFormat/>
    <w:rsid w:val="00E577F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2F144F"/>
    <w:rPr>
      <w:color w:val="0563C1" w:themeColor="hyperlink"/>
      <w:u w:val="single"/>
    </w:rPr>
  </w:style>
  <w:style w:type="character" w:styleId="Nerazreenaomemba">
    <w:name w:val="Unresolved Mention"/>
    <w:basedOn w:val="Privzetapisavaodstavka"/>
    <w:uiPriority w:val="99"/>
    <w:semiHidden/>
    <w:unhideWhenUsed/>
    <w:rsid w:val="002F144F"/>
    <w:rPr>
      <w:color w:val="605E5C"/>
      <w:shd w:val="clear" w:color="auto" w:fill="E1DFDD"/>
    </w:rPr>
  </w:style>
  <w:style w:type="paragraph" w:styleId="Odstavekseznama">
    <w:name w:val="List Paragraph"/>
    <w:basedOn w:val="Navaden"/>
    <w:uiPriority w:val="34"/>
    <w:qFormat/>
    <w:rsid w:val="00F12F1E"/>
    <w:pPr>
      <w:ind w:left="720"/>
      <w:contextualSpacing/>
    </w:pPr>
  </w:style>
  <w:style w:type="character" w:styleId="Pripombasklic">
    <w:name w:val="annotation reference"/>
    <w:basedOn w:val="Privzetapisavaodstavka"/>
    <w:uiPriority w:val="99"/>
    <w:semiHidden/>
    <w:unhideWhenUsed/>
    <w:rsid w:val="00704B22"/>
    <w:rPr>
      <w:sz w:val="16"/>
      <w:szCs w:val="16"/>
    </w:rPr>
  </w:style>
  <w:style w:type="paragraph" w:styleId="Pripombabesedilo">
    <w:name w:val="annotation text"/>
    <w:basedOn w:val="Navaden"/>
    <w:link w:val="PripombabesediloZnak"/>
    <w:uiPriority w:val="99"/>
    <w:unhideWhenUsed/>
    <w:rsid w:val="00704B22"/>
    <w:pPr>
      <w:spacing w:line="240" w:lineRule="auto"/>
    </w:pPr>
    <w:rPr>
      <w:sz w:val="20"/>
      <w:szCs w:val="20"/>
    </w:rPr>
  </w:style>
  <w:style w:type="character" w:customStyle="1" w:styleId="PripombabesediloZnak">
    <w:name w:val="Pripomba – besedilo Znak"/>
    <w:basedOn w:val="Privzetapisavaodstavka"/>
    <w:link w:val="Pripombabesedilo"/>
    <w:uiPriority w:val="99"/>
    <w:rsid w:val="00704B22"/>
    <w:rPr>
      <w:sz w:val="20"/>
      <w:szCs w:val="20"/>
    </w:rPr>
  </w:style>
  <w:style w:type="paragraph" w:styleId="Zadevapripombe">
    <w:name w:val="annotation subject"/>
    <w:basedOn w:val="Pripombabesedilo"/>
    <w:next w:val="Pripombabesedilo"/>
    <w:link w:val="ZadevapripombeZnak"/>
    <w:uiPriority w:val="99"/>
    <w:semiHidden/>
    <w:unhideWhenUsed/>
    <w:rsid w:val="00704B22"/>
    <w:rPr>
      <w:b/>
      <w:bCs/>
    </w:rPr>
  </w:style>
  <w:style w:type="character" w:customStyle="1" w:styleId="ZadevapripombeZnak">
    <w:name w:val="Zadeva pripombe Znak"/>
    <w:basedOn w:val="PripombabesediloZnak"/>
    <w:link w:val="Zadevapripombe"/>
    <w:uiPriority w:val="99"/>
    <w:semiHidden/>
    <w:rsid w:val="00704B22"/>
    <w:rPr>
      <w:b/>
      <w:bCs/>
      <w:sz w:val="20"/>
      <w:szCs w:val="20"/>
    </w:rPr>
  </w:style>
  <w:style w:type="table" w:styleId="Tabelamrea">
    <w:name w:val="Table Grid"/>
    <w:basedOn w:val="Navadnatabela"/>
    <w:uiPriority w:val="39"/>
    <w:rsid w:val="005B50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10818"/>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SledenaHiperpovezava">
    <w:name w:val="FollowedHyperlink"/>
    <w:basedOn w:val="Privzetapisavaodstavka"/>
    <w:uiPriority w:val="99"/>
    <w:semiHidden/>
    <w:unhideWhenUsed/>
    <w:rsid w:val="00211985"/>
    <w:rPr>
      <w:color w:val="954F72" w:themeColor="followedHyperlink"/>
      <w:u w:val="single"/>
    </w:rPr>
  </w:style>
  <w:style w:type="paragraph" w:styleId="Revizija">
    <w:name w:val="Revision"/>
    <w:hidden/>
    <w:uiPriority w:val="99"/>
    <w:semiHidden/>
    <w:rsid w:val="003A0723"/>
    <w:pPr>
      <w:spacing w:after="0" w:line="240" w:lineRule="auto"/>
    </w:pPr>
  </w:style>
  <w:style w:type="paragraph" w:styleId="Sprotnaopomba-besedilo">
    <w:name w:val="footnote text"/>
    <w:basedOn w:val="Navaden"/>
    <w:link w:val="Sprotnaopomba-besediloZnak"/>
    <w:uiPriority w:val="99"/>
    <w:semiHidden/>
    <w:unhideWhenUsed/>
    <w:rsid w:val="00AB0DFC"/>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AB0DFC"/>
    <w:rPr>
      <w:sz w:val="20"/>
      <w:szCs w:val="20"/>
    </w:rPr>
  </w:style>
  <w:style w:type="character" w:styleId="Sprotnaopomba-sklic">
    <w:name w:val="footnote reference"/>
    <w:basedOn w:val="Privzetapisavaodstavka"/>
    <w:uiPriority w:val="99"/>
    <w:semiHidden/>
    <w:unhideWhenUsed/>
    <w:rsid w:val="00AB0DFC"/>
    <w:rPr>
      <w:vertAlign w:val="superscript"/>
    </w:rPr>
  </w:style>
  <w:style w:type="paragraph" w:styleId="Glava">
    <w:name w:val="header"/>
    <w:basedOn w:val="Navaden"/>
    <w:link w:val="GlavaZnak"/>
    <w:uiPriority w:val="99"/>
    <w:unhideWhenUsed/>
    <w:rsid w:val="001D4B43"/>
    <w:pPr>
      <w:tabs>
        <w:tab w:val="center" w:pos="4536"/>
        <w:tab w:val="right" w:pos="9072"/>
      </w:tabs>
      <w:spacing w:after="0" w:line="240" w:lineRule="auto"/>
    </w:pPr>
  </w:style>
  <w:style w:type="character" w:customStyle="1" w:styleId="GlavaZnak">
    <w:name w:val="Glava Znak"/>
    <w:basedOn w:val="Privzetapisavaodstavka"/>
    <w:link w:val="Glava"/>
    <w:uiPriority w:val="99"/>
    <w:rsid w:val="001D4B43"/>
  </w:style>
  <w:style w:type="paragraph" w:styleId="Noga">
    <w:name w:val="footer"/>
    <w:basedOn w:val="Navaden"/>
    <w:link w:val="NogaZnak"/>
    <w:uiPriority w:val="99"/>
    <w:unhideWhenUsed/>
    <w:rsid w:val="001D4B43"/>
    <w:pPr>
      <w:tabs>
        <w:tab w:val="center" w:pos="4536"/>
        <w:tab w:val="right" w:pos="9072"/>
      </w:tabs>
      <w:spacing w:after="0" w:line="240" w:lineRule="auto"/>
    </w:pPr>
  </w:style>
  <w:style w:type="character" w:customStyle="1" w:styleId="NogaZnak">
    <w:name w:val="Noga Znak"/>
    <w:basedOn w:val="Privzetapisavaodstavka"/>
    <w:link w:val="Noga"/>
    <w:uiPriority w:val="99"/>
    <w:rsid w:val="001D4B43"/>
  </w:style>
  <w:style w:type="paragraph" w:styleId="Napis">
    <w:name w:val="caption"/>
    <w:basedOn w:val="Navaden"/>
    <w:next w:val="Navaden"/>
    <w:uiPriority w:val="35"/>
    <w:semiHidden/>
    <w:unhideWhenUsed/>
    <w:qFormat/>
    <w:rsid w:val="0004687D"/>
    <w:pPr>
      <w:spacing w:after="200" w:line="240" w:lineRule="auto"/>
    </w:pPr>
    <w:rPr>
      <w:i/>
      <w:iCs/>
      <w:color w:val="44546A" w:themeColor="text2"/>
      <w:sz w:val="18"/>
      <w:szCs w:val="18"/>
    </w:rPr>
  </w:style>
  <w:style w:type="character" w:styleId="Besedilooznabemesta">
    <w:name w:val="Placeholder Text"/>
    <w:basedOn w:val="Privzetapisavaodstavka"/>
    <w:uiPriority w:val="99"/>
    <w:semiHidden/>
    <w:rsid w:val="00580938"/>
    <w:rPr>
      <w:color w:val="666666"/>
    </w:rPr>
  </w:style>
  <w:style w:type="table" w:styleId="Tabelamrea4poudarek1">
    <w:name w:val="Grid Table 4 Accent 1"/>
    <w:basedOn w:val="Navadnatabela"/>
    <w:uiPriority w:val="49"/>
    <w:rsid w:val="007E3DB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Naslov1Znak">
    <w:name w:val="Naslov 1 Znak"/>
    <w:basedOn w:val="Privzetapisavaodstavka"/>
    <w:link w:val="Naslov1"/>
    <w:uiPriority w:val="9"/>
    <w:rsid w:val="00E577F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99496">
      <w:bodyDiv w:val="1"/>
      <w:marLeft w:val="0"/>
      <w:marRight w:val="0"/>
      <w:marTop w:val="0"/>
      <w:marBottom w:val="0"/>
      <w:divBdr>
        <w:top w:val="none" w:sz="0" w:space="0" w:color="auto"/>
        <w:left w:val="none" w:sz="0" w:space="0" w:color="auto"/>
        <w:bottom w:val="none" w:sz="0" w:space="0" w:color="auto"/>
        <w:right w:val="none" w:sz="0" w:space="0" w:color="auto"/>
      </w:divBdr>
    </w:div>
    <w:div w:id="74011177">
      <w:bodyDiv w:val="1"/>
      <w:marLeft w:val="0"/>
      <w:marRight w:val="0"/>
      <w:marTop w:val="0"/>
      <w:marBottom w:val="0"/>
      <w:divBdr>
        <w:top w:val="none" w:sz="0" w:space="0" w:color="auto"/>
        <w:left w:val="none" w:sz="0" w:space="0" w:color="auto"/>
        <w:bottom w:val="none" w:sz="0" w:space="0" w:color="auto"/>
        <w:right w:val="none" w:sz="0" w:space="0" w:color="auto"/>
      </w:divBdr>
    </w:div>
    <w:div w:id="78529629">
      <w:bodyDiv w:val="1"/>
      <w:marLeft w:val="0"/>
      <w:marRight w:val="0"/>
      <w:marTop w:val="0"/>
      <w:marBottom w:val="0"/>
      <w:divBdr>
        <w:top w:val="none" w:sz="0" w:space="0" w:color="auto"/>
        <w:left w:val="none" w:sz="0" w:space="0" w:color="auto"/>
        <w:bottom w:val="none" w:sz="0" w:space="0" w:color="auto"/>
        <w:right w:val="none" w:sz="0" w:space="0" w:color="auto"/>
      </w:divBdr>
    </w:div>
    <w:div w:id="833451360">
      <w:bodyDiv w:val="1"/>
      <w:marLeft w:val="0"/>
      <w:marRight w:val="0"/>
      <w:marTop w:val="0"/>
      <w:marBottom w:val="0"/>
      <w:divBdr>
        <w:top w:val="none" w:sz="0" w:space="0" w:color="auto"/>
        <w:left w:val="none" w:sz="0" w:space="0" w:color="auto"/>
        <w:bottom w:val="none" w:sz="0" w:space="0" w:color="auto"/>
        <w:right w:val="none" w:sz="0" w:space="0" w:color="auto"/>
      </w:divBdr>
    </w:div>
    <w:div w:id="860977541">
      <w:bodyDiv w:val="1"/>
      <w:marLeft w:val="0"/>
      <w:marRight w:val="0"/>
      <w:marTop w:val="0"/>
      <w:marBottom w:val="0"/>
      <w:divBdr>
        <w:top w:val="none" w:sz="0" w:space="0" w:color="auto"/>
        <w:left w:val="none" w:sz="0" w:space="0" w:color="auto"/>
        <w:bottom w:val="none" w:sz="0" w:space="0" w:color="auto"/>
        <w:right w:val="none" w:sz="0" w:space="0" w:color="auto"/>
      </w:divBdr>
    </w:div>
    <w:div w:id="1249464323">
      <w:bodyDiv w:val="1"/>
      <w:marLeft w:val="0"/>
      <w:marRight w:val="0"/>
      <w:marTop w:val="0"/>
      <w:marBottom w:val="0"/>
      <w:divBdr>
        <w:top w:val="none" w:sz="0" w:space="0" w:color="auto"/>
        <w:left w:val="none" w:sz="0" w:space="0" w:color="auto"/>
        <w:bottom w:val="none" w:sz="0" w:space="0" w:color="auto"/>
        <w:right w:val="none" w:sz="0" w:space="0" w:color="auto"/>
      </w:divBdr>
    </w:div>
    <w:div w:id="1456556780">
      <w:bodyDiv w:val="1"/>
      <w:marLeft w:val="0"/>
      <w:marRight w:val="0"/>
      <w:marTop w:val="0"/>
      <w:marBottom w:val="0"/>
      <w:divBdr>
        <w:top w:val="none" w:sz="0" w:space="0" w:color="auto"/>
        <w:left w:val="none" w:sz="0" w:space="0" w:color="auto"/>
        <w:bottom w:val="none" w:sz="0" w:space="0" w:color="auto"/>
        <w:right w:val="none" w:sz="0" w:space="0" w:color="auto"/>
      </w:divBdr>
    </w:div>
    <w:div w:id="1555266526">
      <w:bodyDiv w:val="1"/>
      <w:marLeft w:val="0"/>
      <w:marRight w:val="0"/>
      <w:marTop w:val="0"/>
      <w:marBottom w:val="0"/>
      <w:divBdr>
        <w:top w:val="none" w:sz="0" w:space="0" w:color="auto"/>
        <w:left w:val="none" w:sz="0" w:space="0" w:color="auto"/>
        <w:bottom w:val="none" w:sz="0" w:space="0" w:color="auto"/>
        <w:right w:val="none" w:sz="0" w:space="0" w:color="auto"/>
      </w:divBdr>
    </w:div>
    <w:div w:id="1771311875">
      <w:bodyDiv w:val="1"/>
      <w:marLeft w:val="0"/>
      <w:marRight w:val="0"/>
      <w:marTop w:val="0"/>
      <w:marBottom w:val="0"/>
      <w:divBdr>
        <w:top w:val="none" w:sz="0" w:space="0" w:color="auto"/>
        <w:left w:val="none" w:sz="0" w:space="0" w:color="auto"/>
        <w:bottom w:val="none" w:sz="0" w:space="0" w:color="auto"/>
        <w:right w:val="none" w:sz="0" w:space="0" w:color="auto"/>
      </w:divBdr>
    </w:div>
    <w:div w:id="1853185325">
      <w:bodyDiv w:val="1"/>
      <w:marLeft w:val="0"/>
      <w:marRight w:val="0"/>
      <w:marTop w:val="0"/>
      <w:marBottom w:val="0"/>
      <w:divBdr>
        <w:top w:val="none" w:sz="0" w:space="0" w:color="auto"/>
        <w:left w:val="none" w:sz="0" w:space="0" w:color="auto"/>
        <w:bottom w:val="none" w:sz="0" w:space="0" w:color="auto"/>
        <w:right w:val="none" w:sz="0" w:space="0" w:color="auto"/>
      </w:divBdr>
    </w:div>
    <w:div w:id="2031837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file:///C:\Users\PetraFerk\Downloads\2021%20(5th%20Edition)" TargetMode="External"/><Relationship Id="rId26" Type="http://schemas.openxmlformats.org/officeDocument/2006/relationships/hyperlink" Target="https://standards.iteh.ai/catalog/standards/clc/212dd9d2-d6ec-4e64-976b-0035b8f971d4/en-50600-2-3-2019?srsltid=AfmBOopH7t1QiUO73eoRdSkMqvTqic7gS2g1X05KdekMtawq3hcHMoN8" TargetMode="External"/><Relationship Id="rId39" Type="http://schemas.openxmlformats.org/officeDocument/2006/relationships/hyperlink" Target="https://eur-lex.europa.eu/legal-content/SL/TXT/?uri=CELEX%3A32014R0517" TargetMode="External"/><Relationship Id="rId21" Type="http://schemas.openxmlformats.org/officeDocument/2006/relationships/hyperlink" Target="https://eur-lex.europa.eu/legal-content/SL/TXT/HTML/?uri=CELEX:32012L0019" TargetMode="External"/><Relationship Id="rId34" Type="http://schemas.openxmlformats.org/officeDocument/2006/relationships/hyperlink" Target="https://eur-lex.europa.eu/eli/reg/2019/424/oj?locale=sl" TargetMode="External"/><Relationship Id="rId42" Type="http://schemas.openxmlformats.org/officeDocument/2006/relationships/hyperlink" Target="https://eur-lex.europa.eu/legal-content/SL/TXT/?uri=CELEX%3A32012L0019"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ur-lex.europa.eu/legal-content/sl/TXT/?uri=CELEX:32019R0424" TargetMode="External"/><Relationship Id="rId29" Type="http://schemas.openxmlformats.org/officeDocument/2006/relationships/hyperlink" Target="https://e3p.jrc.ec.europa.eu/publications/ict-code-conduct-reporting-form-participants-and-endorsers-guidelin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3p.jrc.ec.europa.eu/publications/ict-code-conduct-reporting-form-participants-and-endorsers-guidelines" TargetMode="External"/><Relationship Id="rId24" Type="http://schemas.openxmlformats.org/officeDocument/2006/relationships/hyperlink" Target="https://standards.iteh.ai/catalog/standards/clc/212dd9d2-d6ec-4e64-976b-0035b8f971d4/en-50600-2-3-2019?srsltid=AfmBOopH7t1QiUO73eoRdSkMqvTqic7gS2g1X05KdekMtawq3hcHMoN8" TargetMode="External"/><Relationship Id="rId32" Type="http://schemas.openxmlformats.org/officeDocument/2006/relationships/hyperlink" Target="https://eur-lex.europa.eu/legal-content/SL/TXT/PDF/?uri=CELEX:02018L2001-20240716" TargetMode="External"/><Relationship Id="rId37" Type="http://schemas.openxmlformats.org/officeDocument/2006/relationships/hyperlink" Target="https://eur-lex.europa.eu/legal-content/sl/TXT/?uri=CELEX%3A32012L0027" TargetMode="External"/><Relationship Id="rId40" Type="http://schemas.openxmlformats.org/officeDocument/2006/relationships/hyperlink" Target="https://eur-lex.europa.eu/legal-content/SL/TXT/?uri=CELEX%3A32014R0517"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C:\Users\PetraFerk\Downloads\2021%20(5th%20Edition)" TargetMode="External"/><Relationship Id="rId23" Type="http://schemas.openxmlformats.org/officeDocument/2006/relationships/hyperlink" Target="https://eur-lex.europa.eu/legal-content/SL/TXT/?uri=CELEX:32009R1005" TargetMode="External"/><Relationship Id="rId28" Type="http://schemas.openxmlformats.org/officeDocument/2006/relationships/hyperlink" Target="https://e3p.jrc.ec.europa.eu/publications/ict-code-conduct-reporting-form-participants-and-endorsers-guidelines" TargetMode="External"/><Relationship Id="rId36" Type="http://schemas.openxmlformats.org/officeDocument/2006/relationships/hyperlink" Target="https://eur-lex.europa.eu/legal-content/sl/TXT/?uri=CELEX%3A32018L2001" TargetMode="External"/><Relationship Id="rId10" Type="http://schemas.openxmlformats.org/officeDocument/2006/relationships/hyperlink" Target="https://joint-research-centre.ec.europa.eu/scientific-activities-z/energy-efficiency/energy-efficiency-products/code-conduct-ict/european-code-conduct-energy-efficiency-data-centres_en" TargetMode="External"/><Relationship Id="rId19" Type="http://schemas.openxmlformats.org/officeDocument/2006/relationships/hyperlink" Target="https://eur-lex.europa.eu/legal-content/sl/TXT/?uri=CELEX:32019R0424" TargetMode="External"/><Relationship Id="rId31" Type="http://schemas.openxmlformats.org/officeDocument/2006/relationships/hyperlink" Target="https://standards.iteh.ai/catalog/standards/clc/0107ec33-6837-4327-83bd-18621f78d6fb/en-50600-4-6-2020?srsltid=AfmBOookgANqxmOB_cOMQUmaNWe5UMmq4UnzKGeUOEZ9oSJ1iFQb94PL"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ircabc.europa.eu/ui/group/44278090-3fae-4515-bcc2-44fd57c1d0d1/library/1fe58880-b7b6-477f-8fb8-1fb490e0a64c?p=1&amp;n=10&amp;sort=modified_DESC" TargetMode="External"/><Relationship Id="rId14" Type="http://schemas.openxmlformats.org/officeDocument/2006/relationships/hyperlink" Target="https://eur-lex.europa.eu/legal-content/sl/TXT/?uri=CELEX:32019R0424" TargetMode="External"/><Relationship Id="rId22" Type="http://schemas.openxmlformats.org/officeDocument/2006/relationships/hyperlink" Target="https://eur-lex.europa.eu/legal-content/sl/TXT/?uri=CELEX:32019R0424" TargetMode="External"/><Relationship Id="rId27" Type="http://schemas.openxmlformats.org/officeDocument/2006/relationships/hyperlink" Target="https://e3p.jrc.ec.europa.eu/publications/ict-code-conduct-reporting-form-participants-and-endorsers-guidelines" TargetMode="External"/><Relationship Id="rId30" Type="http://schemas.openxmlformats.org/officeDocument/2006/relationships/hyperlink" Target="https://e3p.jrc.ec.europa.eu/publications/ict-code-conduct-reporting-form-participants-and-endorsers-guidelines" TargetMode="External"/><Relationship Id="rId35" Type="http://schemas.openxmlformats.org/officeDocument/2006/relationships/hyperlink" Target="https://eur-lex.europa.eu/legal-content/SL/TXT/PDF/?uri=CELEX:02018L2001-20240716" TargetMode="External"/><Relationship Id="rId43" Type="http://schemas.openxmlformats.org/officeDocument/2006/relationships/image" Target="media/image4.png"/><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eur-lex.europa.eu/legal-content/sl/TXT/?uri=CELEX:32019R0424" TargetMode="External"/><Relationship Id="rId25" Type="http://schemas.openxmlformats.org/officeDocument/2006/relationships/hyperlink" Target="https://standards.iteh.ai/catalog/standards/clc/212dd9d2-d6ec-4e64-976b-0035b8f971d4/en-50600-2-3-2019?srsltid=AfmBOopH7t1QiUO73eoRdSkMqvTqic7gS2g1X05KdekMtawq3hcHMoN8" TargetMode="External"/><Relationship Id="rId33" Type="http://schemas.openxmlformats.org/officeDocument/2006/relationships/hyperlink" Target="https://eur-lex.europa.eu/legal-content/SL/TXT/?uri=CELEX%3A32014R0517" TargetMode="External"/><Relationship Id="rId38" Type="http://schemas.openxmlformats.org/officeDocument/2006/relationships/hyperlink" Target="https://eur-lex.europa.eu/legal-content/SL/TXT/PDF/?uri=CELEX:02018L2001-20240716" TargetMode="External"/><Relationship Id="rId46" Type="http://schemas.openxmlformats.org/officeDocument/2006/relationships/theme" Target="theme/theme1.xml"/><Relationship Id="rId20" Type="http://schemas.openxmlformats.org/officeDocument/2006/relationships/hyperlink" Target="https://eur-lex.europa.eu/legal-content/SL/TXT/HTML/?uri=CELEX:02012L0019-20180704" TargetMode="External"/><Relationship Id="rId41" Type="http://schemas.openxmlformats.org/officeDocument/2006/relationships/hyperlink" Target="https://eur-lex.europa.eu/legal-content/SL/TXT/?uri=celex%3A32008L0098"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sl/TXT/?uri=CELEX%3A32023L1791" TargetMode="External"/><Relationship Id="rId1" Type="http://schemas.openxmlformats.org/officeDocument/2006/relationships/hyperlink" Target="https://eur-lex.europa.eu/legal-content/EN/TXT/?uri=CELEX%3A02019R0424-20210501"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AAC4AB3-69C0-4B6C-BAA6-C6E7611DC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28</Pages>
  <Words>10714</Words>
  <Characters>61076</Characters>
  <Application>Microsoft Office Word</Application>
  <DocSecurity>0</DocSecurity>
  <Lines>508</Lines>
  <Paragraphs>143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Manca</dc:creator>
  <cp:keywords/>
  <dc:description/>
  <cp:lastModifiedBy>Ajda Kostanjšek</cp:lastModifiedBy>
  <cp:revision>5</cp:revision>
  <cp:lastPrinted>2025-10-11T17:03:00Z</cp:lastPrinted>
  <dcterms:created xsi:type="dcterms:W3CDTF">2025-10-24T10:56:00Z</dcterms:created>
  <dcterms:modified xsi:type="dcterms:W3CDTF">2025-10-27T10:42:00Z</dcterms:modified>
</cp:coreProperties>
</file>