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2ECC0" w14:textId="77777777" w:rsidR="00FA3244" w:rsidRDefault="00FA3244" w:rsidP="008F1D52">
      <w:pPr>
        <w:pStyle w:val="datumtevilka"/>
        <w:tabs>
          <w:tab w:val="clear" w:pos="1701"/>
          <w:tab w:val="left" w:pos="1100"/>
        </w:tabs>
        <w:spacing w:line="276" w:lineRule="auto"/>
        <w:jc w:val="both"/>
        <w:rPr>
          <w:rFonts w:cs="Arial"/>
          <w:noProof/>
        </w:rPr>
      </w:pPr>
    </w:p>
    <w:p w14:paraId="22B84346" w14:textId="11F9A189" w:rsidR="00FA3244" w:rsidRDefault="00FA3244" w:rsidP="008F1D52">
      <w:pPr>
        <w:pStyle w:val="datumtevilka"/>
        <w:tabs>
          <w:tab w:val="clear" w:pos="1701"/>
          <w:tab w:val="left" w:pos="1100"/>
        </w:tabs>
        <w:spacing w:line="276" w:lineRule="auto"/>
        <w:jc w:val="both"/>
        <w:rPr>
          <w:rFonts w:cs="Arial"/>
          <w:noProof/>
        </w:rPr>
      </w:pPr>
    </w:p>
    <w:p w14:paraId="30B6B4BA" w14:textId="77777777" w:rsidR="00FA3244" w:rsidRDefault="00FA3244" w:rsidP="008F1D52">
      <w:pPr>
        <w:pStyle w:val="datumtevilka"/>
        <w:tabs>
          <w:tab w:val="clear" w:pos="1701"/>
          <w:tab w:val="left" w:pos="1100"/>
        </w:tabs>
        <w:spacing w:line="276" w:lineRule="auto"/>
        <w:jc w:val="both"/>
        <w:rPr>
          <w:rFonts w:cs="Arial"/>
          <w:noProof/>
        </w:rPr>
      </w:pPr>
    </w:p>
    <w:p w14:paraId="42CC5A7C" w14:textId="17A1514A" w:rsidR="00FA3244" w:rsidRDefault="00FA3244" w:rsidP="008F1D52">
      <w:pPr>
        <w:pStyle w:val="datumtevilka"/>
        <w:tabs>
          <w:tab w:val="clear" w:pos="1701"/>
          <w:tab w:val="left" w:pos="1100"/>
        </w:tabs>
        <w:spacing w:line="276" w:lineRule="auto"/>
        <w:jc w:val="both"/>
        <w:rPr>
          <w:rFonts w:cs="Arial"/>
        </w:rPr>
      </w:pPr>
      <w:r>
        <w:rPr>
          <w:rFonts w:cs="Arial"/>
          <w:noProof/>
        </w:rPr>
        <w:drawing>
          <wp:inline distT="0" distB="0" distL="0" distR="0" wp14:anchorId="6411482F" wp14:editId="774F1725">
            <wp:extent cx="5394960" cy="1287780"/>
            <wp:effectExtent l="0" t="0" r="0" b="7620"/>
            <wp:docPr id="2" name="Slika 2" descr="Logo Ministrstva za javno upravo, Direktorata za javno naroča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Logo Ministrstva za javno upravo, Direktorata za javno naročanj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4960" cy="1287780"/>
                    </a:xfrm>
                    <a:prstGeom prst="rect">
                      <a:avLst/>
                    </a:prstGeom>
                    <a:noFill/>
                    <a:ln>
                      <a:noFill/>
                    </a:ln>
                  </pic:spPr>
                </pic:pic>
              </a:graphicData>
            </a:graphic>
          </wp:inline>
        </w:drawing>
      </w:r>
    </w:p>
    <w:p w14:paraId="6549230A" w14:textId="7A8B085A" w:rsidR="00E728F9" w:rsidRPr="008F1D52" w:rsidRDefault="00E728F9" w:rsidP="008F1D52">
      <w:pPr>
        <w:pStyle w:val="datumtevilka"/>
        <w:tabs>
          <w:tab w:val="clear" w:pos="1701"/>
          <w:tab w:val="left" w:pos="1100"/>
        </w:tabs>
        <w:spacing w:line="276" w:lineRule="auto"/>
        <w:jc w:val="both"/>
        <w:rPr>
          <w:rFonts w:cs="Arial"/>
        </w:rPr>
      </w:pPr>
      <w:r w:rsidRPr="008F1D52">
        <w:rPr>
          <w:rFonts w:cs="Arial"/>
        </w:rPr>
        <w:t xml:space="preserve">Številka: </w:t>
      </w:r>
      <w:r w:rsidRPr="008F1D52">
        <w:rPr>
          <w:rFonts w:cs="Arial"/>
        </w:rPr>
        <w:tab/>
      </w:r>
      <w:r w:rsidR="000370EE" w:rsidRPr="00E710E1">
        <w:rPr>
          <w:rFonts w:cs="Arial"/>
          <w:lang w:eastAsia="en-US"/>
        </w:rPr>
        <w:t>0</w:t>
      </w:r>
      <w:r w:rsidR="00BD6116">
        <w:rPr>
          <w:rFonts w:cs="Arial"/>
          <w:lang w:eastAsia="en-US"/>
        </w:rPr>
        <w:t>10</w:t>
      </w:r>
      <w:r w:rsidR="000370EE" w:rsidRPr="00E710E1">
        <w:rPr>
          <w:rFonts w:cs="Arial"/>
          <w:lang w:eastAsia="en-US"/>
        </w:rPr>
        <w:t>-</w:t>
      </w:r>
      <w:r w:rsidR="00BD6116">
        <w:rPr>
          <w:rFonts w:cs="Arial"/>
          <w:lang w:eastAsia="en-US"/>
        </w:rPr>
        <w:t>57</w:t>
      </w:r>
      <w:r w:rsidR="000370EE">
        <w:rPr>
          <w:rFonts w:cs="Arial"/>
          <w:lang w:eastAsia="en-US"/>
        </w:rPr>
        <w:t>/2021/</w:t>
      </w:r>
      <w:r w:rsidR="00EF2EB8">
        <w:rPr>
          <w:rFonts w:cs="Arial"/>
          <w:lang w:eastAsia="en-US"/>
        </w:rPr>
        <w:t>6</w:t>
      </w:r>
    </w:p>
    <w:p w14:paraId="41D223F4" w14:textId="3B929658" w:rsidR="00E728F9" w:rsidRPr="008F1D52" w:rsidRDefault="00E728F9" w:rsidP="008F1D52">
      <w:pPr>
        <w:pStyle w:val="datumtevilka"/>
        <w:tabs>
          <w:tab w:val="clear" w:pos="1701"/>
          <w:tab w:val="left" w:pos="1100"/>
        </w:tabs>
        <w:spacing w:line="276" w:lineRule="auto"/>
        <w:rPr>
          <w:rFonts w:cs="Arial"/>
        </w:rPr>
      </w:pPr>
      <w:r w:rsidRPr="008F1D52">
        <w:rPr>
          <w:rFonts w:cs="Arial"/>
        </w:rPr>
        <w:t xml:space="preserve">Datum: </w:t>
      </w:r>
      <w:r w:rsidRPr="008F1D52">
        <w:rPr>
          <w:rFonts w:cs="Arial"/>
        </w:rPr>
        <w:tab/>
      </w:r>
      <w:r w:rsidR="000F1B0B">
        <w:rPr>
          <w:rFonts w:cs="Arial"/>
        </w:rPr>
        <w:t>4</w:t>
      </w:r>
      <w:r w:rsidR="00B124A2">
        <w:rPr>
          <w:rFonts w:cs="Arial"/>
        </w:rPr>
        <w:t xml:space="preserve">. </w:t>
      </w:r>
      <w:r w:rsidR="000F1B0B">
        <w:rPr>
          <w:rFonts w:cs="Arial"/>
        </w:rPr>
        <w:t>8</w:t>
      </w:r>
      <w:r w:rsidR="00B124A2">
        <w:rPr>
          <w:rFonts w:cs="Arial"/>
        </w:rPr>
        <w:t>. 20</w:t>
      </w:r>
      <w:r w:rsidR="000370EE">
        <w:rPr>
          <w:rFonts w:cs="Arial"/>
        </w:rPr>
        <w:t>21</w:t>
      </w:r>
    </w:p>
    <w:p w14:paraId="40B75C73" w14:textId="793C63D2" w:rsidR="00C91D4E" w:rsidRDefault="00C91D4E" w:rsidP="008F1D52">
      <w:pPr>
        <w:spacing w:line="276" w:lineRule="auto"/>
        <w:rPr>
          <w:rFonts w:cs="Arial"/>
          <w:szCs w:val="20"/>
          <w:lang w:val="sl-SI"/>
        </w:rPr>
      </w:pPr>
    </w:p>
    <w:p w14:paraId="1CCE61A2" w14:textId="77777777" w:rsidR="00D74E39" w:rsidRDefault="00D74E39" w:rsidP="008F1D52">
      <w:pPr>
        <w:spacing w:line="276" w:lineRule="auto"/>
        <w:rPr>
          <w:rFonts w:cs="Arial"/>
          <w:szCs w:val="20"/>
          <w:lang w:val="sl-SI"/>
        </w:rPr>
      </w:pPr>
    </w:p>
    <w:p w14:paraId="068EDD4A" w14:textId="02880468" w:rsidR="00D74E39" w:rsidRPr="00202A77" w:rsidRDefault="00D74E39" w:rsidP="00D74E39">
      <w:pPr>
        <w:pStyle w:val="ZADEVA"/>
        <w:rPr>
          <w:lang w:val="sl-SI"/>
        </w:rPr>
      </w:pPr>
      <w:r w:rsidRPr="00202A77">
        <w:rPr>
          <w:lang w:val="sl-SI"/>
        </w:rPr>
        <w:t xml:space="preserve">Zadeva: </w:t>
      </w:r>
      <w:r w:rsidRPr="00202A77">
        <w:rPr>
          <w:lang w:val="sl-SI"/>
        </w:rPr>
        <w:tab/>
      </w:r>
      <w:r w:rsidR="00BD6116">
        <w:rPr>
          <w:rFonts w:ascii="Arial,Bold" w:hAnsi="Arial,Bold" w:cs="Arial,Bold"/>
          <w:bCs/>
          <w:szCs w:val="20"/>
          <w:lang w:val="sl-SI" w:eastAsia="sl-SI"/>
        </w:rPr>
        <w:t>Posebne gradbene uzance 2020</w:t>
      </w:r>
    </w:p>
    <w:p w14:paraId="31CC09EB" w14:textId="77777777" w:rsidR="00D74E39" w:rsidRDefault="00D74E39" w:rsidP="00D74E39">
      <w:pPr>
        <w:rPr>
          <w:lang w:val="sl-SI"/>
        </w:rPr>
      </w:pPr>
    </w:p>
    <w:p w14:paraId="7BA55263" w14:textId="77777777" w:rsidR="00D74E39" w:rsidRPr="00202A77" w:rsidRDefault="00D74E39" w:rsidP="00D74E39">
      <w:pPr>
        <w:rPr>
          <w:lang w:val="sl-SI"/>
        </w:rPr>
      </w:pPr>
    </w:p>
    <w:p w14:paraId="10568DE3" w14:textId="4CD1B0C5" w:rsidR="00D74E39" w:rsidRPr="00604CF6" w:rsidRDefault="00BD6116" w:rsidP="00D74E39">
      <w:pPr>
        <w:pStyle w:val="Brezrazmikov2"/>
        <w:spacing w:line="276" w:lineRule="auto"/>
        <w:jc w:val="both"/>
        <w:rPr>
          <w:rFonts w:cs="Arial"/>
          <w:sz w:val="20"/>
          <w:szCs w:val="20"/>
        </w:rPr>
      </w:pPr>
      <w:r>
        <w:rPr>
          <w:rFonts w:cs="Arial"/>
          <w:sz w:val="20"/>
          <w:szCs w:val="20"/>
        </w:rPr>
        <w:t xml:space="preserve">Ministrstvo za javno upravo je bilo seznanjeno, da so bile v letu 2020 izdane </w:t>
      </w:r>
      <w:r w:rsidRPr="00BD6116">
        <w:rPr>
          <w:rFonts w:cs="Arial"/>
          <w:sz w:val="20"/>
          <w:szCs w:val="20"/>
        </w:rPr>
        <w:t>prenovljene Posebne gradbene uzance 2020 (v nadaljnjem besedilu: PGU 2020)</w:t>
      </w:r>
      <w:r w:rsidR="00901BE3">
        <w:rPr>
          <w:rFonts w:cs="Arial"/>
          <w:sz w:val="20"/>
          <w:szCs w:val="20"/>
        </w:rPr>
        <w:t>, katerih uporaba je predvidena od 21. decembra 2020 dalje</w:t>
      </w:r>
      <w:r w:rsidRPr="00BD6116">
        <w:rPr>
          <w:rFonts w:cs="Arial"/>
          <w:sz w:val="20"/>
          <w:szCs w:val="20"/>
        </w:rPr>
        <w:t>.</w:t>
      </w:r>
    </w:p>
    <w:p w14:paraId="1B9B8752" w14:textId="38A30545" w:rsidR="00BD6116" w:rsidRDefault="00BD6116" w:rsidP="00D74E39">
      <w:pPr>
        <w:spacing w:line="276" w:lineRule="auto"/>
        <w:jc w:val="both"/>
        <w:rPr>
          <w:rFonts w:cs="Arial"/>
          <w:szCs w:val="20"/>
          <w:lang w:val="sl-SI"/>
        </w:rPr>
      </w:pPr>
    </w:p>
    <w:p w14:paraId="610DEF8C" w14:textId="3139BAAA" w:rsidR="00BD6116" w:rsidRDefault="00710858" w:rsidP="00710858">
      <w:pPr>
        <w:pStyle w:val="Brezrazmikov2"/>
        <w:spacing w:line="276" w:lineRule="auto"/>
        <w:jc w:val="both"/>
        <w:rPr>
          <w:rFonts w:cs="Arial"/>
          <w:sz w:val="20"/>
          <w:szCs w:val="20"/>
        </w:rPr>
      </w:pPr>
      <w:r>
        <w:rPr>
          <w:rFonts w:cs="Arial"/>
          <w:sz w:val="20"/>
          <w:szCs w:val="20"/>
        </w:rPr>
        <w:t xml:space="preserve">Kot izhaja iz besedila </w:t>
      </w:r>
      <w:r w:rsidR="00BD6116" w:rsidRPr="00710858">
        <w:rPr>
          <w:rFonts w:cs="Arial"/>
          <w:sz w:val="20"/>
          <w:szCs w:val="20"/>
        </w:rPr>
        <w:t xml:space="preserve">PGU 2020 je </w:t>
      </w:r>
      <w:r>
        <w:rPr>
          <w:rFonts w:cs="Arial"/>
          <w:sz w:val="20"/>
          <w:szCs w:val="20"/>
        </w:rPr>
        <w:t xml:space="preserve">le-te </w:t>
      </w:r>
      <w:r w:rsidR="00BD6116" w:rsidRPr="00710858">
        <w:rPr>
          <w:rFonts w:cs="Arial"/>
          <w:sz w:val="20"/>
          <w:szCs w:val="20"/>
        </w:rPr>
        <w:t>pripravila posebna delovna skupina v okviru Zbornice gradbeništva in</w:t>
      </w:r>
      <w:r>
        <w:rPr>
          <w:rFonts w:cs="Arial"/>
          <w:sz w:val="20"/>
          <w:szCs w:val="20"/>
        </w:rPr>
        <w:t xml:space="preserve"> </w:t>
      </w:r>
      <w:r w:rsidR="00BD6116" w:rsidRPr="00710858">
        <w:rPr>
          <w:rFonts w:cs="Arial"/>
          <w:sz w:val="20"/>
          <w:szCs w:val="20"/>
        </w:rPr>
        <w:t>industrije gradbenega materiala na Gospodarski zbornici Slovenije (</w:t>
      </w:r>
      <w:r>
        <w:rPr>
          <w:rFonts w:cs="Arial"/>
          <w:sz w:val="20"/>
          <w:szCs w:val="20"/>
        </w:rPr>
        <w:t xml:space="preserve">v nadaljnjem besedilu: </w:t>
      </w:r>
      <w:r w:rsidR="00BD6116" w:rsidRPr="00710858">
        <w:rPr>
          <w:rFonts w:cs="Arial"/>
          <w:sz w:val="20"/>
          <w:szCs w:val="20"/>
        </w:rPr>
        <w:t>GZS).</w:t>
      </w:r>
      <w:r>
        <w:rPr>
          <w:rFonts w:cs="Arial"/>
          <w:sz w:val="20"/>
          <w:szCs w:val="20"/>
        </w:rPr>
        <w:t xml:space="preserve"> </w:t>
      </w:r>
      <w:r w:rsidR="00BD6116" w:rsidRPr="00710858">
        <w:rPr>
          <w:rFonts w:cs="Arial"/>
          <w:sz w:val="20"/>
          <w:szCs w:val="20"/>
        </w:rPr>
        <w:t>V strokovno javno razpravo</w:t>
      </w:r>
      <w:r>
        <w:rPr>
          <w:rFonts w:cs="Arial"/>
          <w:sz w:val="20"/>
          <w:szCs w:val="20"/>
        </w:rPr>
        <w:t xml:space="preserve"> so bili po navedbah PGU 2020 </w:t>
      </w:r>
      <w:r w:rsidR="00BD6116" w:rsidRPr="00710858">
        <w:rPr>
          <w:rFonts w:cs="Arial"/>
          <w:sz w:val="20"/>
          <w:szCs w:val="20"/>
        </w:rPr>
        <w:t>vključeni še Združenje za</w:t>
      </w:r>
      <w:r w:rsidR="005F62DA">
        <w:rPr>
          <w:rFonts w:cs="Arial"/>
          <w:sz w:val="20"/>
          <w:szCs w:val="20"/>
        </w:rPr>
        <w:t xml:space="preserve"> </w:t>
      </w:r>
      <w:r w:rsidR="00BD6116" w:rsidRPr="00710858">
        <w:rPr>
          <w:rFonts w:cs="Arial"/>
          <w:sz w:val="20"/>
          <w:szCs w:val="20"/>
        </w:rPr>
        <w:t>inženiring in Združenje za svetovalni inženiring, oba pri GZS, Sekcija</w:t>
      </w:r>
      <w:r>
        <w:rPr>
          <w:rFonts w:cs="Arial"/>
          <w:sz w:val="20"/>
          <w:szCs w:val="20"/>
        </w:rPr>
        <w:t xml:space="preserve"> </w:t>
      </w:r>
      <w:r w:rsidR="00BD6116" w:rsidRPr="00710858">
        <w:rPr>
          <w:rFonts w:cs="Arial"/>
          <w:sz w:val="20"/>
          <w:szCs w:val="20"/>
        </w:rPr>
        <w:t>gradbincev pri Obrtno-podjetniški zbornici Slovenije (</w:t>
      </w:r>
      <w:r>
        <w:rPr>
          <w:rFonts w:cs="Arial"/>
          <w:sz w:val="20"/>
          <w:szCs w:val="20"/>
        </w:rPr>
        <w:t xml:space="preserve">v nadaljnjem besedilu: </w:t>
      </w:r>
      <w:r w:rsidR="00BD6116" w:rsidRPr="00710858">
        <w:rPr>
          <w:rFonts w:cs="Arial"/>
          <w:sz w:val="20"/>
          <w:szCs w:val="20"/>
        </w:rPr>
        <w:t>OZS), Inženirska zbornica</w:t>
      </w:r>
      <w:r>
        <w:rPr>
          <w:rFonts w:cs="Arial"/>
          <w:sz w:val="20"/>
          <w:szCs w:val="20"/>
        </w:rPr>
        <w:t xml:space="preserve"> </w:t>
      </w:r>
      <w:r w:rsidR="00BD6116" w:rsidRPr="00710858">
        <w:rPr>
          <w:rFonts w:cs="Arial"/>
          <w:sz w:val="20"/>
          <w:szCs w:val="20"/>
        </w:rPr>
        <w:t>Slovenije (</w:t>
      </w:r>
      <w:r>
        <w:rPr>
          <w:rFonts w:cs="Arial"/>
          <w:sz w:val="20"/>
          <w:szCs w:val="20"/>
        </w:rPr>
        <w:t xml:space="preserve">v nadaljnjem besedilu: </w:t>
      </w:r>
      <w:r w:rsidR="00BD6116" w:rsidRPr="00710858">
        <w:rPr>
          <w:rFonts w:cs="Arial"/>
          <w:sz w:val="20"/>
          <w:szCs w:val="20"/>
        </w:rPr>
        <w:t>IZS) ter pravni strokovnjaki iz odvetniških družb, ki delujejo na področju</w:t>
      </w:r>
      <w:r>
        <w:rPr>
          <w:rFonts w:cs="Arial"/>
          <w:sz w:val="20"/>
          <w:szCs w:val="20"/>
        </w:rPr>
        <w:t xml:space="preserve"> </w:t>
      </w:r>
      <w:r w:rsidR="00BD6116" w:rsidRPr="00710858">
        <w:rPr>
          <w:rFonts w:cs="Arial"/>
          <w:sz w:val="20"/>
          <w:szCs w:val="20"/>
        </w:rPr>
        <w:t>javnih naročil gradenj in gradbenih pogodb.</w:t>
      </w:r>
    </w:p>
    <w:p w14:paraId="0E8D8B4D" w14:textId="6725D266" w:rsidR="00710858" w:rsidRDefault="00710858" w:rsidP="00710858">
      <w:pPr>
        <w:pStyle w:val="Brezrazmikov2"/>
        <w:spacing w:line="276" w:lineRule="auto"/>
        <w:jc w:val="both"/>
        <w:rPr>
          <w:rFonts w:cs="Arial"/>
          <w:sz w:val="20"/>
          <w:szCs w:val="20"/>
        </w:rPr>
      </w:pPr>
    </w:p>
    <w:p w14:paraId="3105938F" w14:textId="172F1CF5" w:rsidR="00710858" w:rsidRDefault="00710858" w:rsidP="00710858">
      <w:pPr>
        <w:pStyle w:val="Brezrazmikov2"/>
        <w:spacing w:line="276" w:lineRule="auto"/>
        <w:jc w:val="both"/>
        <w:rPr>
          <w:rFonts w:cs="Arial"/>
          <w:sz w:val="20"/>
          <w:szCs w:val="20"/>
        </w:rPr>
      </w:pPr>
      <w:r>
        <w:rPr>
          <w:rFonts w:cs="Arial"/>
          <w:sz w:val="20"/>
          <w:szCs w:val="20"/>
        </w:rPr>
        <w:t xml:space="preserve">Ministrstvo za javno upravo pri pripravi PGU 2020 ni sodelovalo, niti za takšno sodelovanje ni pristojno, zato ne da bi se opredeljevali do veljavnosti uzanc ter do dometa njihove uporabe  želimo naročnikom, ki so zavezanci po pravilih javnega naročanja, z vidika </w:t>
      </w:r>
      <w:proofErr w:type="spellStart"/>
      <w:r>
        <w:rPr>
          <w:rFonts w:cs="Arial"/>
          <w:sz w:val="20"/>
          <w:szCs w:val="20"/>
        </w:rPr>
        <w:t>javnonaročniške</w:t>
      </w:r>
      <w:proofErr w:type="spellEnd"/>
      <w:r>
        <w:rPr>
          <w:rFonts w:cs="Arial"/>
          <w:sz w:val="20"/>
          <w:szCs w:val="20"/>
        </w:rPr>
        <w:t xml:space="preserve"> zakonodaje posredovati nekatera opozorila v zvezi z vsebino PGU 2020.</w:t>
      </w:r>
    </w:p>
    <w:p w14:paraId="0576A505" w14:textId="33A56544" w:rsidR="005F62DA" w:rsidRDefault="005F62DA" w:rsidP="00710858">
      <w:pPr>
        <w:pStyle w:val="Brezrazmikov2"/>
        <w:spacing w:line="276" w:lineRule="auto"/>
        <w:jc w:val="both"/>
        <w:rPr>
          <w:rFonts w:cs="Arial"/>
          <w:sz w:val="20"/>
          <w:szCs w:val="20"/>
        </w:rPr>
      </w:pPr>
    </w:p>
    <w:p w14:paraId="6B2AC13C" w14:textId="03A4953A" w:rsidR="005F62DA" w:rsidRDefault="005F62DA" w:rsidP="00710858">
      <w:pPr>
        <w:pStyle w:val="Brezrazmikov2"/>
        <w:spacing w:line="276" w:lineRule="auto"/>
        <w:jc w:val="both"/>
        <w:rPr>
          <w:rFonts w:cs="Arial"/>
          <w:sz w:val="20"/>
          <w:szCs w:val="20"/>
        </w:rPr>
      </w:pPr>
      <w:proofErr w:type="spellStart"/>
      <w:r>
        <w:rPr>
          <w:rFonts w:cs="Arial"/>
          <w:sz w:val="20"/>
          <w:szCs w:val="20"/>
        </w:rPr>
        <w:t>Javnonaročniška</w:t>
      </w:r>
      <w:proofErr w:type="spellEnd"/>
      <w:r>
        <w:rPr>
          <w:rFonts w:cs="Arial"/>
          <w:sz w:val="20"/>
          <w:szCs w:val="20"/>
        </w:rPr>
        <w:t xml:space="preserve"> zakonodaja, zlasti Zakon o javnem naročanju </w:t>
      </w:r>
      <w:r w:rsidRPr="005F62DA">
        <w:rPr>
          <w:rFonts w:cs="Arial"/>
          <w:sz w:val="20"/>
          <w:szCs w:val="20"/>
        </w:rPr>
        <w:t>(Uradni list RS, št. 91/15 in 14/18; v nadaljnjem besedilu: ZJN-3)</w:t>
      </w:r>
      <w:r>
        <w:rPr>
          <w:rFonts w:cs="Arial"/>
          <w:sz w:val="20"/>
          <w:szCs w:val="20"/>
        </w:rPr>
        <w:t xml:space="preserve"> je specialen predpis, ki med drugim vključuje tudi natančna določila o obveznih sestavinah pogodbe o oddaji javnega naročila, ki mora biti del prvotno objavljene razpisne dokumentacije o javnem naročilu, natančna določila o morebitnih dopustnih spremembah pogodbe, ipd.</w:t>
      </w:r>
    </w:p>
    <w:p w14:paraId="19D2D000" w14:textId="47824A12" w:rsidR="00710858" w:rsidRDefault="00710858" w:rsidP="00710858">
      <w:pPr>
        <w:pStyle w:val="Brezrazmikov2"/>
        <w:spacing w:line="276" w:lineRule="auto"/>
        <w:jc w:val="both"/>
        <w:rPr>
          <w:rFonts w:cs="Arial"/>
          <w:sz w:val="20"/>
          <w:szCs w:val="20"/>
        </w:rPr>
      </w:pPr>
    </w:p>
    <w:p w14:paraId="3E47C39A" w14:textId="004E5199" w:rsidR="00741E44" w:rsidRDefault="00741E44" w:rsidP="00741E44">
      <w:pPr>
        <w:pStyle w:val="Brezrazmikov2"/>
        <w:spacing w:line="276" w:lineRule="auto"/>
        <w:jc w:val="both"/>
        <w:rPr>
          <w:rFonts w:cs="Arial"/>
          <w:sz w:val="20"/>
          <w:szCs w:val="20"/>
        </w:rPr>
      </w:pPr>
      <w:r w:rsidRPr="000C16A5">
        <w:rPr>
          <w:rFonts w:cs="Arial"/>
          <w:sz w:val="20"/>
          <w:szCs w:val="20"/>
        </w:rPr>
        <w:t xml:space="preserve">Ko je pogodba o izvedbi javnega naročila sklenjena, </w:t>
      </w:r>
      <w:r w:rsidR="000C16A5" w:rsidRPr="000C16A5">
        <w:rPr>
          <w:rFonts w:cs="Arial"/>
          <w:sz w:val="20"/>
          <w:szCs w:val="20"/>
        </w:rPr>
        <w:t>postane</w:t>
      </w:r>
      <w:r w:rsidRPr="000C16A5">
        <w:rPr>
          <w:rFonts w:cs="Arial"/>
          <w:sz w:val="20"/>
          <w:szCs w:val="20"/>
        </w:rPr>
        <w:t xml:space="preserve"> pogodba civilnega prava in </w:t>
      </w:r>
      <w:r w:rsidR="000C16A5" w:rsidRPr="000C16A5">
        <w:rPr>
          <w:rFonts w:cs="Arial"/>
          <w:sz w:val="20"/>
          <w:szCs w:val="20"/>
        </w:rPr>
        <w:t xml:space="preserve">je </w:t>
      </w:r>
      <w:r w:rsidRPr="000C16A5">
        <w:rPr>
          <w:rFonts w:cs="Arial"/>
          <w:sz w:val="20"/>
          <w:szCs w:val="20"/>
        </w:rPr>
        <w:t xml:space="preserve">tako od sklenitve dalje podrejena pravilom pogodbenega prava, za katerega je značilna pogodbena svoboda, ki izhaja iz načela avtonomije volje strank. Pogodbena svoboda pa pri teh pogodbah ne more biti absolutna in je zaradi zasledovanja ciljev javnega naročanja </w:t>
      </w:r>
      <w:r w:rsidR="000C16A5" w:rsidRPr="000C16A5">
        <w:rPr>
          <w:rFonts w:cs="Arial"/>
          <w:sz w:val="20"/>
          <w:szCs w:val="20"/>
        </w:rPr>
        <w:t xml:space="preserve">omejena </w:t>
      </w:r>
      <w:r w:rsidRPr="000C16A5">
        <w:rPr>
          <w:rFonts w:cs="Arial"/>
          <w:sz w:val="20"/>
          <w:szCs w:val="20"/>
        </w:rPr>
        <w:t xml:space="preserve">s pravom javnih naročil. </w:t>
      </w:r>
      <w:r w:rsidR="000C16A5">
        <w:rPr>
          <w:rFonts w:cs="Arial"/>
          <w:sz w:val="20"/>
          <w:szCs w:val="20"/>
        </w:rPr>
        <w:t>To pomeni, da velja naslednja hierarhija pravnih norm:</w:t>
      </w:r>
    </w:p>
    <w:p w14:paraId="2EBBCA7B" w14:textId="01986D4E" w:rsidR="000C16A5" w:rsidRDefault="000C16A5" w:rsidP="00DD001D">
      <w:pPr>
        <w:pStyle w:val="Brezrazmikov2"/>
        <w:numPr>
          <w:ilvl w:val="0"/>
          <w:numId w:val="33"/>
        </w:numPr>
        <w:spacing w:line="276" w:lineRule="auto"/>
        <w:jc w:val="both"/>
        <w:rPr>
          <w:rFonts w:cs="Arial"/>
          <w:sz w:val="20"/>
          <w:szCs w:val="20"/>
        </w:rPr>
      </w:pPr>
      <w:proofErr w:type="spellStart"/>
      <w:r>
        <w:rPr>
          <w:rFonts w:cs="Arial"/>
          <w:sz w:val="20"/>
          <w:szCs w:val="20"/>
        </w:rPr>
        <w:t>Kogentna</w:t>
      </w:r>
      <w:proofErr w:type="spellEnd"/>
      <w:r>
        <w:rPr>
          <w:rFonts w:cs="Arial"/>
          <w:sz w:val="20"/>
          <w:szCs w:val="20"/>
        </w:rPr>
        <w:t xml:space="preserve"> določila zakonodaje, zlasti </w:t>
      </w:r>
      <w:proofErr w:type="spellStart"/>
      <w:r>
        <w:rPr>
          <w:rFonts w:cs="Arial"/>
          <w:sz w:val="20"/>
          <w:szCs w:val="20"/>
        </w:rPr>
        <w:t>javnonaročniška</w:t>
      </w:r>
      <w:proofErr w:type="spellEnd"/>
      <w:r>
        <w:rPr>
          <w:rFonts w:cs="Arial"/>
          <w:sz w:val="20"/>
          <w:szCs w:val="20"/>
        </w:rPr>
        <w:t xml:space="preserve"> pravila in </w:t>
      </w:r>
      <w:proofErr w:type="spellStart"/>
      <w:r>
        <w:rPr>
          <w:rFonts w:cs="Arial"/>
          <w:sz w:val="20"/>
          <w:szCs w:val="20"/>
        </w:rPr>
        <w:t>kogentne</w:t>
      </w:r>
      <w:proofErr w:type="spellEnd"/>
      <w:r>
        <w:rPr>
          <w:rFonts w:cs="Arial"/>
          <w:sz w:val="20"/>
          <w:szCs w:val="20"/>
        </w:rPr>
        <w:t xml:space="preserve"> določbe Obligacijskega zakonika, Gradbenega zakona, idr.</w:t>
      </w:r>
    </w:p>
    <w:p w14:paraId="3EEE26A0" w14:textId="4875E09B" w:rsidR="000C16A5" w:rsidRDefault="000C16A5" w:rsidP="00DD001D">
      <w:pPr>
        <w:pStyle w:val="Brezrazmikov2"/>
        <w:numPr>
          <w:ilvl w:val="0"/>
          <w:numId w:val="33"/>
        </w:numPr>
        <w:spacing w:line="276" w:lineRule="auto"/>
        <w:jc w:val="both"/>
        <w:rPr>
          <w:rFonts w:cs="Arial"/>
          <w:sz w:val="20"/>
          <w:szCs w:val="20"/>
        </w:rPr>
      </w:pPr>
      <w:r>
        <w:rPr>
          <w:rFonts w:cs="Arial"/>
          <w:sz w:val="20"/>
          <w:szCs w:val="20"/>
        </w:rPr>
        <w:t>Pogodbena določila oz. določila, ki izhajajo iz dokumentacije o javnem naročilu.</w:t>
      </w:r>
    </w:p>
    <w:p w14:paraId="177C2259" w14:textId="3BD0DD6F" w:rsidR="000C16A5" w:rsidRDefault="000C16A5" w:rsidP="00DD001D">
      <w:pPr>
        <w:pStyle w:val="Brezrazmikov2"/>
        <w:numPr>
          <w:ilvl w:val="0"/>
          <w:numId w:val="33"/>
        </w:numPr>
        <w:spacing w:line="276" w:lineRule="auto"/>
        <w:jc w:val="both"/>
        <w:rPr>
          <w:rFonts w:cs="Arial"/>
          <w:sz w:val="20"/>
          <w:szCs w:val="20"/>
        </w:rPr>
      </w:pPr>
      <w:r>
        <w:rPr>
          <w:rFonts w:cs="Arial"/>
          <w:sz w:val="20"/>
          <w:szCs w:val="20"/>
        </w:rPr>
        <w:t>Določila PGU 2020.</w:t>
      </w:r>
    </w:p>
    <w:p w14:paraId="56CBCE61" w14:textId="2B33AC8B" w:rsidR="000C16A5" w:rsidRDefault="000C16A5" w:rsidP="00DD001D">
      <w:pPr>
        <w:pStyle w:val="Brezrazmikov2"/>
        <w:numPr>
          <w:ilvl w:val="0"/>
          <w:numId w:val="33"/>
        </w:numPr>
        <w:spacing w:line="276" w:lineRule="auto"/>
        <w:jc w:val="both"/>
        <w:rPr>
          <w:rFonts w:cs="Arial"/>
          <w:sz w:val="20"/>
          <w:szCs w:val="20"/>
        </w:rPr>
      </w:pPr>
      <w:r>
        <w:rPr>
          <w:rFonts w:cs="Arial"/>
          <w:sz w:val="20"/>
          <w:szCs w:val="20"/>
        </w:rPr>
        <w:t>Druga dispozitivna določila zakonodaje.</w:t>
      </w:r>
    </w:p>
    <w:p w14:paraId="786F102F" w14:textId="57CCC40C" w:rsidR="000C16A5" w:rsidRDefault="000C16A5" w:rsidP="000C16A5">
      <w:pPr>
        <w:pStyle w:val="Brezrazmikov2"/>
        <w:spacing w:line="276" w:lineRule="auto"/>
        <w:jc w:val="both"/>
        <w:rPr>
          <w:rFonts w:cs="Arial"/>
          <w:sz w:val="20"/>
          <w:szCs w:val="20"/>
        </w:rPr>
      </w:pPr>
    </w:p>
    <w:p w14:paraId="3B7B30D4" w14:textId="2B4DC0D3" w:rsidR="000C16A5" w:rsidRDefault="000C16A5" w:rsidP="000C16A5">
      <w:pPr>
        <w:pStyle w:val="Brezrazmikov2"/>
        <w:spacing w:line="276" w:lineRule="auto"/>
        <w:jc w:val="both"/>
        <w:rPr>
          <w:rFonts w:cs="Arial"/>
          <w:sz w:val="20"/>
          <w:szCs w:val="20"/>
        </w:rPr>
      </w:pPr>
      <w:r>
        <w:rPr>
          <w:rFonts w:cs="Arial"/>
          <w:sz w:val="20"/>
          <w:szCs w:val="20"/>
        </w:rPr>
        <w:t>Obligacijski zakonik (</w:t>
      </w:r>
      <w:r w:rsidRPr="000C16A5">
        <w:rPr>
          <w:rFonts w:cs="Arial"/>
          <w:sz w:val="20"/>
          <w:szCs w:val="20"/>
        </w:rPr>
        <w:t xml:space="preserve">Uradni list RS, št. 97/07 – uradno prečiščeno besedilo, 64/16 – </w:t>
      </w:r>
      <w:proofErr w:type="spellStart"/>
      <w:r w:rsidRPr="000C16A5">
        <w:rPr>
          <w:rFonts w:cs="Arial"/>
          <w:sz w:val="20"/>
          <w:szCs w:val="20"/>
        </w:rPr>
        <w:t>odl</w:t>
      </w:r>
      <w:proofErr w:type="spellEnd"/>
      <w:r w:rsidRPr="000C16A5">
        <w:rPr>
          <w:rFonts w:cs="Arial"/>
          <w:sz w:val="20"/>
          <w:szCs w:val="20"/>
        </w:rPr>
        <w:t>. US in 20/18 – OROZ631; v nadaljnjem besedilu: OZ)</w:t>
      </w:r>
      <w:r>
        <w:rPr>
          <w:rFonts w:cs="Arial"/>
          <w:sz w:val="20"/>
          <w:szCs w:val="20"/>
        </w:rPr>
        <w:t xml:space="preserve"> v 12. členu določa naslednje: »</w:t>
      </w:r>
      <w:r w:rsidRPr="000C16A5">
        <w:rPr>
          <w:rFonts w:cs="Arial"/>
          <w:sz w:val="20"/>
          <w:szCs w:val="20"/>
        </w:rPr>
        <w:t>V obligacijskih razmerjih gospodarskih subjektov se za presojo potrebnih ravnanj in njihovih učinkov upoštevajo poslovni običaji, uzance in praksa, vzpostavljena med strankama.«</w:t>
      </w:r>
      <w:r w:rsidR="004D191D">
        <w:rPr>
          <w:rFonts w:cs="Arial"/>
          <w:sz w:val="20"/>
          <w:szCs w:val="20"/>
        </w:rPr>
        <w:t>.</w:t>
      </w:r>
      <w:r>
        <w:rPr>
          <w:rFonts w:cs="Arial"/>
          <w:sz w:val="20"/>
          <w:szCs w:val="20"/>
        </w:rPr>
        <w:t xml:space="preserve"> Na podlagi ustaljene sod</w:t>
      </w:r>
      <w:r w:rsidR="00711AF8">
        <w:rPr>
          <w:rFonts w:cs="Arial"/>
          <w:sz w:val="20"/>
          <w:szCs w:val="20"/>
        </w:rPr>
        <w:t>n</w:t>
      </w:r>
      <w:r>
        <w:rPr>
          <w:rFonts w:cs="Arial"/>
          <w:sz w:val="20"/>
          <w:szCs w:val="20"/>
        </w:rPr>
        <w:t>e prakse 12. člen OZ predstavlja predvsem napotilo sodiščem, ki d</w:t>
      </w:r>
      <w:r w:rsidRPr="000C16A5">
        <w:rPr>
          <w:rFonts w:cs="Arial"/>
          <w:sz w:val="20"/>
          <w:szCs w:val="20"/>
        </w:rPr>
        <w:t>oločbo 12. člena OZ uporabi</w:t>
      </w:r>
      <w:r>
        <w:rPr>
          <w:rFonts w:cs="Arial"/>
          <w:sz w:val="20"/>
          <w:szCs w:val="20"/>
        </w:rPr>
        <w:t>jo</w:t>
      </w:r>
      <w:r w:rsidRPr="000C16A5">
        <w:rPr>
          <w:rFonts w:cs="Arial"/>
          <w:sz w:val="20"/>
          <w:szCs w:val="20"/>
        </w:rPr>
        <w:t xml:space="preserve"> v </w:t>
      </w:r>
      <w:r w:rsidRPr="000C16A5">
        <w:rPr>
          <w:rFonts w:cs="Arial"/>
          <w:sz w:val="20"/>
          <w:szCs w:val="20"/>
        </w:rPr>
        <w:lastRenderedPageBreak/>
        <w:t xml:space="preserve">primerih, ko je med </w:t>
      </w:r>
      <w:r>
        <w:rPr>
          <w:rFonts w:cs="Arial"/>
          <w:sz w:val="20"/>
          <w:szCs w:val="20"/>
        </w:rPr>
        <w:t xml:space="preserve">pogodbenima </w:t>
      </w:r>
      <w:r w:rsidRPr="000C16A5">
        <w:rPr>
          <w:rFonts w:cs="Arial"/>
          <w:sz w:val="20"/>
          <w:szCs w:val="20"/>
        </w:rPr>
        <w:t>strankama nekaj pomanjkljivo ali nejasno dogovorjeno</w:t>
      </w:r>
      <w:r>
        <w:rPr>
          <w:rFonts w:cs="Arial"/>
          <w:sz w:val="20"/>
          <w:szCs w:val="20"/>
        </w:rPr>
        <w:t xml:space="preserve">. </w:t>
      </w:r>
      <w:r w:rsidRPr="000C16A5">
        <w:rPr>
          <w:rFonts w:cs="Arial"/>
          <w:sz w:val="20"/>
          <w:szCs w:val="20"/>
        </w:rPr>
        <w:t>Praksa, vzpostavljena med strankama, namreč nima regulativne funkcije, temveč razlagalno. Tako se določba 12. člena OZ uporabi le v primerih, ko je med strankama nekaj pomanjkljivo ali nejasno dogovorjeno</w:t>
      </w:r>
      <w:r>
        <w:rPr>
          <w:rFonts w:cs="Arial"/>
          <w:sz w:val="20"/>
          <w:szCs w:val="20"/>
        </w:rPr>
        <w:t xml:space="preserve">. </w:t>
      </w:r>
      <w:r w:rsidRPr="000C16A5">
        <w:rPr>
          <w:rFonts w:cs="Arial"/>
          <w:sz w:val="20"/>
          <w:szCs w:val="20"/>
        </w:rPr>
        <w:t xml:space="preserve">Posebne gradbene uzance </w:t>
      </w:r>
      <w:r w:rsidR="0036226C">
        <w:rPr>
          <w:rFonts w:cs="Arial"/>
          <w:sz w:val="20"/>
          <w:szCs w:val="20"/>
        </w:rPr>
        <w:t xml:space="preserve">pa </w:t>
      </w:r>
      <w:r w:rsidRPr="000C16A5">
        <w:rPr>
          <w:rFonts w:cs="Arial"/>
          <w:sz w:val="20"/>
          <w:szCs w:val="20"/>
        </w:rPr>
        <w:t xml:space="preserve">se </w:t>
      </w:r>
      <w:r w:rsidR="0036226C">
        <w:rPr>
          <w:rFonts w:cs="Arial"/>
          <w:sz w:val="20"/>
          <w:szCs w:val="20"/>
        </w:rPr>
        <w:t xml:space="preserve">po mnenju sodne prakse </w:t>
      </w:r>
      <w:r w:rsidR="00711AF8" w:rsidRPr="000C16A5">
        <w:rPr>
          <w:rFonts w:cs="Arial"/>
          <w:sz w:val="20"/>
          <w:szCs w:val="20"/>
        </w:rPr>
        <w:t>uporabljajo</w:t>
      </w:r>
      <w:r w:rsidR="00711AF8">
        <w:rPr>
          <w:rFonts w:cs="Arial"/>
          <w:sz w:val="20"/>
          <w:szCs w:val="20"/>
        </w:rPr>
        <w:t xml:space="preserve"> (glej </w:t>
      </w:r>
      <w:r w:rsidR="0036226C">
        <w:rPr>
          <w:rFonts w:cs="Arial"/>
          <w:sz w:val="20"/>
          <w:szCs w:val="20"/>
        </w:rPr>
        <w:t>zadev</w:t>
      </w:r>
      <w:r w:rsidR="00711AF8">
        <w:rPr>
          <w:rFonts w:cs="Arial"/>
          <w:sz w:val="20"/>
          <w:szCs w:val="20"/>
        </w:rPr>
        <w:t>o</w:t>
      </w:r>
      <w:r w:rsidR="0036226C">
        <w:rPr>
          <w:rFonts w:cs="Arial"/>
          <w:sz w:val="20"/>
          <w:szCs w:val="20"/>
        </w:rPr>
        <w:t xml:space="preserve"> št. </w:t>
      </w:r>
      <w:r w:rsidR="0036226C" w:rsidRPr="000C16A5">
        <w:rPr>
          <w:rFonts w:cs="Arial"/>
          <w:sz w:val="20"/>
          <w:szCs w:val="20"/>
        </w:rPr>
        <w:t xml:space="preserve">II </w:t>
      </w:r>
      <w:proofErr w:type="spellStart"/>
      <w:r w:rsidR="0036226C" w:rsidRPr="000C16A5">
        <w:rPr>
          <w:rFonts w:cs="Arial"/>
          <w:sz w:val="20"/>
          <w:szCs w:val="20"/>
        </w:rPr>
        <w:t>Cp</w:t>
      </w:r>
      <w:proofErr w:type="spellEnd"/>
      <w:r w:rsidR="0036226C" w:rsidRPr="000C16A5">
        <w:rPr>
          <w:rFonts w:cs="Arial"/>
          <w:sz w:val="20"/>
          <w:szCs w:val="20"/>
        </w:rPr>
        <w:t xml:space="preserve"> 1335/2012</w:t>
      </w:r>
      <w:r w:rsidR="00711AF8">
        <w:rPr>
          <w:rFonts w:cs="Arial"/>
          <w:sz w:val="20"/>
          <w:szCs w:val="20"/>
        </w:rPr>
        <w:t>)</w:t>
      </w:r>
      <w:r w:rsidRPr="000C16A5">
        <w:rPr>
          <w:rFonts w:cs="Arial"/>
          <w:sz w:val="20"/>
          <w:szCs w:val="20"/>
        </w:rPr>
        <w:t>, četudi se stranki za njihovo uporabo nista dogovorili in sicer glede vprašanj, ki so urejene podrobneje kot pa s tipskimi pravili v OZ.</w:t>
      </w:r>
      <w:r>
        <w:rPr>
          <w:rFonts w:cs="Arial"/>
          <w:sz w:val="20"/>
          <w:szCs w:val="20"/>
        </w:rPr>
        <w:t xml:space="preserve"> </w:t>
      </w:r>
      <w:r w:rsidR="0036226C">
        <w:rPr>
          <w:rFonts w:cs="Arial"/>
          <w:sz w:val="20"/>
          <w:szCs w:val="20"/>
        </w:rPr>
        <w:t>V</w:t>
      </w:r>
      <w:r w:rsidRPr="000C16A5">
        <w:rPr>
          <w:rFonts w:cs="Arial"/>
          <w:sz w:val="20"/>
          <w:szCs w:val="20"/>
        </w:rPr>
        <w:t xml:space="preserve"> primeru, ko se stranki za uporabo določenih uzanc ne dogovorita, se pravila uzanc uporabljajo za vprašanja, ki v OZ niso urejena. Tako se PGU uporabljajo za presojo vsebine medsebojnih pravic in obveznosti pogodbenih strank glede vprašanj, ki jih urejajo podrobneje, kot so ta urejena s tipskimi pravili OZ, tudi če se stranki za njihovo uporabo nista dogovorili.</w:t>
      </w:r>
      <w:r w:rsidR="00711AF8">
        <w:rPr>
          <w:rFonts w:cs="Arial"/>
          <w:sz w:val="20"/>
          <w:szCs w:val="20"/>
        </w:rPr>
        <w:t xml:space="preserve"> Sodna praksa je bila sprejeta na podlagi Posebnih gradbenih uzanc iz leta 1977, katere veljavnost je bila sicer nekoliko drugače določena. Kot že pojasnjeno pa se Ministrstvo za javno upravo ne more opredeljevati do veljavnosti in uporabe PGU.</w:t>
      </w:r>
    </w:p>
    <w:p w14:paraId="0E4A4645" w14:textId="5276905E" w:rsidR="00711AF8" w:rsidRDefault="00711AF8" w:rsidP="000C16A5">
      <w:pPr>
        <w:pStyle w:val="Brezrazmikov2"/>
        <w:spacing w:line="276" w:lineRule="auto"/>
        <w:jc w:val="both"/>
        <w:rPr>
          <w:rFonts w:cs="Arial"/>
          <w:sz w:val="20"/>
          <w:szCs w:val="20"/>
        </w:rPr>
      </w:pPr>
    </w:p>
    <w:p w14:paraId="298D550B" w14:textId="19C5D47E" w:rsidR="00711AF8" w:rsidRPr="000C16A5" w:rsidRDefault="00711AF8" w:rsidP="000C16A5">
      <w:pPr>
        <w:pStyle w:val="Brezrazmikov2"/>
        <w:spacing w:line="276" w:lineRule="auto"/>
        <w:jc w:val="both"/>
        <w:rPr>
          <w:rFonts w:cs="Arial"/>
          <w:sz w:val="20"/>
          <w:szCs w:val="20"/>
        </w:rPr>
      </w:pPr>
      <w:r>
        <w:rPr>
          <w:rFonts w:cs="Arial"/>
          <w:sz w:val="20"/>
          <w:szCs w:val="20"/>
        </w:rPr>
        <w:t xml:space="preserve">Bi pa z vidika svojih pristojnosti naročnike želeli opozoriti, da so nekatera določila PGU 2020 v nasprotju z </w:t>
      </w:r>
      <w:proofErr w:type="spellStart"/>
      <w:r>
        <w:rPr>
          <w:rFonts w:cs="Arial"/>
          <w:sz w:val="20"/>
          <w:szCs w:val="20"/>
        </w:rPr>
        <w:t>javnonaročniško</w:t>
      </w:r>
      <w:proofErr w:type="spellEnd"/>
      <w:r>
        <w:rPr>
          <w:rFonts w:cs="Arial"/>
          <w:sz w:val="20"/>
          <w:szCs w:val="20"/>
        </w:rPr>
        <w:t xml:space="preserve"> zakonodajo, zaradi česar </w:t>
      </w:r>
      <w:r w:rsidR="003C0AD8">
        <w:rPr>
          <w:rFonts w:cs="Arial"/>
          <w:sz w:val="20"/>
          <w:szCs w:val="20"/>
        </w:rPr>
        <w:t>te ne veljajo, saj</w:t>
      </w:r>
      <w:r>
        <w:rPr>
          <w:rFonts w:cs="Arial"/>
          <w:sz w:val="20"/>
          <w:szCs w:val="20"/>
        </w:rPr>
        <w:t xml:space="preserve"> zaradi </w:t>
      </w:r>
      <w:proofErr w:type="spellStart"/>
      <w:r>
        <w:rPr>
          <w:rFonts w:cs="Arial"/>
          <w:sz w:val="20"/>
          <w:szCs w:val="20"/>
        </w:rPr>
        <w:t>kogentne</w:t>
      </w:r>
      <w:proofErr w:type="spellEnd"/>
      <w:r>
        <w:rPr>
          <w:rFonts w:cs="Arial"/>
          <w:sz w:val="20"/>
          <w:szCs w:val="20"/>
        </w:rPr>
        <w:t xml:space="preserve"> narave predpisov javnega naročanja le-t</w:t>
      </w:r>
      <w:r w:rsidR="00E8582A">
        <w:rPr>
          <w:rFonts w:cs="Arial"/>
          <w:sz w:val="20"/>
          <w:szCs w:val="20"/>
        </w:rPr>
        <w:t>i</w:t>
      </w:r>
      <w:r>
        <w:rPr>
          <w:rFonts w:cs="Arial"/>
          <w:sz w:val="20"/>
          <w:szCs w:val="20"/>
        </w:rPr>
        <w:t xml:space="preserve"> prevladajo nad veljavo PGU 2020. Prav tako želimo naročnike opozoriti na nekatere določbe PGU 2020, </w:t>
      </w:r>
      <w:r w:rsidR="00E67DB4">
        <w:rPr>
          <w:rFonts w:cs="Arial"/>
          <w:sz w:val="20"/>
          <w:szCs w:val="20"/>
        </w:rPr>
        <w:t>na katere morajo biti pozorni</w:t>
      </w:r>
      <w:r w:rsidR="00DD001D">
        <w:rPr>
          <w:rFonts w:cs="Arial"/>
          <w:sz w:val="20"/>
          <w:szCs w:val="20"/>
        </w:rPr>
        <w:t>, ali želijo, da zanje veljajo. Vsekakor naročnikom priporočamo, da se z vsebino PGU 2020 seznanijo, v kolikor jih želijo v pravnem razmerju uporabiti oz. njihovo uporabo v celoti ali delno izključijo, če le-te ne želijo.</w:t>
      </w:r>
      <w:r w:rsidR="00BE2CF1">
        <w:rPr>
          <w:rFonts w:cs="Arial"/>
          <w:sz w:val="20"/>
          <w:szCs w:val="20"/>
        </w:rPr>
        <w:t xml:space="preserve"> Pri tem naj bodo naročniki pozorni, da so se pred uporabo PGU20 v praksi uporabljale Posebne gradbene uzance iz leta 1977, ki so bile objavljene v Uradnem listu SFRJ št. 18/77 in jih je sprejela Skupščina Gospodarske zbornice Jugoslavije leta 1976 (v nadaljnjem besedilu: PGU77).</w:t>
      </w:r>
    </w:p>
    <w:p w14:paraId="74F76A32" w14:textId="000CF981" w:rsidR="000C16A5" w:rsidRPr="00711AF8" w:rsidRDefault="000C16A5" w:rsidP="000C16A5">
      <w:pPr>
        <w:pStyle w:val="Brezrazmikov2"/>
        <w:spacing w:line="276" w:lineRule="auto"/>
        <w:jc w:val="both"/>
        <w:rPr>
          <w:rFonts w:cs="Arial"/>
          <w:sz w:val="20"/>
          <w:szCs w:val="20"/>
        </w:rPr>
      </w:pPr>
    </w:p>
    <w:p w14:paraId="6C60659C" w14:textId="7E7A69BC" w:rsidR="00710858" w:rsidRPr="00EA2AF1" w:rsidRDefault="00EA2AF1" w:rsidP="00710858">
      <w:pPr>
        <w:pStyle w:val="Brezrazmikov2"/>
        <w:spacing w:line="276" w:lineRule="auto"/>
        <w:jc w:val="both"/>
        <w:rPr>
          <w:rFonts w:cs="Arial"/>
          <w:b/>
          <w:bCs/>
          <w:sz w:val="20"/>
          <w:szCs w:val="20"/>
        </w:rPr>
      </w:pPr>
      <w:r>
        <w:rPr>
          <w:rFonts w:cs="Arial"/>
          <w:b/>
          <w:bCs/>
          <w:sz w:val="20"/>
          <w:szCs w:val="20"/>
        </w:rPr>
        <w:t>Uzance</w:t>
      </w:r>
      <w:r w:rsidRPr="00EA2AF1">
        <w:rPr>
          <w:rFonts w:cs="Arial"/>
          <w:b/>
          <w:bCs/>
          <w:sz w:val="20"/>
          <w:szCs w:val="20"/>
        </w:rPr>
        <w:t xml:space="preserve">, </w:t>
      </w:r>
      <w:r>
        <w:rPr>
          <w:rFonts w:cs="Arial"/>
          <w:b/>
          <w:bCs/>
          <w:sz w:val="20"/>
          <w:szCs w:val="20"/>
        </w:rPr>
        <w:t xml:space="preserve">ki so </w:t>
      </w:r>
      <w:r w:rsidRPr="00EA2AF1">
        <w:rPr>
          <w:rFonts w:cs="Arial"/>
          <w:b/>
          <w:bCs/>
          <w:sz w:val="20"/>
          <w:szCs w:val="20"/>
        </w:rPr>
        <w:t>v nasprotju z ZJN-3:</w:t>
      </w:r>
    </w:p>
    <w:p w14:paraId="36B26BCD" w14:textId="77777777" w:rsidR="00EA2AF1" w:rsidRPr="00EA2AF1" w:rsidRDefault="00EA2AF1" w:rsidP="00EA2AF1">
      <w:pPr>
        <w:pStyle w:val="Brezrazmikov2"/>
        <w:spacing w:line="276" w:lineRule="auto"/>
        <w:jc w:val="both"/>
        <w:rPr>
          <w:rFonts w:cs="Arial"/>
          <w:sz w:val="20"/>
          <w:szCs w:val="20"/>
        </w:rPr>
      </w:pPr>
    </w:p>
    <w:p w14:paraId="75DE5D74" w14:textId="0CC437D0" w:rsidR="00EA2AF1" w:rsidRDefault="00EA2AF1" w:rsidP="00174F04">
      <w:pPr>
        <w:pStyle w:val="Brezrazmikov2"/>
        <w:numPr>
          <w:ilvl w:val="0"/>
          <w:numId w:val="34"/>
        </w:numPr>
        <w:spacing w:line="276" w:lineRule="auto"/>
        <w:jc w:val="both"/>
        <w:rPr>
          <w:rFonts w:cs="Arial"/>
          <w:sz w:val="20"/>
          <w:szCs w:val="20"/>
        </w:rPr>
      </w:pPr>
      <w:r w:rsidRPr="00EA2AF1">
        <w:rPr>
          <w:rFonts w:cs="Arial"/>
          <w:sz w:val="20"/>
          <w:szCs w:val="20"/>
        </w:rPr>
        <w:t xml:space="preserve">47. – 49. uzanca: </w:t>
      </w:r>
      <w:r w:rsidRPr="00174F04">
        <w:rPr>
          <w:rFonts w:cs="Arial"/>
          <w:sz w:val="20"/>
          <w:szCs w:val="20"/>
        </w:rPr>
        <w:t>Odstop del drugemu</w:t>
      </w:r>
      <w:r w:rsidRPr="00EA2AF1">
        <w:rPr>
          <w:rFonts w:cs="Arial"/>
          <w:sz w:val="20"/>
          <w:szCs w:val="20"/>
        </w:rPr>
        <w:t xml:space="preserve">: »Izvajalec </w:t>
      </w:r>
      <w:r w:rsidRPr="00174F04">
        <w:rPr>
          <w:rFonts w:cs="Arial"/>
          <w:sz w:val="20"/>
          <w:szCs w:val="20"/>
        </w:rPr>
        <w:t>lahko izvajanje posameznih pogodbenih del odstopi drugemu izvajalcu</w:t>
      </w:r>
      <w:r w:rsidRPr="00EA2AF1">
        <w:rPr>
          <w:rFonts w:cs="Arial"/>
          <w:sz w:val="20"/>
          <w:szCs w:val="20"/>
        </w:rPr>
        <w:t xml:space="preserve">. Izvajalec izbere tistega, ki mu odstopi izvajanje del. Odstop del drugemu </w:t>
      </w:r>
      <w:r w:rsidRPr="00174F04">
        <w:rPr>
          <w:rFonts w:cs="Arial"/>
          <w:sz w:val="20"/>
          <w:szCs w:val="20"/>
        </w:rPr>
        <w:t>ne vpliva na pravna razmerja med naročnikom in izvajalcem in njune medsebojne pravice in obveznosti</w:t>
      </w:r>
      <w:r w:rsidRPr="00EA2AF1">
        <w:rPr>
          <w:rFonts w:cs="Arial"/>
          <w:sz w:val="20"/>
          <w:szCs w:val="20"/>
        </w:rPr>
        <w:t>.«</w:t>
      </w:r>
      <w:r w:rsidR="00AC01C1">
        <w:rPr>
          <w:rFonts w:cs="Arial"/>
          <w:sz w:val="20"/>
          <w:szCs w:val="20"/>
        </w:rPr>
        <w:t>.</w:t>
      </w:r>
    </w:p>
    <w:p w14:paraId="5EFC0C44" w14:textId="066F7FA6" w:rsidR="00901BE3" w:rsidRDefault="00901BE3" w:rsidP="00174F04">
      <w:pPr>
        <w:pStyle w:val="Brezrazmikov2"/>
        <w:spacing w:line="276" w:lineRule="auto"/>
        <w:jc w:val="both"/>
        <w:rPr>
          <w:rFonts w:cs="Arial"/>
          <w:sz w:val="20"/>
          <w:szCs w:val="20"/>
        </w:rPr>
      </w:pPr>
    </w:p>
    <w:p w14:paraId="7E80A8D7" w14:textId="2001C5D8" w:rsidR="00901BE3" w:rsidRPr="00EA2AF1" w:rsidRDefault="00901BE3" w:rsidP="00174F04">
      <w:pPr>
        <w:pStyle w:val="Brezrazmikov2"/>
        <w:spacing w:line="276" w:lineRule="auto"/>
        <w:ind w:left="360"/>
        <w:jc w:val="both"/>
        <w:rPr>
          <w:rFonts w:cs="Arial"/>
          <w:sz w:val="20"/>
          <w:szCs w:val="20"/>
        </w:rPr>
      </w:pPr>
      <w:r>
        <w:rPr>
          <w:rFonts w:cs="Arial"/>
          <w:sz w:val="20"/>
          <w:szCs w:val="20"/>
        </w:rPr>
        <w:t xml:space="preserve">Pojasnilo: Določbe so v nasprotju s pravili </w:t>
      </w:r>
      <w:proofErr w:type="spellStart"/>
      <w:r>
        <w:rPr>
          <w:rFonts w:cs="Arial"/>
          <w:sz w:val="20"/>
          <w:szCs w:val="20"/>
        </w:rPr>
        <w:t>javnonaročniške</w:t>
      </w:r>
      <w:proofErr w:type="spellEnd"/>
      <w:r>
        <w:rPr>
          <w:rFonts w:cs="Arial"/>
          <w:sz w:val="20"/>
          <w:szCs w:val="20"/>
        </w:rPr>
        <w:t xml:space="preserve"> zakonodaje v zvezi s podizvajalci.</w:t>
      </w:r>
      <w:r w:rsidR="00D349C9">
        <w:rPr>
          <w:rFonts w:cs="Arial"/>
          <w:sz w:val="20"/>
          <w:szCs w:val="20"/>
        </w:rPr>
        <w:t xml:space="preserve"> Že pred tem veljavne PGU77 so sicer v 48. do 50. členu določale enako ureditev. Glede na hierarhijo predpisov je nesporno, kot je bilo že do sedaj v praksi, da se te uzance v razmerju do javnih naročnikov ne uporabljajo, tudi če niso izrecno izključene.</w:t>
      </w:r>
    </w:p>
    <w:p w14:paraId="756DD976" w14:textId="77777777" w:rsidR="00EA2AF1" w:rsidRDefault="00EA2AF1" w:rsidP="00710858">
      <w:pPr>
        <w:pStyle w:val="Brezrazmikov2"/>
        <w:spacing w:line="276" w:lineRule="auto"/>
        <w:jc w:val="both"/>
        <w:rPr>
          <w:rFonts w:cs="Arial"/>
          <w:sz w:val="20"/>
          <w:szCs w:val="20"/>
        </w:rPr>
      </w:pPr>
    </w:p>
    <w:p w14:paraId="0A045B51" w14:textId="2DBC24AE" w:rsidR="000C16A5" w:rsidRPr="00AC01C1" w:rsidRDefault="00EA2AF1" w:rsidP="00710858">
      <w:pPr>
        <w:pStyle w:val="Brezrazmikov2"/>
        <w:spacing w:line="276" w:lineRule="auto"/>
        <w:jc w:val="both"/>
        <w:rPr>
          <w:rFonts w:cs="Arial"/>
          <w:b/>
          <w:bCs/>
          <w:sz w:val="20"/>
          <w:szCs w:val="20"/>
        </w:rPr>
      </w:pPr>
      <w:r w:rsidRPr="00AC01C1">
        <w:rPr>
          <w:rFonts w:cs="Arial"/>
          <w:b/>
          <w:bCs/>
          <w:sz w:val="20"/>
          <w:szCs w:val="20"/>
        </w:rPr>
        <w:t>Uzance, v zvezi s katerimi priporočamo posebno skrbno preučitev naročnikov:</w:t>
      </w:r>
    </w:p>
    <w:p w14:paraId="1427A65A" w14:textId="77777777" w:rsidR="00AC01C1" w:rsidRPr="00AC01C1" w:rsidRDefault="00AC01C1" w:rsidP="00AC01C1">
      <w:pPr>
        <w:pStyle w:val="Brezrazmikov2"/>
        <w:spacing w:line="276" w:lineRule="auto"/>
        <w:jc w:val="both"/>
        <w:rPr>
          <w:rFonts w:cs="Arial"/>
          <w:sz w:val="20"/>
          <w:szCs w:val="20"/>
        </w:rPr>
      </w:pPr>
    </w:p>
    <w:p w14:paraId="50257448" w14:textId="486B39FD" w:rsidR="00AC01C1" w:rsidRDefault="00AC01C1" w:rsidP="00CB4C25">
      <w:pPr>
        <w:pStyle w:val="Brezrazmikov2"/>
        <w:numPr>
          <w:ilvl w:val="0"/>
          <w:numId w:val="34"/>
        </w:numPr>
        <w:spacing w:line="276" w:lineRule="auto"/>
        <w:jc w:val="both"/>
        <w:rPr>
          <w:rFonts w:cs="Arial"/>
          <w:sz w:val="20"/>
          <w:szCs w:val="20"/>
        </w:rPr>
      </w:pPr>
      <w:r w:rsidRPr="00AC01C1">
        <w:rPr>
          <w:rFonts w:cs="Arial"/>
          <w:sz w:val="20"/>
          <w:szCs w:val="20"/>
        </w:rPr>
        <w:t>21. uzanca: »</w:t>
      </w:r>
      <w:r w:rsidRPr="00AC01C1">
        <w:rPr>
          <w:rFonts w:cs="Arial"/>
          <w:sz w:val="20"/>
          <w:szCs w:val="20"/>
          <w:u w:val="single"/>
        </w:rPr>
        <w:t>Cena za enoto velja tudi za več oziroma manj dela, če ta ne presegajo 10 % količin</w:t>
      </w:r>
      <w:r w:rsidRPr="00AC01C1">
        <w:rPr>
          <w:rFonts w:cs="Arial"/>
          <w:sz w:val="20"/>
          <w:szCs w:val="20"/>
        </w:rPr>
        <w:t xml:space="preserve"> del, predvidenih v dokumentu, iz katerega so razvidne količine in vrste posameznih del, ki sta jih pogodbenika ob sklenitvi pogodbe predvidela (npr. popis del). V primeru dodatnih in nepredvidenih del je treba ceno na enoto določiti ponovno.«</w:t>
      </w:r>
      <w:r>
        <w:rPr>
          <w:rFonts w:cs="Arial"/>
          <w:sz w:val="20"/>
          <w:szCs w:val="20"/>
        </w:rPr>
        <w:t>.</w:t>
      </w:r>
    </w:p>
    <w:p w14:paraId="549C8257" w14:textId="13411EDF" w:rsidR="0016481F" w:rsidRDefault="0016481F" w:rsidP="00AC01C1">
      <w:pPr>
        <w:pStyle w:val="Brezrazmikov2"/>
        <w:spacing w:line="276" w:lineRule="auto"/>
        <w:jc w:val="both"/>
        <w:rPr>
          <w:rFonts w:cs="Arial"/>
          <w:sz w:val="20"/>
          <w:szCs w:val="20"/>
        </w:rPr>
      </w:pPr>
    </w:p>
    <w:p w14:paraId="444A0DA1" w14:textId="5B89107D" w:rsidR="0016481F" w:rsidRDefault="0016481F">
      <w:pPr>
        <w:pStyle w:val="Brezrazmikov2"/>
        <w:spacing w:line="276" w:lineRule="auto"/>
        <w:ind w:left="360"/>
        <w:jc w:val="both"/>
        <w:rPr>
          <w:rFonts w:cs="Arial"/>
          <w:sz w:val="20"/>
          <w:szCs w:val="20"/>
        </w:rPr>
      </w:pPr>
      <w:r>
        <w:rPr>
          <w:rFonts w:cs="Arial"/>
          <w:sz w:val="20"/>
          <w:szCs w:val="20"/>
        </w:rPr>
        <w:t xml:space="preserve">Pojasnilo: Ta uzanca je podobna uzanci iz četrtega odstavka 22. člena PGU77, vendar je z vidika </w:t>
      </w:r>
      <w:proofErr w:type="spellStart"/>
      <w:r>
        <w:rPr>
          <w:rFonts w:cs="Arial"/>
          <w:sz w:val="20"/>
          <w:szCs w:val="20"/>
        </w:rPr>
        <w:t>javnonaročniške</w:t>
      </w:r>
      <w:proofErr w:type="spellEnd"/>
      <w:r>
        <w:rPr>
          <w:rFonts w:cs="Arial"/>
          <w:sz w:val="20"/>
          <w:szCs w:val="20"/>
        </w:rPr>
        <w:t xml:space="preserve"> zakonodaje potrebno biti natančen pri njeni uporabi.</w:t>
      </w:r>
    </w:p>
    <w:p w14:paraId="344A6493" w14:textId="77777777" w:rsidR="00721197" w:rsidRDefault="00721197">
      <w:pPr>
        <w:pStyle w:val="Brezrazmikov2"/>
        <w:spacing w:line="276" w:lineRule="auto"/>
        <w:ind w:left="360"/>
        <w:jc w:val="both"/>
        <w:rPr>
          <w:rFonts w:cs="Arial"/>
          <w:sz w:val="20"/>
          <w:szCs w:val="20"/>
        </w:rPr>
      </w:pPr>
    </w:p>
    <w:p w14:paraId="2AF3B879" w14:textId="77777777" w:rsidR="00721197" w:rsidRPr="00EA2AF1" w:rsidRDefault="00721197" w:rsidP="00721197">
      <w:pPr>
        <w:pStyle w:val="Brezrazmikov2"/>
        <w:numPr>
          <w:ilvl w:val="0"/>
          <w:numId w:val="37"/>
        </w:numPr>
        <w:spacing w:line="276" w:lineRule="auto"/>
        <w:jc w:val="both"/>
        <w:rPr>
          <w:rFonts w:cs="Arial"/>
          <w:sz w:val="20"/>
          <w:szCs w:val="20"/>
        </w:rPr>
      </w:pPr>
      <w:r w:rsidRPr="00EA2AF1">
        <w:rPr>
          <w:rFonts w:cs="Arial"/>
          <w:sz w:val="20"/>
          <w:szCs w:val="20"/>
        </w:rPr>
        <w:t xml:space="preserve">24. uzanca: </w:t>
      </w:r>
      <w:r w:rsidRPr="00EA2AF1">
        <w:rPr>
          <w:rFonts w:cs="Arial"/>
          <w:b/>
          <w:bCs/>
          <w:sz w:val="20"/>
          <w:szCs w:val="20"/>
        </w:rPr>
        <w:t xml:space="preserve">Sprememba cene zaradi spremembe </w:t>
      </w:r>
      <w:proofErr w:type="spellStart"/>
      <w:r w:rsidRPr="00EA2AF1">
        <w:rPr>
          <w:rFonts w:cs="Arial"/>
          <w:b/>
          <w:bCs/>
          <w:sz w:val="20"/>
          <w:szCs w:val="20"/>
        </w:rPr>
        <w:t>kalkulativnih</w:t>
      </w:r>
      <w:proofErr w:type="spellEnd"/>
      <w:r w:rsidRPr="00EA2AF1">
        <w:rPr>
          <w:rFonts w:cs="Arial"/>
          <w:b/>
          <w:bCs/>
          <w:sz w:val="20"/>
          <w:szCs w:val="20"/>
        </w:rPr>
        <w:t xml:space="preserve"> elementov</w:t>
      </w:r>
      <w:r w:rsidRPr="00EA2AF1">
        <w:rPr>
          <w:rFonts w:cs="Arial"/>
          <w:sz w:val="20"/>
          <w:szCs w:val="20"/>
        </w:rPr>
        <w:t>: »Zaradi zvišanja cen za elemente, na podlagi katerih je bila cena določena (</w:t>
      </w:r>
      <w:proofErr w:type="spellStart"/>
      <w:r w:rsidRPr="00EA2AF1">
        <w:rPr>
          <w:rFonts w:cs="Arial"/>
          <w:sz w:val="20"/>
          <w:szCs w:val="20"/>
        </w:rPr>
        <w:t>kalkulativni</w:t>
      </w:r>
      <w:proofErr w:type="spellEnd"/>
      <w:r w:rsidRPr="00EA2AF1">
        <w:rPr>
          <w:rFonts w:cs="Arial"/>
          <w:sz w:val="20"/>
          <w:szCs w:val="20"/>
        </w:rPr>
        <w:t xml:space="preserve"> elementi</w:t>
      </w:r>
      <w:r w:rsidRPr="00EA2AF1">
        <w:rPr>
          <w:rFonts w:cs="Arial"/>
          <w:sz w:val="20"/>
          <w:szCs w:val="20"/>
          <w:u w:val="single"/>
        </w:rPr>
        <w:t>), sme izvajalec zahtevati zvišanje cene postavke iz popisa del oziroma skupaj dogovorjene cene</w:t>
      </w:r>
      <w:r w:rsidRPr="00EA2AF1">
        <w:rPr>
          <w:rFonts w:cs="Arial"/>
          <w:sz w:val="20"/>
          <w:szCs w:val="20"/>
        </w:rPr>
        <w:t>:</w:t>
      </w:r>
    </w:p>
    <w:p w14:paraId="62F8C495" w14:textId="77777777" w:rsidR="00721197" w:rsidRPr="00EA2AF1" w:rsidRDefault="00721197" w:rsidP="00174F04">
      <w:pPr>
        <w:pStyle w:val="Brezrazmikov2"/>
        <w:spacing w:line="276" w:lineRule="auto"/>
        <w:ind w:left="720"/>
        <w:jc w:val="both"/>
        <w:rPr>
          <w:rFonts w:cs="Arial"/>
          <w:sz w:val="20"/>
          <w:szCs w:val="20"/>
        </w:rPr>
      </w:pPr>
      <w:r w:rsidRPr="00EA2AF1">
        <w:rPr>
          <w:rFonts w:cs="Arial"/>
          <w:sz w:val="20"/>
          <w:szCs w:val="20"/>
        </w:rPr>
        <w:lastRenderedPageBreak/>
        <w:t xml:space="preserve">1) če se cena enega </w:t>
      </w:r>
      <w:proofErr w:type="spellStart"/>
      <w:r w:rsidRPr="00EA2AF1">
        <w:rPr>
          <w:rFonts w:cs="Arial"/>
          <w:sz w:val="20"/>
          <w:szCs w:val="20"/>
        </w:rPr>
        <w:t>kalkulativnega</w:t>
      </w:r>
      <w:proofErr w:type="spellEnd"/>
      <w:r w:rsidRPr="00EA2AF1">
        <w:rPr>
          <w:rFonts w:cs="Arial"/>
          <w:sz w:val="20"/>
          <w:szCs w:val="20"/>
        </w:rPr>
        <w:t xml:space="preserve"> elementa ali več elementov zviša tako, da se cena postavke iz  opisa del zviša za več kot 2 %, ali</w:t>
      </w:r>
    </w:p>
    <w:p w14:paraId="7C9A8508" w14:textId="77777777" w:rsidR="00721197" w:rsidRPr="00EA2AF1" w:rsidRDefault="00721197" w:rsidP="00174F04">
      <w:pPr>
        <w:pStyle w:val="Brezrazmikov2"/>
        <w:spacing w:line="276" w:lineRule="auto"/>
        <w:ind w:left="720"/>
        <w:jc w:val="both"/>
        <w:rPr>
          <w:rFonts w:cs="Arial"/>
          <w:sz w:val="20"/>
          <w:szCs w:val="20"/>
        </w:rPr>
      </w:pPr>
      <w:r w:rsidRPr="00EA2AF1">
        <w:rPr>
          <w:rFonts w:cs="Arial"/>
          <w:sz w:val="20"/>
          <w:szCs w:val="20"/>
        </w:rPr>
        <w:t xml:space="preserve">2) če se s skupno spremembo </w:t>
      </w:r>
      <w:proofErr w:type="spellStart"/>
      <w:r w:rsidRPr="00EA2AF1">
        <w:rPr>
          <w:rFonts w:cs="Arial"/>
          <w:sz w:val="20"/>
          <w:szCs w:val="20"/>
        </w:rPr>
        <w:t>kalkulativnih</w:t>
      </w:r>
      <w:proofErr w:type="spellEnd"/>
      <w:r w:rsidRPr="00EA2AF1">
        <w:rPr>
          <w:rFonts w:cs="Arial"/>
          <w:sz w:val="20"/>
          <w:szCs w:val="20"/>
        </w:rPr>
        <w:t xml:space="preserve"> elementov skupaj dogovorjena cena zviša za več kot 2 %.«</w:t>
      </w:r>
      <w:r>
        <w:rPr>
          <w:rFonts w:cs="Arial"/>
          <w:sz w:val="20"/>
          <w:szCs w:val="20"/>
        </w:rPr>
        <w:t>.</w:t>
      </w:r>
    </w:p>
    <w:p w14:paraId="4EEE7C3E" w14:textId="77777777" w:rsidR="00721197" w:rsidRDefault="00721197" w:rsidP="00721197">
      <w:pPr>
        <w:pStyle w:val="Brezrazmikov2"/>
        <w:spacing w:line="276" w:lineRule="auto"/>
        <w:jc w:val="both"/>
        <w:rPr>
          <w:rFonts w:cs="Arial"/>
          <w:sz w:val="20"/>
          <w:szCs w:val="20"/>
        </w:rPr>
      </w:pPr>
    </w:p>
    <w:p w14:paraId="2E212593" w14:textId="77777777" w:rsidR="00721197" w:rsidRDefault="00721197" w:rsidP="00721197">
      <w:pPr>
        <w:pStyle w:val="Brezrazmikov2"/>
        <w:spacing w:line="276" w:lineRule="auto"/>
        <w:ind w:left="360"/>
        <w:jc w:val="both"/>
        <w:rPr>
          <w:rFonts w:cs="Arial"/>
          <w:sz w:val="20"/>
          <w:szCs w:val="20"/>
        </w:rPr>
      </w:pPr>
      <w:r>
        <w:rPr>
          <w:rFonts w:cs="Arial"/>
          <w:sz w:val="20"/>
          <w:szCs w:val="20"/>
        </w:rPr>
        <w:t xml:space="preserve">Pojasnilo: 24. uzanca (PGU20) določa spremembo cene zaradi spremembe </w:t>
      </w:r>
      <w:proofErr w:type="spellStart"/>
      <w:r>
        <w:rPr>
          <w:rFonts w:cs="Arial"/>
          <w:sz w:val="20"/>
          <w:szCs w:val="20"/>
        </w:rPr>
        <w:t>kalkulativnih</w:t>
      </w:r>
      <w:proofErr w:type="spellEnd"/>
      <w:r>
        <w:rPr>
          <w:rFonts w:cs="Arial"/>
          <w:sz w:val="20"/>
          <w:szCs w:val="20"/>
        </w:rPr>
        <w:t xml:space="preserve"> elementov le-te. V primerjavi s 24. členom PGU77, ki kot mejnik določa 3% in 5% spremembo ter upoštevajoč pravila javnega naročanja (načelo gospodarnosti, načelo enake obravnave ponudnikov, nespremenljivost pogodbenih pogojev) je potrebno biti pri uporabi te uzance pazljiv in jo preučiti v luči morebitne uporabe po prvi točki prvega odstavka 95. člena ZJN-3.</w:t>
      </w:r>
    </w:p>
    <w:p w14:paraId="48AB4414" w14:textId="77777777" w:rsidR="00721197" w:rsidRDefault="00721197" w:rsidP="00721197">
      <w:pPr>
        <w:pStyle w:val="Brezrazmikov2"/>
        <w:spacing w:line="276" w:lineRule="auto"/>
        <w:ind w:left="360"/>
        <w:jc w:val="both"/>
        <w:rPr>
          <w:rFonts w:cs="Arial"/>
          <w:sz w:val="20"/>
          <w:szCs w:val="20"/>
        </w:rPr>
      </w:pPr>
    </w:p>
    <w:p w14:paraId="6D5F9EA3" w14:textId="77777777" w:rsidR="00721197" w:rsidRPr="00EA2AF1" w:rsidRDefault="00721197" w:rsidP="00721197">
      <w:pPr>
        <w:pStyle w:val="Brezrazmikov2"/>
        <w:spacing w:line="276" w:lineRule="auto"/>
        <w:ind w:left="360"/>
        <w:jc w:val="both"/>
        <w:rPr>
          <w:rFonts w:cs="Arial"/>
          <w:sz w:val="20"/>
          <w:szCs w:val="20"/>
        </w:rPr>
      </w:pPr>
      <w:r>
        <w:rPr>
          <w:rFonts w:cs="Arial"/>
          <w:sz w:val="20"/>
          <w:szCs w:val="20"/>
        </w:rPr>
        <w:t>Izpostavljamo tudi, da PGU 77 (glej npr. 26. člen ter drugi odstavek 28. člena PGU77, enako tudi 655. člen OZ) določajo, da se pri povečanju cen lahko zahteva le razlika v ceni, takšne določbe pa PGU20 ne vsebujejo.</w:t>
      </w:r>
    </w:p>
    <w:p w14:paraId="47EAC0BA" w14:textId="77777777" w:rsidR="00AC01C1" w:rsidRPr="00AC01C1" w:rsidRDefault="00AC01C1" w:rsidP="00AC01C1">
      <w:pPr>
        <w:pStyle w:val="Brezrazmikov2"/>
        <w:spacing w:line="276" w:lineRule="auto"/>
        <w:jc w:val="both"/>
        <w:rPr>
          <w:rFonts w:cs="Arial"/>
          <w:sz w:val="20"/>
          <w:szCs w:val="20"/>
        </w:rPr>
      </w:pPr>
    </w:p>
    <w:p w14:paraId="0C65B7B3" w14:textId="1D6F80FA" w:rsidR="00AC01C1" w:rsidRDefault="00AC01C1" w:rsidP="00AC2227">
      <w:pPr>
        <w:pStyle w:val="Brezrazmikov2"/>
        <w:numPr>
          <w:ilvl w:val="0"/>
          <w:numId w:val="34"/>
        </w:numPr>
        <w:spacing w:line="276" w:lineRule="auto"/>
        <w:jc w:val="both"/>
        <w:rPr>
          <w:rFonts w:cs="Arial"/>
          <w:sz w:val="20"/>
          <w:szCs w:val="20"/>
        </w:rPr>
      </w:pPr>
      <w:r w:rsidRPr="00AC01C1">
        <w:rPr>
          <w:rFonts w:cs="Arial"/>
          <w:sz w:val="20"/>
          <w:szCs w:val="20"/>
        </w:rPr>
        <w:t xml:space="preserve">31. in 32. uzanca: </w:t>
      </w:r>
      <w:r w:rsidRPr="00AC01C1">
        <w:rPr>
          <w:rFonts w:cs="Arial"/>
          <w:b/>
          <w:bCs/>
          <w:sz w:val="20"/>
          <w:szCs w:val="20"/>
        </w:rPr>
        <w:t>Vpliv več del, manj del in nepredvidenih del na skupaj dogovorjeno ceno</w:t>
      </w:r>
      <w:r w:rsidRPr="00AC01C1">
        <w:rPr>
          <w:rFonts w:cs="Arial"/>
          <w:sz w:val="20"/>
          <w:szCs w:val="20"/>
        </w:rPr>
        <w:t xml:space="preserve">: »Skupaj dogovorjena cena se ne spremeni zaradi nastalih več del ali manj del. Skupaj dogovorjena cena </w:t>
      </w:r>
      <w:r w:rsidRPr="00AC01C1">
        <w:rPr>
          <w:rFonts w:cs="Arial"/>
          <w:sz w:val="20"/>
          <w:szCs w:val="20"/>
          <w:u w:val="single"/>
        </w:rPr>
        <w:t>obsega tudi vrednost nepredvidenih del</w:t>
      </w:r>
      <w:r w:rsidRPr="00AC01C1">
        <w:rPr>
          <w:rFonts w:cs="Arial"/>
          <w:sz w:val="20"/>
          <w:szCs w:val="20"/>
        </w:rPr>
        <w:t xml:space="preserve">, za katera je izvajalec ob sklenitvi pogodbe </w:t>
      </w:r>
      <w:r w:rsidRPr="00AC01C1">
        <w:rPr>
          <w:rFonts w:cs="Arial"/>
          <w:sz w:val="20"/>
          <w:szCs w:val="20"/>
          <w:u w:val="single"/>
        </w:rPr>
        <w:t>vedel ali bi moral vedeti</w:t>
      </w:r>
      <w:r w:rsidRPr="00AC01C1">
        <w:rPr>
          <w:rFonts w:cs="Arial"/>
          <w:sz w:val="20"/>
          <w:szCs w:val="20"/>
        </w:rPr>
        <w:t xml:space="preserve">, da se morajo izvesti. </w:t>
      </w:r>
      <w:r w:rsidRPr="00AC01C1">
        <w:rPr>
          <w:rFonts w:cs="Arial"/>
          <w:sz w:val="20"/>
          <w:szCs w:val="20"/>
          <w:u w:val="single"/>
        </w:rPr>
        <w:t>Za druga nepredvidena dela je izvajalec upravičen do dodatnega plačila</w:t>
      </w:r>
      <w:r w:rsidRPr="00AC01C1">
        <w:rPr>
          <w:rFonts w:cs="Arial"/>
          <w:sz w:val="20"/>
          <w:szCs w:val="20"/>
        </w:rPr>
        <w:t>.«</w:t>
      </w:r>
      <w:r>
        <w:rPr>
          <w:rFonts w:cs="Arial"/>
          <w:sz w:val="20"/>
          <w:szCs w:val="20"/>
        </w:rPr>
        <w:t>.</w:t>
      </w:r>
    </w:p>
    <w:p w14:paraId="59B3B562" w14:textId="5E426424" w:rsidR="00AC2227" w:rsidRDefault="00AC2227" w:rsidP="00AC2227">
      <w:pPr>
        <w:pStyle w:val="Brezrazmikov2"/>
        <w:spacing w:line="276" w:lineRule="auto"/>
        <w:jc w:val="both"/>
        <w:rPr>
          <w:rFonts w:cs="Arial"/>
          <w:sz w:val="20"/>
          <w:szCs w:val="20"/>
        </w:rPr>
      </w:pPr>
    </w:p>
    <w:p w14:paraId="3408965D" w14:textId="15272D63" w:rsidR="00AC2227" w:rsidRPr="00AC01C1" w:rsidRDefault="00AC2227" w:rsidP="00CB4C25">
      <w:pPr>
        <w:pStyle w:val="Brezrazmikov2"/>
        <w:spacing w:line="276" w:lineRule="auto"/>
        <w:ind w:left="360"/>
        <w:jc w:val="both"/>
        <w:rPr>
          <w:rFonts w:cs="Arial"/>
          <w:sz w:val="20"/>
          <w:szCs w:val="20"/>
        </w:rPr>
      </w:pPr>
      <w:r>
        <w:rPr>
          <w:rFonts w:cs="Arial"/>
          <w:sz w:val="20"/>
          <w:szCs w:val="20"/>
        </w:rPr>
        <w:t>Pojasnilo: Gre za natančno uzanco, na katero morajo biti naročniki v primeru skupaj dogovorjene cene pozorni, zlasti na to, katera nepredvidena dela obsega in katera ne.</w:t>
      </w:r>
    </w:p>
    <w:p w14:paraId="71E9EC0E" w14:textId="77777777" w:rsidR="00AC01C1" w:rsidRDefault="00AC01C1" w:rsidP="00AC01C1">
      <w:pPr>
        <w:pStyle w:val="Brezrazmikov2"/>
        <w:spacing w:line="276" w:lineRule="auto"/>
        <w:jc w:val="both"/>
        <w:rPr>
          <w:rFonts w:cs="Arial"/>
          <w:sz w:val="20"/>
          <w:szCs w:val="20"/>
        </w:rPr>
      </w:pPr>
    </w:p>
    <w:p w14:paraId="3544F7EA" w14:textId="2AAF2D74" w:rsidR="00AC01C1" w:rsidRDefault="00AC01C1" w:rsidP="00CB4C25">
      <w:pPr>
        <w:pStyle w:val="Brezrazmikov2"/>
        <w:numPr>
          <w:ilvl w:val="0"/>
          <w:numId w:val="34"/>
        </w:numPr>
        <w:spacing w:line="276" w:lineRule="auto"/>
        <w:jc w:val="both"/>
        <w:rPr>
          <w:rFonts w:cs="Arial"/>
          <w:sz w:val="20"/>
          <w:szCs w:val="20"/>
        </w:rPr>
      </w:pPr>
      <w:r w:rsidRPr="00AC01C1">
        <w:rPr>
          <w:rFonts w:cs="Arial"/>
          <w:sz w:val="20"/>
          <w:szCs w:val="20"/>
        </w:rPr>
        <w:t xml:space="preserve">33. uzanca: </w:t>
      </w:r>
      <w:r w:rsidRPr="00AC01C1">
        <w:rPr>
          <w:rFonts w:cs="Arial"/>
          <w:b/>
          <w:bCs/>
          <w:sz w:val="20"/>
          <w:szCs w:val="20"/>
        </w:rPr>
        <w:t>Pogodba z določbo »ključ v roke«</w:t>
      </w:r>
      <w:r w:rsidRPr="00AC01C1">
        <w:rPr>
          <w:rFonts w:cs="Arial"/>
          <w:sz w:val="20"/>
          <w:szCs w:val="20"/>
        </w:rPr>
        <w:t xml:space="preserve">: »Pogodba z določbo »ključ v roke« ali kakšno drugo podobno določbo pomeni mešano pogodbo, ki vključuje pogodbo o projektiranju, gradbeno, </w:t>
      </w:r>
      <w:proofErr w:type="spellStart"/>
      <w:r w:rsidRPr="00AC01C1">
        <w:rPr>
          <w:rFonts w:cs="Arial"/>
          <w:sz w:val="20"/>
          <w:szCs w:val="20"/>
        </w:rPr>
        <w:t>podjemno</w:t>
      </w:r>
      <w:proofErr w:type="spellEnd"/>
      <w:r w:rsidRPr="00AC01C1">
        <w:rPr>
          <w:rFonts w:cs="Arial"/>
          <w:sz w:val="20"/>
          <w:szCs w:val="20"/>
        </w:rPr>
        <w:t xml:space="preserve">, prodajno in vse druge pogodbe za dela in dobave, ki so potrebne, da izvajalec izvede skupaj vsa dela, ki so potrebna za zgraditev in uporabo nekega celotnega objekta ali dela objekta, ki predstavlja funkcionalno celoto. S takšno pogodbo se izvajalec samostojno zavezuje, da bo v imenu in na račun naročnika priskrbel projektno dokumentacijo in izvedel vsa potrebna dela in dobave, tako da bo na koncu naročniku omogočil uporabo oziroma izročil ključ dokončanega in za uporabo pripravljenega objekta oziroma dela objekta, ki predstavlja funkcionalno celoto. </w:t>
      </w:r>
      <w:r w:rsidRPr="00AC01C1">
        <w:rPr>
          <w:rFonts w:cs="Arial"/>
          <w:sz w:val="20"/>
          <w:szCs w:val="20"/>
          <w:u w:val="single"/>
        </w:rPr>
        <w:t>Določba »ključ v roke« ne izključuje spremembe pogodbene cene zaradi spremenjenih okoliščin in ne plačila dodatnih del.</w:t>
      </w:r>
      <w:r w:rsidRPr="00AC01C1">
        <w:rPr>
          <w:rFonts w:cs="Arial"/>
          <w:sz w:val="20"/>
          <w:szCs w:val="20"/>
        </w:rPr>
        <w:t>«.</w:t>
      </w:r>
    </w:p>
    <w:p w14:paraId="7FD33865" w14:textId="65277B6B" w:rsidR="0016481F" w:rsidRDefault="0016481F" w:rsidP="00AC01C1">
      <w:pPr>
        <w:pStyle w:val="Brezrazmikov2"/>
        <w:spacing w:line="276" w:lineRule="auto"/>
        <w:jc w:val="both"/>
        <w:rPr>
          <w:rFonts w:cs="Arial"/>
          <w:sz w:val="20"/>
          <w:szCs w:val="20"/>
        </w:rPr>
      </w:pPr>
    </w:p>
    <w:p w14:paraId="36B6941C" w14:textId="13596B12" w:rsidR="0016481F" w:rsidRDefault="0016481F" w:rsidP="00AC2227">
      <w:pPr>
        <w:pStyle w:val="Brezrazmikov2"/>
        <w:spacing w:line="276" w:lineRule="auto"/>
        <w:ind w:left="360"/>
        <w:jc w:val="both"/>
        <w:rPr>
          <w:rFonts w:cs="Arial"/>
          <w:sz w:val="20"/>
          <w:szCs w:val="20"/>
        </w:rPr>
      </w:pPr>
      <w:r>
        <w:rPr>
          <w:rFonts w:cs="Arial"/>
          <w:sz w:val="20"/>
          <w:szCs w:val="20"/>
        </w:rPr>
        <w:t xml:space="preserve">Pojasnilo: PGU 20 v primerjavi z ureditvijo OZ in PGU77 v urejanje določbe »ključ v roke« prinašajo nekaj vsebinskih sprememb, zato jih velja pred pripravo </w:t>
      </w:r>
      <w:proofErr w:type="spellStart"/>
      <w:r>
        <w:rPr>
          <w:rFonts w:cs="Arial"/>
          <w:sz w:val="20"/>
          <w:szCs w:val="20"/>
        </w:rPr>
        <w:t>javnonaročniške</w:t>
      </w:r>
      <w:proofErr w:type="spellEnd"/>
      <w:r>
        <w:rPr>
          <w:rFonts w:cs="Arial"/>
          <w:sz w:val="20"/>
          <w:szCs w:val="20"/>
        </w:rPr>
        <w:t xml:space="preserve"> dokumentacije natančno preučiti.</w:t>
      </w:r>
    </w:p>
    <w:p w14:paraId="686D4E61" w14:textId="4464CBF6" w:rsidR="00AC2227" w:rsidRDefault="00AC2227" w:rsidP="00AC2227">
      <w:pPr>
        <w:pStyle w:val="Brezrazmikov2"/>
        <w:spacing w:line="276" w:lineRule="auto"/>
        <w:ind w:left="360"/>
        <w:jc w:val="both"/>
        <w:rPr>
          <w:rFonts w:cs="Arial"/>
          <w:sz w:val="20"/>
          <w:szCs w:val="20"/>
        </w:rPr>
      </w:pPr>
    </w:p>
    <w:p w14:paraId="6CC9DE06" w14:textId="77777777" w:rsidR="00AC2227" w:rsidRDefault="00AC2227" w:rsidP="00AC2227">
      <w:pPr>
        <w:pStyle w:val="Brezrazmikov2"/>
        <w:numPr>
          <w:ilvl w:val="0"/>
          <w:numId w:val="36"/>
        </w:numPr>
        <w:spacing w:line="276" w:lineRule="auto"/>
        <w:jc w:val="both"/>
        <w:rPr>
          <w:rFonts w:cs="Arial"/>
          <w:sz w:val="20"/>
          <w:szCs w:val="20"/>
        </w:rPr>
      </w:pPr>
      <w:r w:rsidRPr="00EA2AF1">
        <w:rPr>
          <w:rFonts w:cs="Arial"/>
          <w:sz w:val="20"/>
          <w:szCs w:val="20"/>
        </w:rPr>
        <w:t xml:space="preserve">39. uzanca: </w:t>
      </w:r>
      <w:r w:rsidRPr="00EA2AF1">
        <w:rPr>
          <w:rFonts w:cs="Arial"/>
          <w:b/>
          <w:bCs/>
          <w:sz w:val="20"/>
          <w:szCs w:val="20"/>
        </w:rPr>
        <w:t>Ukrepi za pospešitev del</w:t>
      </w:r>
      <w:r w:rsidRPr="00EA2AF1">
        <w:rPr>
          <w:rFonts w:cs="Arial"/>
          <w:sz w:val="20"/>
          <w:szCs w:val="20"/>
        </w:rPr>
        <w:t xml:space="preserve">: »Če je upravičeno dvomiti, da bodo dela izvedena v pogodbenih rokih, ima naročnik pravico zahtevati od izvajalca, naj ukrene, kar je treba, da ustrezno pospeši dela in jih uskladi z dogovorjenim terminskim planom oz. zahteva noveliran terminski plan, v katerem dokaže, na kakšen način bo zagotovil izvedbo del v pogodbenih rokih. Stroške, povezane z ukrepi za pospešitev del, nosi tisti pogodbenik, zaradi katerega je treba uvesti ukrepe za pospešitev del. </w:t>
      </w:r>
      <w:r w:rsidRPr="00EA2AF1">
        <w:rPr>
          <w:rFonts w:cs="Arial"/>
          <w:sz w:val="20"/>
          <w:szCs w:val="20"/>
          <w:u w:val="single"/>
        </w:rPr>
        <w:t xml:space="preserve">Če ukrepi, zaradi katerih je treba uvesti pospešitve del, niso v sferi nobenega od pogodbenikov, njihove stroške nosi naročnik. Če razlog za zamudo z izvedbo del ni na </w:t>
      </w:r>
      <w:r w:rsidRPr="00EA2AF1">
        <w:rPr>
          <w:rFonts w:cs="Arial"/>
          <w:sz w:val="20"/>
          <w:szCs w:val="20"/>
        </w:rPr>
        <w:t>strani izvajalca, mu je naročnik dolžan povrniti stroške in plačati primerno plačilo za pospešitev del.«</w:t>
      </w:r>
      <w:r>
        <w:rPr>
          <w:rFonts w:cs="Arial"/>
          <w:sz w:val="20"/>
          <w:szCs w:val="20"/>
        </w:rPr>
        <w:t>.</w:t>
      </w:r>
    </w:p>
    <w:p w14:paraId="17576C17" w14:textId="77777777" w:rsidR="00AC2227" w:rsidRDefault="00AC2227" w:rsidP="00AC2227">
      <w:pPr>
        <w:pStyle w:val="Brezrazmikov2"/>
        <w:spacing w:line="276" w:lineRule="auto"/>
        <w:jc w:val="both"/>
        <w:rPr>
          <w:rFonts w:cs="Arial"/>
          <w:sz w:val="20"/>
          <w:szCs w:val="20"/>
        </w:rPr>
      </w:pPr>
    </w:p>
    <w:p w14:paraId="0FDA7504" w14:textId="77777777" w:rsidR="00AC2227" w:rsidRPr="00EA2AF1" w:rsidRDefault="00AC2227" w:rsidP="00AC2227">
      <w:pPr>
        <w:pStyle w:val="Brezrazmikov2"/>
        <w:spacing w:line="276" w:lineRule="auto"/>
        <w:ind w:left="360"/>
        <w:jc w:val="both"/>
        <w:rPr>
          <w:rFonts w:cs="Arial"/>
          <w:sz w:val="20"/>
          <w:szCs w:val="20"/>
        </w:rPr>
      </w:pPr>
      <w:r>
        <w:rPr>
          <w:rFonts w:cs="Arial"/>
          <w:sz w:val="20"/>
          <w:szCs w:val="20"/>
        </w:rPr>
        <w:lastRenderedPageBreak/>
        <w:t>Pojasnilo: V primerjavi s predhodno ureditvijo v 40. členu PGU77 so nosilci stroškov natančneje definirani, zaradi česar morajo biti naročniki na to pozorni.</w:t>
      </w:r>
    </w:p>
    <w:p w14:paraId="69F16558" w14:textId="77777777" w:rsidR="00AC2227" w:rsidRPr="00AC01C1" w:rsidRDefault="00AC2227" w:rsidP="00CB4C25">
      <w:pPr>
        <w:pStyle w:val="Brezrazmikov2"/>
        <w:spacing w:line="276" w:lineRule="auto"/>
        <w:ind w:left="360"/>
        <w:jc w:val="both"/>
        <w:rPr>
          <w:rFonts w:cs="Arial"/>
          <w:sz w:val="20"/>
          <w:szCs w:val="20"/>
        </w:rPr>
      </w:pPr>
    </w:p>
    <w:p w14:paraId="31E79417" w14:textId="77777777" w:rsidR="00AC01C1" w:rsidRPr="00BE6D74" w:rsidRDefault="00AC01C1" w:rsidP="00AC01C1">
      <w:pPr>
        <w:autoSpaceDE w:val="0"/>
        <w:autoSpaceDN w:val="0"/>
        <w:adjustRightInd w:val="0"/>
        <w:spacing w:line="240" w:lineRule="auto"/>
        <w:jc w:val="both"/>
        <w:rPr>
          <w:rFonts w:ascii="SourceSansPro-Regular" w:hAnsi="SourceSansPro-Regular" w:cs="SourceSansPro-Regular"/>
          <w:lang w:val="sl-SI"/>
        </w:rPr>
      </w:pPr>
    </w:p>
    <w:p w14:paraId="7C886205" w14:textId="3611C840" w:rsidR="00A31BBD" w:rsidRDefault="00617F87" w:rsidP="008F1D52">
      <w:pPr>
        <w:tabs>
          <w:tab w:val="left" w:pos="1701"/>
        </w:tabs>
        <w:spacing w:line="276" w:lineRule="auto"/>
        <w:jc w:val="both"/>
        <w:rPr>
          <w:rFonts w:cs="Arial"/>
          <w:szCs w:val="20"/>
          <w:lang w:val="sl-SI"/>
        </w:rPr>
      </w:pPr>
      <w:r>
        <w:rPr>
          <w:rFonts w:cs="Arial"/>
          <w:szCs w:val="20"/>
          <w:lang w:val="sl-SI"/>
        </w:rPr>
        <w:t>S</w:t>
      </w:r>
      <w:r w:rsidR="00A82310" w:rsidRPr="00535906">
        <w:rPr>
          <w:rFonts w:cs="Arial"/>
          <w:szCs w:val="20"/>
          <w:lang w:val="sl-SI"/>
        </w:rPr>
        <w:t xml:space="preserve"> spoštovanjem!</w:t>
      </w:r>
    </w:p>
    <w:p w14:paraId="633C2021" w14:textId="77777777" w:rsidR="00AC01C1" w:rsidRPr="00647710" w:rsidRDefault="00AC01C1" w:rsidP="008F1D52">
      <w:pPr>
        <w:tabs>
          <w:tab w:val="left" w:pos="1701"/>
        </w:tabs>
        <w:spacing w:line="276" w:lineRule="auto"/>
        <w:jc w:val="both"/>
        <w:rPr>
          <w:rFonts w:cs="Arial"/>
          <w:szCs w:val="20"/>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4244"/>
      </w:tblGrid>
      <w:tr w:rsidR="00241867" w:rsidRPr="00AF5209" w14:paraId="4E385291" w14:textId="77777777" w:rsidTr="00241867">
        <w:trPr>
          <w:trHeight w:val="355"/>
        </w:trPr>
        <w:tc>
          <w:tcPr>
            <w:tcW w:w="4244" w:type="dxa"/>
          </w:tcPr>
          <w:p w14:paraId="1725518E" w14:textId="77777777" w:rsidR="00241867" w:rsidRPr="00647710" w:rsidRDefault="00241867" w:rsidP="00241867">
            <w:pPr>
              <w:pStyle w:val="podpisi"/>
              <w:spacing w:line="276" w:lineRule="auto"/>
              <w:rPr>
                <w:szCs w:val="20"/>
                <w:lang w:val="sl-SI"/>
              </w:rPr>
            </w:pPr>
          </w:p>
        </w:tc>
        <w:tc>
          <w:tcPr>
            <w:tcW w:w="4244" w:type="dxa"/>
          </w:tcPr>
          <w:p w14:paraId="0DB67241" w14:textId="77777777" w:rsidR="00241867" w:rsidRDefault="00241867" w:rsidP="002E5243">
            <w:pPr>
              <w:spacing w:line="276" w:lineRule="auto"/>
              <w:jc w:val="center"/>
              <w:rPr>
                <w:szCs w:val="20"/>
                <w:lang w:val="sl-SI"/>
              </w:rPr>
            </w:pPr>
            <w:r>
              <w:rPr>
                <w:szCs w:val="20"/>
                <w:lang w:val="sl-SI"/>
              </w:rPr>
              <w:t>Sašo Matas</w:t>
            </w:r>
          </w:p>
          <w:p w14:paraId="2B49EDE6" w14:textId="77777777" w:rsidR="00241867" w:rsidRPr="00647710" w:rsidRDefault="00241867" w:rsidP="002E5243">
            <w:pPr>
              <w:spacing w:line="276" w:lineRule="auto"/>
              <w:jc w:val="center"/>
              <w:rPr>
                <w:szCs w:val="20"/>
                <w:lang w:val="sl-SI"/>
              </w:rPr>
            </w:pPr>
            <w:r>
              <w:rPr>
                <w:szCs w:val="20"/>
                <w:lang w:val="sl-SI"/>
              </w:rPr>
              <w:t>Generalni direktor</w:t>
            </w:r>
          </w:p>
        </w:tc>
      </w:tr>
    </w:tbl>
    <w:p w14:paraId="263B84AD" w14:textId="77777777" w:rsidR="00D74E39" w:rsidRDefault="00D74E39" w:rsidP="00241867">
      <w:pPr>
        <w:pStyle w:val="podpisi"/>
        <w:spacing w:line="276" w:lineRule="auto"/>
        <w:jc w:val="both"/>
        <w:rPr>
          <w:rFonts w:cs="Arial"/>
          <w:szCs w:val="20"/>
          <w:lang w:val="sl-SI"/>
        </w:rPr>
      </w:pPr>
    </w:p>
    <w:p w14:paraId="45141100" w14:textId="16E51D3F" w:rsidR="00D74E39" w:rsidRDefault="00D74E39" w:rsidP="00B124A2">
      <w:pPr>
        <w:spacing w:line="276" w:lineRule="auto"/>
        <w:jc w:val="both"/>
        <w:rPr>
          <w:rFonts w:cs="Arial"/>
          <w:szCs w:val="20"/>
          <w:lang w:val="sl-SI"/>
        </w:rPr>
      </w:pPr>
    </w:p>
    <w:sectPr w:rsidR="00D74E39" w:rsidSect="008F1D52">
      <w:headerReference w:type="default" r:id="rId9"/>
      <w:footerReference w:type="default" r:id="rId10"/>
      <w:pgSz w:w="11900" w:h="16840" w:code="9"/>
      <w:pgMar w:top="521" w:right="1701" w:bottom="1276"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C1CA1" w14:textId="77777777" w:rsidR="005F6A4A" w:rsidRDefault="005F6A4A">
      <w:r>
        <w:separator/>
      </w:r>
    </w:p>
  </w:endnote>
  <w:endnote w:type="continuationSeparator" w:id="0">
    <w:p w14:paraId="54C381B6" w14:textId="77777777" w:rsidR="005F6A4A" w:rsidRDefault="005F6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CC"/>
    <w:family w:val="roman"/>
    <w:notTrueType/>
    <w:pitch w:val="default"/>
    <w:sig w:usb0="00000001" w:usb1="00000000" w:usb2="00000000" w:usb3="00000000" w:csb0="00000007" w:csb1="00000000"/>
  </w:font>
  <w:font w:name="Arial,Bold">
    <w:altName w:val="Arial"/>
    <w:panose1 w:val="00000000000000000000"/>
    <w:charset w:val="EE"/>
    <w:family w:val="auto"/>
    <w:notTrueType/>
    <w:pitch w:val="default"/>
    <w:sig w:usb0="00000005" w:usb1="00000000" w:usb2="00000000" w:usb3="00000000" w:csb0="00000002" w:csb1="00000000"/>
  </w:font>
  <w:font w:name="SourceSansPro-Regular">
    <w:altName w:val="Calibri"/>
    <w:panose1 w:val="00000000000000000000"/>
    <w:charset w:val="EE"/>
    <w:family w:val="swiss"/>
    <w:notTrueType/>
    <w:pitch w:val="default"/>
    <w:sig w:usb0="00000005" w:usb1="00000000" w:usb2="00000000" w:usb3="00000000" w:csb0="00000002" w:csb1="00000000"/>
  </w:font>
  <w:font w:name="Republika">
    <w:altName w:val="Calibri"/>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7264427"/>
      <w:docPartObj>
        <w:docPartGallery w:val="Page Numbers (Bottom of Page)"/>
        <w:docPartUnique/>
      </w:docPartObj>
    </w:sdtPr>
    <w:sdtEndPr/>
    <w:sdtContent>
      <w:p w14:paraId="4AAB7F69" w14:textId="77777777" w:rsidR="00300557" w:rsidRDefault="00300557">
        <w:pPr>
          <w:pStyle w:val="Noga"/>
          <w:jc w:val="right"/>
        </w:pPr>
        <w:r>
          <w:fldChar w:fldCharType="begin"/>
        </w:r>
        <w:r>
          <w:instrText>PAGE   \* MERGEFORMAT</w:instrText>
        </w:r>
        <w:r>
          <w:fldChar w:fldCharType="separate"/>
        </w:r>
        <w:r w:rsidR="0052171B" w:rsidRPr="0052171B">
          <w:rPr>
            <w:noProof/>
            <w:lang w:val="sl-SI"/>
          </w:rPr>
          <w:t>2</w:t>
        </w:r>
        <w:r>
          <w:fldChar w:fldCharType="end"/>
        </w:r>
        <w:r>
          <w:t>/</w:t>
        </w:r>
        <w:r w:rsidR="00951A70">
          <w:rPr>
            <w:noProof/>
          </w:rPr>
          <w:fldChar w:fldCharType="begin"/>
        </w:r>
        <w:r w:rsidR="00951A70">
          <w:rPr>
            <w:noProof/>
          </w:rPr>
          <w:instrText xml:space="preserve"> NUMPAGES   \* MERGEFORMAT </w:instrText>
        </w:r>
        <w:r w:rsidR="00951A70">
          <w:rPr>
            <w:noProof/>
          </w:rPr>
          <w:fldChar w:fldCharType="separate"/>
        </w:r>
        <w:r w:rsidR="0052171B">
          <w:rPr>
            <w:noProof/>
          </w:rPr>
          <w:t>2</w:t>
        </w:r>
        <w:r w:rsidR="00951A70">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59F77" w14:textId="77777777" w:rsidR="005F6A4A" w:rsidRDefault="005F6A4A">
      <w:r>
        <w:separator/>
      </w:r>
    </w:p>
  </w:footnote>
  <w:footnote w:type="continuationSeparator" w:id="0">
    <w:p w14:paraId="5E47B429" w14:textId="77777777" w:rsidR="005F6A4A" w:rsidRDefault="005F6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3A4D4" w14:textId="77777777" w:rsidR="00F437B0" w:rsidRPr="00110CBD" w:rsidRDefault="00F437B0"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24B13"/>
    <w:multiLevelType w:val="hybridMultilevel"/>
    <w:tmpl w:val="9934F70A"/>
    <w:lvl w:ilvl="0" w:tplc="4790F672">
      <w:start w:val="31"/>
      <w:numFmt w:val="bullet"/>
      <w:lvlText w:val="–"/>
      <w:lvlJc w:val="left"/>
      <w:pPr>
        <w:ind w:left="720" w:hanging="360"/>
      </w:pPr>
      <w:rPr>
        <w:rFonts w:ascii="Century Gothic" w:eastAsia="Times New Roman" w:hAnsi="Century Gothic"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EB1177"/>
    <w:multiLevelType w:val="hybridMultilevel"/>
    <w:tmpl w:val="A9EA003C"/>
    <w:lvl w:ilvl="0" w:tplc="0706E628">
      <w:start w:val="7"/>
      <w:numFmt w:val="bullet"/>
      <w:lvlText w:val="–"/>
      <w:lvlJc w:val="left"/>
      <w:pPr>
        <w:tabs>
          <w:tab w:val="num" w:pos="720"/>
        </w:tabs>
        <w:ind w:left="720" w:hanging="360"/>
      </w:pPr>
      <w:rPr>
        <w:rFonts w:ascii="Arial" w:eastAsia="Times New Roman"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3" w15:restartNumberingAfterBreak="0">
    <w:nsid w:val="103870FF"/>
    <w:multiLevelType w:val="hybridMultilevel"/>
    <w:tmpl w:val="840E9FBC"/>
    <w:lvl w:ilvl="0" w:tplc="B1ACBCA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36F3BBA"/>
    <w:multiLevelType w:val="hybridMultilevel"/>
    <w:tmpl w:val="0E6EF0D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6" w15:restartNumberingAfterBreak="0">
    <w:nsid w:val="1B820090"/>
    <w:multiLevelType w:val="hybridMultilevel"/>
    <w:tmpl w:val="66508BEA"/>
    <w:lvl w:ilvl="0" w:tplc="137E22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50441D3"/>
    <w:multiLevelType w:val="hybridMultilevel"/>
    <w:tmpl w:val="FD58C9B2"/>
    <w:lvl w:ilvl="0" w:tplc="4790F672">
      <w:start w:val="31"/>
      <w:numFmt w:val="bullet"/>
      <w:lvlText w:val="–"/>
      <w:lvlJc w:val="left"/>
      <w:pPr>
        <w:ind w:left="720" w:hanging="360"/>
      </w:pPr>
      <w:rPr>
        <w:rFonts w:ascii="Century Gothic" w:eastAsia="Calibri" w:hAnsi="Century Gothic"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 w15:restartNumberingAfterBreak="0">
    <w:nsid w:val="38B776B9"/>
    <w:multiLevelType w:val="hybridMultilevel"/>
    <w:tmpl w:val="B97EAA3C"/>
    <w:lvl w:ilvl="0" w:tplc="137E22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A213813"/>
    <w:multiLevelType w:val="hybridMultilevel"/>
    <w:tmpl w:val="5E5C7C34"/>
    <w:lvl w:ilvl="0" w:tplc="E126FCE8">
      <w:numFmt w:val="bullet"/>
      <w:lvlText w:val="–"/>
      <w:lvlJc w:val="left"/>
      <w:pPr>
        <w:tabs>
          <w:tab w:val="num" w:pos="1083"/>
        </w:tabs>
        <w:ind w:left="1083" w:hanging="48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30617"/>
    <w:multiLevelType w:val="hybridMultilevel"/>
    <w:tmpl w:val="83F4CA4C"/>
    <w:lvl w:ilvl="0" w:tplc="0F36E2D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EE47B2A"/>
    <w:multiLevelType w:val="hybridMultilevel"/>
    <w:tmpl w:val="816477F4"/>
    <w:lvl w:ilvl="0" w:tplc="2592A002">
      <w:numFmt w:val="bullet"/>
      <w:lvlText w:val="–"/>
      <w:lvlJc w:val="left"/>
      <w:pPr>
        <w:ind w:left="94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3" w15:restartNumberingAfterBreak="0">
    <w:nsid w:val="41354C86"/>
    <w:multiLevelType w:val="hybridMultilevel"/>
    <w:tmpl w:val="C794EEA8"/>
    <w:lvl w:ilvl="0" w:tplc="4790F672">
      <w:start w:val="31"/>
      <w:numFmt w:val="bullet"/>
      <w:lvlText w:val="–"/>
      <w:lvlJc w:val="left"/>
      <w:pPr>
        <w:ind w:left="720" w:hanging="360"/>
      </w:pPr>
      <w:rPr>
        <w:rFonts w:ascii="Century Gothic" w:eastAsia="Times New Roman" w:hAnsi="Century Gothic"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452436CA"/>
    <w:multiLevelType w:val="hybridMultilevel"/>
    <w:tmpl w:val="5994023C"/>
    <w:lvl w:ilvl="0" w:tplc="137E22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5C54E52"/>
    <w:multiLevelType w:val="hybridMultilevel"/>
    <w:tmpl w:val="BBFE7BC2"/>
    <w:lvl w:ilvl="0" w:tplc="0706E628">
      <w:start w:val="7"/>
      <w:numFmt w:val="bullet"/>
      <w:lvlText w:val="–"/>
      <w:lvlJc w:val="left"/>
      <w:pPr>
        <w:tabs>
          <w:tab w:val="num" w:pos="720"/>
        </w:tabs>
        <w:ind w:left="720" w:hanging="360"/>
      </w:pPr>
      <w:rPr>
        <w:rFonts w:ascii="Arial" w:eastAsia="Times New Roman" w:hAnsi="Arial" w:hint="default"/>
      </w:rPr>
    </w:lvl>
    <w:lvl w:ilvl="1" w:tplc="0706E628">
      <w:start w:val="7"/>
      <w:numFmt w:val="bullet"/>
      <w:lvlText w:val="–"/>
      <w:lvlJc w:val="left"/>
      <w:pPr>
        <w:tabs>
          <w:tab w:val="num" w:pos="1440"/>
        </w:tabs>
        <w:ind w:left="1440" w:hanging="360"/>
      </w:pPr>
      <w:rPr>
        <w:rFonts w:ascii="Arial" w:eastAsia="Times New Roman" w:hAnsi="Aria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8A5136C"/>
    <w:multiLevelType w:val="hybridMultilevel"/>
    <w:tmpl w:val="7F3A64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C634520"/>
    <w:multiLevelType w:val="hybridMultilevel"/>
    <w:tmpl w:val="57DE4AAE"/>
    <w:lvl w:ilvl="0" w:tplc="0BDC4884">
      <w:start w:val="3"/>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DAB684A"/>
    <w:multiLevelType w:val="hybridMultilevel"/>
    <w:tmpl w:val="4E44FE20"/>
    <w:lvl w:ilvl="0" w:tplc="04240015">
      <w:start w:val="1"/>
      <w:numFmt w:val="upp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4DB60A18"/>
    <w:multiLevelType w:val="hybridMultilevel"/>
    <w:tmpl w:val="33EEC34E"/>
    <w:lvl w:ilvl="0" w:tplc="4790F672">
      <w:start w:val="31"/>
      <w:numFmt w:val="bullet"/>
      <w:lvlText w:val="–"/>
      <w:lvlJc w:val="left"/>
      <w:pPr>
        <w:ind w:left="720" w:hanging="360"/>
      </w:pPr>
      <w:rPr>
        <w:rFonts w:ascii="Century Gothic" w:eastAsia="Times New Roman" w:hAnsi="Century Gothic"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FFA7D1E"/>
    <w:multiLevelType w:val="hybridMultilevel"/>
    <w:tmpl w:val="9D1E3916"/>
    <w:lvl w:ilvl="0" w:tplc="0706E628">
      <w:start w:val="7"/>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11F4EAF"/>
    <w:multiLevelType w:val="hybridMultilevel"/>
    <w:tmpl w:val="A66CFECE"/>
    <w:lvl w:ilvl="0" w:tplc="0BDC4884">
      <w:start w:val="3"/>
      <w:numFmt w:val="bullet"/>
      <w:lvlText w:val="-"/>
      <w:lvlJc w:val="left"/>
      <w:pPr>
        <w:ind w:left="862" w:hanging="360"/>
      </w:pPr>
      <w:rPr>
        <w:rFonts w:ascii="Arial" w:eastAsia="Times New Roman" w:hAnsi="Arial" w:hint="default"/>
      </w:rPr>
    </w:lvl>
    <w:lvl w:ilvl="1" w:tplc="04240003" w:tentative="1">
      <w:start w:val="1"/>
      <w:numFmt w:val="bullet"/>
      <w:lvlText w:val="o"/>
      <w:lvlJc w:val="left"/>
      <w:pPr>
        <w:ind w:left="1582" w:hanging="360"/>
      </w:pPr>
      <w:rPr>
        <w:rFonts w:ascii="Courier New" w:hAnsi="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23" w15:restartNumberingAfterBreak="0">
    <w:nsid w:val="58A1674D"/>
    <w:multiLevelType w:val="hybridMultilevel"/>
    <w:tmpl w:val="70FCF69A"/>
    <w:lvl w:ilvl="0" w:tplc="0BDC4884">
      <w:start w:val="3"/>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A9B2786"/>
    <w:multiLevelType w:val="hybridMultilevel"/>
    <w:tmpl w:val="CB0E92E0"/>
    <w:lvl w:ilvl="0" w:tplc="66A2D318">
      <w:numFmt w:val="bullet"/>
      <w:lvlText w:val="-"/>
      <w:lvlJc w:val="left"/>
      <w:pPr>
        <w:ind w:left="2055" w:hanging="169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DD87629"/>
    <w:multiLevelType w:val="hybridMultilevel"/>
    <w:tmpl w:val="0BB2EC78"/>
    <w:lvl w:ilvl="0" w:tplc="473A0264">
      <w:start w:val="4"/>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E9D6A7F"/>
    <w:multiLevelType w:val="hybridMultilevel"/>
    <w:tmpl w:val="DE4CC952"/>
    <w:lvl w:ilvl="0" w:tplc="371EE8A6">
      <w:start w:val="3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F521F28"/>
    <w:multiLevelType w:val="hybridMultilevel"/>
    <w:tmpl w:val="D7D6ADE0"/>
    <w:lvl w:ilvl="0" w:tplc="E126FCE8">
      <w:numFmt w:val="bullet"/>
      <w:lvlText w:val="–"/>
      <w:lvlJc w:val="left"/>
      <w:pPr>
        <w:ind w:left="720" w:hanging="360"/>
      </w:pPr>
      <w:rPr>
        <w:rFonts w:ascii="Arial" w:eastAsia="Trebuchet MS"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26B7D55"/>
    <w:multiLevelType w:val="hybridMultilevel"/>
    <w:tmpl w:val="93FC96B0"/>
    <w:lvl w:ilvl="0" w:tplc="D0E8F596">
      <w:start w:val="3"/>
      <w:numFmt w:val="bullet"/>
      <w:lvlText w:val="–"/>
      <w:lvlJc w:val="left"/>
      <w:pPr>
        <w:ind w:left="720" w:hanging="360"/>
      </w:pPr>
      <w:rPr>
        <w:rFonts w:ascii="Palatino Linotype" w:eastAsia="Times New Roman" w:hAnsi="Palatino Linotype"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30"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642801"/>
    <w:multiLevelType w:val="hybridMultilevel"/>
    <w:tmpl w:val="B7D4AE98"/>
    <w:lvl w:ilvl="0" w:tplc="4790F672">
      <w:start w:val="31"/>
      <w:numFmt w:val="bullet"/>
      <w:lvlText w:val="–"/>
      <w:lvlJc w:val="left"/>
      <w:pPr>
        <w:ind w:left="720" w:hanging="360"/>
      </w:pPr>
      <w:rPr>
        <w:rFonts w:ascii="Century Gothic" w:eastAsia="Times New Roman" w:hAnsi="Century Gothic"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D5E73AE"/>
    <w:multiLevelType w:val="hybridMultilevel"/>
    <w:tmpl w:val="3288D6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1DA0606"/>
    <w:multiLevelType w:val="hybridMultilevel"/>
    <w:tmpl w:val="92761D60"/>
    <w:lvl w:ilvl="0" w:tplc="4790F672">
      <w:start w:val="31"/>
      <w:numFmt w:val="bullet"/>
      <w:lvlText w:val="–"/>
      <w:lvlJc w:val="left"/>
      <w:pPr>
        <w:ind w:left="720" w:hanging="360"/>
      </w:pPr>
      <w:rPr>
        <w:rFonts w:ascii="Century Gothic" w:eastAsia="Times New Roman" w:hAnsi="Century Gothic"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48315BF"/>
    <w:multiLevelType w:val="hybridMultilevel"/>
    <w:tmpl w:val="F03250FE"/>
    <w:lvl w:ilvl="0" w:tplc="4790F672">
      <w:start w:val="31"/>
      <w:numFmt w:val="bullet"/>
      <w:lvlText w:val="–"/>
      <w:lvlJc w:val="left"/>
      <w:pPr>
        <w:ind w:left="720" w:hanging="360"/>
      </w:pPr>
      <w:rPr>
        <w:rFonts w:ascii="Century Gothic" w:eastAsia="Times New Roman" w:hAnsi="Century Gothic"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FA832E7"/>
    <w:multiLevelType w:val="hybridMultilevel"/>
    <w:tmpl w:val="7FD0EF94"/>
    <w:lvl w:ilvl="0" w:tplc="6C7A1D76">
      <w:start w:val="39"/>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9"/>
  </w:num>
  <w:num w:numId="2">
    <w:abstractNumId w:val="8"/>
  </w:num>
  <w:num w:numId="3">
    <w:abstractNumId w:val="14"/>
  </w:num>
  <w:num w:numId="4">
    <w:abstractNumId w:val="2"/>
  </w:num>
  <w:num w:numId="5">
    <w:abstractNumId w:val="5"/>
  </w:num>
  <w:num w:numId="6">
    <w:abstractNumId w:val="3"/>
  </w:num>
  <w:num w:numId="7">
    <w:abstractNumId w:val="33"/>
  </w:num>
  <w:num w:numId="8">
    <w:abstractNumId w:val="6"/>
  </w:num>
  <w:num w:numId="9">
    <w:abstractNumId w:val="1"/>
  </w:num>
  <w:num w:numId="10">
    <w:abstractNumId w:val="16"/>
  </w:num>
  <w:num w:numId="11">
    <w:abstractNumId w:val="22"/>
  </w:num>
  <w:num w:numId="12">
    <w:abstractNumId w:val="28"/>
  </w:num>
  <w:num w:numId="13">
    <w:abstractNumId w:val="10"/>
  </w:num>
  <w:num w:numId="14">
    <w:abstractNumId w:val="30"/>
  </w:num>
  <w:num w:numId="15">
    <w:abstractNumId w:val="15"/>
  </w:num>
  <w:num w:numId="16">
    <w:abstractNumId w:val="27"/>
  </w:num>
  <w:num w:numId="17">
    <w:abstractNumId w:val="31"/>
  </w:num>
  <w:num w:numId="18">
    <w:abstractNumId w:val="32"/>
  </w:num>
  <w:num w:numId="19">
    <w:abstractNumId w:val="34"/>
  </w:num>
  <w:num w:numId="20">
    <w:abstractNumId w:val="0"/>
  </w:num>
  <w:num w:numId="21">
    <w:abstractNumId w:val="25"/>
  </w:num>
  <w:num w:numId="22">
    <w:abstractNumId w:val="13"/>
  </w:num>
  <w:num w:numId="23">
    <w:abstractNumId w:val="21"/>
  </w:num>
  <w:num w:numId="24">
    <w:abstractNumId w:val="7"/>
  </w:num>
  <w:num w:numId="25">
    <w:abstractNumId w:val="7"/>
  </w:num>
  <w:num w:numId="26">
    <w:abstractNumId w:val="19"/>
  </w:num>
  <w:num w:numId="27">
    <w:abstractNumId w:val="9"/>
  </w:num>
  <w:num w:numId="28">
    <w:abstractNumId w:val="12"/>
  </w:num>
  <w:num w:numId="29">
    <w:abstractNumId w:val="20"/>
  </w:num>
  <w:num w:numId="30">
    <w:abstractNumId w:val="17"/>
  </w:num>
  <w:num w:numId="31">
    <w:abstractNumId w:val="24"/>
  </w:num>
  <w:num w:numId="32">
    <w:abstractNumId w:val="11"/>
  </w:num>
  <w:num w:numId="33">
    <w:abstractNumId w:val="4"/>
  </w:num>
  <w:num w:numId="34">
    <w:abstractNumId w:val="23"/>
  </w:num>
  <w:num w:numId="35">
    <w:abstractNumId w:val="26"/>
  </w:num>
  <w:num w:numId="36">
    <w:abstractNumId w:val="35"/>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3AB"/>
    <w:rsid w:val="00011B1F"/>
    <w:rsid w:val="00016356"/>
    <w:rsid w:val="000171BB"/>
    <w:rsid w:val="00023A88"/>
    <w:rsid w:val="00024E57"/>
    <w:rsid w:val="00034B68"/>
    <w:rsid w:val="00035182"/>
    <w:rsid w:val="0003593E"/>
    <w:rsid w:val="000370EE"/>
    <w:rsid w:val="000434D5"/>
    <w:rsid w:val="00046B57"/>
    <w:rsid w:val="000560EC"/>
    <w:rsid w:val="000615D3"/>
    <w:rsid w:val="00061AC9"/>
    <w:rsid w:val="00065959"/>
    <w:rsid w:val="00073724"/>
    <w:rsid w:val="000808C9"/>
    <w:rsid w:val="00085328"/>
    <w:rsid w:val="000877E2"/>
    <w:rsid w:val="00093DED"/>
    <w:rsid w:val="00095877"/>
    <w:rsid w:val="000A6EF9"/>
    <w:rsid w:val="000A7238"/>
    <w:rsid w:val="000A7840"/>
    <w:rsid w:val="000B2F0E"/>
    <w:rsid w:val="000B4B6B"/>
    <w:rsid w:val="000C05E5"/>
    <w:rsid w:val="000C16A5"/>
    <w:rsid w:val="000C58BD"/>
    <w:rsid w:val="000C72DC"/>
    <w:rsid w:val="000D2A76"/>
    <w:rsid w:val="000D3E43"/>
    <w:rsid w:val="000D415B"/>
    <w:rsid w:val="000D5877"/>
    <w:rsid w:val="000D5A36"/>
    <w:rsid w:val="000D7266"/>
    <w:rsid w:val="000D79C3"/>
    <w:rsid w:val="000E30B1"/>
    <w:rsid w:val="000E68FD"/>
    <w:rsid w:val="000F1B0B"/>
    <w:rsid w:val="000F4685"/>
    <w:rsid w:val="000F7136"/>
    <w:rsid w:val="0010336D"/>
    <w:rsid w:val="00110CBD"/>
    <w:rsid w:val="00117409"/>
    <w:rsid w:val="001245D3"/>
    <w:rsid w:val="00130A32"/>
    <w:rsid w:val="0013320C"/>
    <w:rsid w:val="00134FAE"/>
    <w:rsid w:val="001357B2"/>
    <w:rsid w:val="00142C6F"/>
    <w:rsid w:val="00142F66"/>
    <w:rsid w:val="001449FD"/>
    <w:rsid w:val="0015368F"/>
    <w:rsid w:val="00162771"/>
    <w:rsid w:val="0016309F"/>
    <w:rsid w:val="0016481F"/>
    <w:rsid w:val="00165C79"/>
    <w:rsid w:val="00165FC0"/>
    <w:rsid w:val="0017478F"/>
    <w:rsid w:val="00174F04"/>
    <w:rsid w:val="00180310"/>
    <w:rsid w:val="00183525"/>
    <w:rsid w:val="001846C7"/>
    <w:rsid w:val="00186832"/>
    <w:rsid w:val="00190BDD"/>
    <w:rsid w:val="00191BA7"/>
    <w:rsid w:val="00193802"/>
    <w:rsid w:val="001A7115"/>
    <w:rsid w:val="001B23FE"/>
    <w:rsid w:val="001B6927"/>
    <w:rsid w:val="001C2B36"/>
    <w:rsid w:val="001C351E"/>
    <w:rsid w:val="001C4A68"/>
    <w:rsid w:val="001D00B8"/>
    <w:rsid w:val="001E23D5"/>
    <w:rsid w:val="001E6C40"/>
    <w:rsid w:val="001E7782"/>
    <w:rsid w:val="001E7F77"/>
    <w:rsid w:val="001F704C"/>
    <w:rsid w:val="00201640"/>
    <w:rsid w:val="00201868"/>
    <w:rsid w:val="00202A77"/>
    <w:rsid w:val="002035A6"/>
    <w:rsid w:val="00206DA6"/>
    <w:rsid w:val="002108E5"/>
    <w:rsid w:val="00220772"/>
    <w:rsid w:val="00221F9E"/>
    <w:rsid w:val="0022586E"/>
    <w:rsid w:val="00233CE1"/>
    <w:rsid w:val="0024041F"/>
    <w:rsid w:val="00241867"/>
    <w:rsid w:val="00241CD0"/>
    <w:rsid w:val="0024210A"/>
    <w:rsid w:val="00242B7B"/>
    <w:rsid w:val="00246F3E"/>
    <w:rsid w:val="00251004"/>
    <w:rsid w:val="00252E85"/>
    <w:rsid w:val="002577CB"/>
    <w:rsid w:val="00262189"/>
    <w:rsid w:val="00271CE5"/>
    <w:rsid w:val="002736AD"/>
    <w:rsid w:val="0027445B"/>
    <w:rsid w:val="002748C9"/>
    <w:rsid w:val="00282020"/>
    <w:rsid w:val="002835DD"/>
    <w:rsid w:val="0028634B"/>
    <w:rsid w:val="00287678"/>
    <w:rsid w:val="0029194E"/>
    <w:rsid w:val="002965A9"/>
    <w:rsid w:val="00297633"/>
    <w:rsid w:val="002A2B69"/>
    <w:rsid w:val="002A4FD0"/>
    <w:rsid w:val="002A53AF"/>
    <w:rsid w:val="002A658D"/>
    <w:rsid w:val="002B7924"/>
    <w:rsid w:val="002C03E4"/>
    <w:rsid w:val="002C296F"/>
    <w:rsid w:val="002C3977"/>
    <w:rsid w:val="002D11B6"/>
    <w:rsid w:val="002D25FF"/>
    <w:rsid w:val="002E0F02"/>
    <w:rsid w:val="002E0F9B"/>
    <w:rsid w:val="002E513C"/>
    <w:rsid w:val="002E5243"/>
    <w:rsid w:val="002E7D7E"/>
    <w:rsid w:val="002F35CF"/>
    <w:rsid w:val="002F3F6A"/>
    <w:rsid w:val="002F5BA4"/>
    <w:rsid w:val="002F5F73"/>
    <w:rsid w:val="00300557"/>
    <w:rsid w:val="00301F4D"/>
    <w:rsid w:val="00306C1B"/>
    <w:rsid w:val="00311BA5"/>
    <w:rsid w:val="0031399C"/>
    <w:rsid w:val="003141CE"/>
    <w:rsid w:val="00325E2C"/>
    <w:rsid w:val="003302B1"/>
    <w:rsid w:val="0033245F"/>
    <w:rsid w:val="00337608"/>
    <w:rsid w:val="00340737"/>
    <w:rsid w:val="003414B5"/>
    <w:rsid w:val="00341945"/>
    <w:rsid w:val="003436AF"/>
    <w:rsid w:val="00346E55"/>
    <w:rsid w:val="00347896"/>
    <w:rsid w:val="00354493"/>
    <w:rsid w:val="00361378"/>
    <w:rsid w:val="0036226C"/>
    <w:rsid w:val="003636BF"/>
    <w:rsid w:val="00363AE1"/>
    <w:rsid w:val="00371442"/>
    <w:rsid w:val="00377C4B"/>
    <w:rsid w:val="00380440"/>
    <w:rsid w:val="003845B4"/>
    <w:rsid w:val="00385051"/>
    <w:rsid w:val="00387B1A"/>
    <w:rsid w:val="00390FAA"/>
    <w:rsid w:val="00392ECB"/>
    <w:rsid w:val="0039356A"/>
    <w:rsid w:val="003963C8"/>
    <w:rsid w:val="00397E99"/>
    <w:rsid w:val="003A3FA7"/>
    <w:rsid w:val="003A7A88"/>
    <w:rsid w:val="003B0FB0"/>
    <w:rsid w:val="003B66CB"/>
    <w:rsid w:val="003C0AD8"/>
    <w:rsid w:val="003C1D24"/>
    <w:rsid w:val="003C5EE5"/>
    <w:rsid w:val="003C65AC"/>
    <w:rsid w:val="003C6DCA"/>
    <w:rsid w:val="003D0D0B"/>
    <w:rsid w:val="003D577D"/>
    <w:rsid w:val="003E1C74"/>
    <w:rsid w:val="003E5A1A"/>
    <w:rsid w:val="003F61BA"/>
    <w:rsid w:val="004009A6"/>
    <w:rsid w:val="00400A47"/>
    <w:rsid w:val="00401605"/>
    <w:rsid w:val="00404D75"/>
    <w:rsid w:val="004102DB"/>
    <w:rsid w:val="00411037"/>
    <w:rsid w:val="00420590"/>
    <w:rsid w:val="00421B06"/>
    <w:rsid w:val="00424F15"/>
    <w:rsid w:val="00426557"/>
    <w:rsid w:val="004266BD"/>
    <w:rsid w:val="00432612"/>
    <w:rsid w:val="00440C05"/>
    <w:rsid w:val="004425F4"/>
    <w:rsid w:val="004428D5"/>
    <w:rsid w:val="00445B83"/>
    <w:rsid w:val="00453533"/>
    <w:rsid w:val="0045496C"/>
    <w:rsid w:val="00454CA1"/>
    <w:rsid w:val="00460719"/>
    <w:rsid w:val="004657EE"/>
    <w:rsid w:val="004710F9"/>
    <w:rsid w:val="00473A1E"/>
    <w:rsid w:val="00486C11"/>
    <w:rsid w:val="00491A72"/>
    <w:rsid w:val="004A0C53"/>
    <w:rsid w:val="004A3582"/>
    <w:rsid w:val="004B58BF"/>
    <w:rsid w:val="004B77D6"/>
    <w:rsid w:val="004C0119"/>
    <w:rsid w:val="004C0B84"/>
    <w:rsid w:val="004D0CA8"/>
    <w:rsid w:val="004D0DD9"/>
    <w:rsid w:val="004D191D"/>
    <w:rsid w:val="004E189F"/>
    <w:rsid w:val="004E2503"/>
    <w:rsid w:val="004E4440"/>
    <w:rsid w:val="004E4865"/>
    <w:rsid w:val="004F6C34"/>
    <w:rsid w:val="004F7A4F"/>
    <w:rsid w:val="00502986"/>
    <w:rsid w:val="005128C3"/>
    <w:rsid w:val="00512D1C"/>
    <w:rsid w:val="0052171B"/>
    <w:rsid w:val="00522C9B"/>
    <w:rsid w:val="00526246"/>
    <w:rsid w:val="005319D6"/>
    <w:rsid w:val="00532E27"/>
    <w:rsid w:val="00535906"/>
    <w:rsid w:val="00535D20"/>
    <w:rsid w:val="005376A3"/>
    <w:rsid w:val="00541CDB"/>
    <w:rsid w:val="00541F45"/>
    <w:rsid w:val="0055560A"/>
    <w:rsid w:val="005559A3"/>
    <w:rsid w:val="00556F8E"/>
    <w:rsid w:val="005626BD"/>
    <w:rsid w:val="00563A24"/>
    <w:rsid w:val="00563C35"/>
    <w:rsid w:val="005654B5"/>
    <w:rsid w:val="0056560A"/>
    <w:rsid w:val="00567106"/>
    <w:rsid w:val="0057268A"/>
    <w:rsid w:val="00580970"/>
    <w:rsid w:val="00581674"/>
    <w:rsid w:val="005859BE"/>
    <w:rsid w:val="00587B9C"/>
    <w:rsid w:val="00591529"/>
    <w:rsid w:val="005930FF"/>
    <w:rsid w:val="0059333C"/>
    <w:rsid w:val="005963EC"/>
    <w:rsid w:val="005A16AC"/>
    <w:rsid w:val="005A2F3C"/>
    <w:rsid w:val="005A56E0"/>
    <w:rsid w:val="005B4115"/>
    <w:rsid w:val="005C1995"/>
    <w:rsid w:val="005C6E8F"/>
    <w:rsid w:val="005D39E9"/>
    <w:rsid w:val="005D3D4C"/>
    <w:rsid w:val="005D46AE"/>
    <w:rsid w:val="005D5916"/>
    <w:rsid w:val="005D760E"/>
    <w:rsid w:val="005E192F"/>
    <w:rsid w:val="005E1A80"/>
    <w:rsid w:val="005E1D3C"/>
    <w:rsid w:val="005E2472"/>
    <w:rsid w:val="005F03EC"/>
    <w:rsid w:val="005F23B5"/>
    <w:rsid w:val="005F62DA"/>
    <w:rsid w:val="005F6A4A"/>
    <w:rsid w:val="00601B58"/>
    <w:rsid w:val="00612880"/>
    <w:rsid w:val="006161D5"/>
    <w:rsid w:val="00617F87"/>
    <w:rsid w:val="006210DE"/>
    <w:rsid w:val="00623E84"/>
    <w:rsid w:val="00625AE6"/>
    <w:rsid w:val="00627285"/>
    <w:rsid w:val="00632253"/>
    <w:rsid w:val="00632E6A"/>
    <w:rsid w:val="00633DA3"/>
    <w:rsid w:val="00641C94"/>
    <w:rsid w:val="00642714"/>
    <w:rsid w:val="006455CE"/>
    <w:rsid w:val="00647710"/>
    <w:rsid w:val="00647A86"/>
    <w:rsid w:val="00652001"/>
    <w:rsid w:val="0065311C"/>
    <w:rsid w:val="00655841"/>
    <w:rsid w:val="00656177"/>
    <w:rsid w:val="00657549"/>
    <w:rsid w:val="00667B35"/>
    <w:rsid w:val="006736D1"/>
    <w:rsid w:val="00683E82"/>
    <w:rsid w:val="0068590D"/>
    <w:rsid w:val="006923E6"/>
    <w:rsid w:val="00696899"/>
    <w:rsid w:val="006A125C"/>
    <w:rsid w:val="006A18CD"/>
    <w:rsid w:val="006A2AF0"/>
    <w:rsid w:val="006A31CC"/>
    <w:rsid w:val="006A70E5"/>
    <w:rsid w:val="006B0CC4"/>
    <w:rsid w:val="006B5374"/>
    <w:rsid w:val="006C4420"/>
    <w:rsid w:val="006D3D29"/>
    <w:rsid w:val="006E0652"/>
    <w:rsid w:val="006E25B1"/>
    <w:rsid w:val="006E6C40"/>
    <w:rsid w:val="006F63E1"/>
    <w:rsid w:val="006F792F"/>
    <w:rsid w:val="007003C4"/>
    <w:rsid w:val="007034C1"/>
    <w:rsid w:val="00710310"/>
    <w:rsid w:val="00710858"/>
    <w:rsid w:val="00711AF8"/>
    <w:rsid w:val="007151C3"/>
    <w:rsid w:val="007170AA"/>
    <w:rsid w:val="00721197"/>
    <w:rsid w:val="00723E6F"/>
    <w:rsid w:val="00733017"/>
    <w:rsid w:val="00736EA0"/>
    <w:rsid w:val="00741E44"/>
    <w:rsid w:val="007507F4"/>
    <w:rsid w:val="007528BE"/>
    <w:rsid w:val="0075421B"/>
    <w:rsid w:val="0076178E"/>
    <w:rsid w:val="00761CCA"/>
    <w:rsid w:val="0076308A"/>
    <w:rsid w:val="00764207"/>
    <w:rsid w:val="00773A21"/>
    <w:rsid w:val="00783177"/>
    <w:rsid w:val="00783310"/>
    <w:rsid w:val="0078500E"/>
    <w:rsid w:val="007863E2"/>
    <w:rsid w:val="00786AC5"/>
    <w:rsid w:val="007A01C9"/>
    <w:rsid w:val="007A49AA"/>
    <w:rsid w:val="007A4A6D"/>
    <w:rsid w:val="007A686A"/>
    <w:rsid w:val="007B0114"/>
    <w:rsid w:val="007B0E56"/>
    <w:rsid w:val="007B35BB"/>
    <w:rsid w:val="007D1BCF"/>
    <w:rsid w:val="007D55A5"/>
    <w:rsid w:val="007D75CF"/>
    <w:rsid w:val="007E0440"/>
    <w:rsid w:val="007E0FE8"/>
    <w:rsid w:val="007E6DC5"/>
    <w:rsid w:val="007F43C1"/>
    <w:rsid w:val="007F58AC"/>
    <w:rsid w:val="00800C96"/>
    <w:rsid w:val="00803B3E"/>
    <w:rsid w:val="00803CDD"/>
    <w:rsid w:val="00803E89"/>
    <w:rsid w:val="0080465B"/>
    <w:rsid w:val="00807CD3"/>
    <w:rsid w:val="00816F2D"/>
    <w:rsid w:val="008222F9"/>
    <w:rsid w:val="0082307B"/>
    <w:rsid w:val="00825BEC"/>
    <w:rsid w:val="0083484D"/>
    <w:rsid w:val="008463F2"/>
    <w:rsid w:val="00856487"/>
    <w:rsid w:val="00856D2B"/>
    <w:rsid w:val="008625B2"/>
    <w:rsid w:val="00865204"/>
    <w:rsid w:val="008715B0"/>
    <w:rsid w:val="008721CD"/>
    <w:rsid w:val="0088043C"/>
    <w:rsid w:val="00881960"/>
    <w:rsid w:val="00884889"/>
    <w:rsid w:val="008906C9"/>
    <w:rsid w:val="00890A17"/>
    <w:rsid w:val="00892A19"/>
    <w:rsid w:val="00896F70"/>
    <w:rsid w:val="008A1F3D"/>
    <w:rsid w:val="008A3094"/>
    <w:rsid w:val="008A372E"/>
    <w:rsid w:val="008B12F6"/>
    <w:rsid w:val="008B2E5F"/>
    <w:rsid w:val="008B2FEF"/>
    <w:rsid w:val="008B5077"/>
    <w:rsid w:val="008B5504"/>
    <w:rsid w:val="008B55CA"/>
    <w:rsid w:val="008C10DA"/>
    <w:rsid w:val="008C2A2D"/>
    <w:rsid w:val="008C5738"/>
    <w:rsid w:val="008C5A5B"/>
    <w:rsid w:val="008D04F0"/>
    <w:rsid w:val="008D5838"/>
    <w:rsid w:val="008D588E"/>
    <w:rsid w:val="008D5F69"/>
    <w:rsid w:val="008E3B85"/>
    <w:rsid w:val="008F1BF7"/>
    <w:rsid w:val="008F1D52"/>
    <w:rsid w:val="008F3500"/>
    <w:rsid w:val="008F6092"/>
    <w:rsid w:val="00901317"/>
    <w:rsid w:val="00901BE3"/>
    <w:rsid w:val="00903B6C"/>
    <w:rsid w:val="00903E7E"/>
    <w:rsid w:val="00904386"/>
    <w:rsid w:val="0090683D"/>
    <w:rsid w:val="00906E03"/>
    <w:rsid w:val="00914982"/>
    <w:rsid w:val="00916EA0"/>
    <w:rsid w:val="00921E1A"/>
    <w:rsid w:val="00923A61"/>
    <w:rsid w:val="00923F03"/>
    <w:rsid w:val="00924E3C"/>
    <w:rsid w:val="009313BA"/>
    <w:rsid w:val="009361F2"/>
    <w:rsid w:val="00936E79"/>
    <w:rsid w:val="00936F57"/>
    <w:rsid w:val="009441D0"/>
    <w:rsid w:val="009448F0"/>
    <w:rsid w:val="00947FDA"/>
    <w:rsid w:val="00951A70"/>
    <w:rsid w:val="00952B3C"/>
    <w:rsid w:val="00954772"/>
    <w:rsid w:val="00956648"/>
    <w:rsid w:val="009612BB"/>
    <w:rsid w:val="0096184A"/>
    <w:rsid w:val="009649C9"/>
    <w:rsid w:val="00964B75"/>
    <w:rsid w:val="00964BF5"/>
    <w:rsid w:val="0096661A"/>
    <w:rsid w:val="00971CEA"/>
    <w:rsid w:val="00971D6C"/>
    <w:rsid w:val="009736EE"/>
    <w:rsid w:val="009851BD"/>
    <w:rsid w:val="0099417F"/>
    <w:rsid w:val="00995B4C"/>
    <w:rsid w:val="009A0A7B"/>
    <w:rsid w:val="009A2AAF"/>
    <w:rsid w:val="009B07D8"/>
    <w:rsid w:val="009B6780"/>
    <w:rsid w:val="009C3E03"/>
    <w:rsid w:val="009C740A"/>
    <w:rsid w:val="009C7657"/>
    <w:rsid w:val="009D30BC"/>
    <w:rsid w:val="009D4B1C"/>
    <w:rsid w:val="009D5802"/>
    <w:rsid w:val="009E0514"/>
    <w:rsid w:val="009E2570"/>
    <w:rsid w:val="009E3EB2"/>
    <w:rsid w:val="009E53A9"/>
    <w:rsid w:val="009F1ECF"/>
    <w:rsid w:val="009F35E1"/>
    <w:rsid w:val="00A025B7"/>
    <w:rsid w:val="00A125C5"/>
    <w:rsid w:val="00A15437"/>
    <w:rsid w:val="00A21DE8"/>
    <w:rsid w:val="00A2451C"/>
    <w:rsid w:val="00A26766"/>
    <w:rsid w:val="00A276B1"/>
    <w:rsid w:val="00A31BBD"/>
    <w:rsid w:val="00A4016D"/>
    <w:rsid w:val="00A43EF7"/>
    <w:rsid w:val="00A45188"/>
    <w:rsid w:val="00A502CF"/>
    <w:rsid w:val="00A52F06"/>
    <w:rsid w:val="00A5340C"/>
    <w:rsid w:val="00A61FAD"/>
    <w:rsid w:val="00A65EE7"/>
    <w:rsid w:val="00A66D5E"/>
    <w:rsid w:val="00A677B9"/>
    <w:rsid w:val="00A70133"/>
    <w:rsid w:val="00A770A6"/>
    <w:rsid w:val="00A813B1"/>
    <w:rsid w:val="00A82310"/>
    <w:rsid w:val="00A82B34"/>
    <w:rsid w:val="00A85564"/>
    <w:rsid w:val="00A9299B"/>
    <w:rsid w:val="00A95FCF"/>
    <w:rsid w:val="00AB22B4"/>
    <w:rsid w:val="00AB36C4"/>
    <w:rsid w:val="00AB60D3"/>
    <w:rsid w:val="00AC01C1"/>
    <w:rsid w:val="00AC1E77"/>
    <w:rsid w:val="00AC2227"/>
    <w:rsid w:val="00AC32B2"/>
    <w:rsid w:val="00AD0301"/>
    <w:rsid w:val="00AD5808"/>
    <w:rsid w:val="00AD7810"/>
    <w:rsid w:val="00AE0DCB"/>
    <w:rsid w:val="00AF1826"/>
    <w:rsid w:val="00AF22B4"/>
    <w:rsid w:val="00AF5209"/>
    <w:rsid w:val="00AF6224"/>
    <w:rsid w:val="00AF71C2"/>
    <w:rsid w:val="00B0019C"/>
    <w:rsid w:val="00B04080"/>
    <w:rsid w:val="00B04C90"/>
    <w:rsid w:val="00B05805"/>
    <w:rsid w:val="00B067BA"/>
    <w:rsid w:val="00B124A2"/>
    <w:rsid w:val="00B1286E"/>
    <w:rsid w:val="00B17141"/>
    <w:rsid w:val="00B17598"/>
    <w:rsid w:val="00B17FE7"/>
    <w:rsid w:val="00B24381"/>
    <w:rsid w:val="00B31575"/>
    <w:rsid w:val="00B3551B"/>
    <w:rsid w:val="00B42C89"/>
    <w:rsid w:val="00B4326C"/>
    <w:rsid w:val="00B43EA2"/>
    <w:rsid w:val="00B44E2A"/>
    <w:rsid w:val="00B522D2"/>
    <w:rsid w:val="00B544C6"/>
    <w:rsid w:val="00B547B3"/>
    <w:rsid w:val="00B61D87"/>
    <w:rsid w:val="00B72190"/>
    <w:rsid w:val="00B745C2"/>
    <w:rsid w:val="00B74C59"/>
    <w:rsid w:val="00B75640"/>
    <w:rsid w:val="00B8101E"/>
    <w:rsid w:val="00B822C5"/>
    <w:rsid w:val="00B8545B"/>
    <w:rsid w:val="00B8547D"/>
    <w:rsid w:val="00B940C5"/>
    <w:rsid w:val="00BA1142"/>
    <w:rsid w:val="00BA55C3"/>
    <w:rsid w:val="00BA5C99"/>
    <w:rsid w:val="00BA605B"/>
    <w:rsid w:val="00BA625B"/>
    <w:rsid w:val="00BB5882"/>
    <w:rsid w:val="00BB6737"/>
    <w:rsid w:val="00BB69C1"/>
    <w:rsid w:val="00BC1A9F"/>
    <w:rsid w:val="00BC2597"/>
    <w:rsid w:val="00BC4B00"/>
    <w:rsid w:val="00BC6076"/>
    <w:rsid w:val="00BD06AD"/>
    <w:rsid w:val="00BD1740"/>
    <w:rsid w:val="00BD6116"/>
    <w:rsid w:val="00BE0B5E"/>
    <w:rsid w:val="00BE2CF1"/>
    <w:rsid w:val="00BE3EB5"/>
    <w:rsid w:val="00BE6D74"/>
    <w:rsid w:val="00BE7122"/>
    <w:rsid w:val="00BF2F4B"/>
    <w:rsid w:val="00C065F7"/>
    <w:rsid w:val="00C250D5"/>
    <w:rsid w:val="00C27B63"/>
    <w:rsid w:val="00C30C70"/>
    <w:rsid w:val="00C3100E"/>
    <w:rsid w:val="00C35666"/>
    <w:rsid w:val="00C37DD0"/>
    <w:rsid w:val="00C462D5"/>
    <w:rsid w:val="00C46F4C"/>
    <w:rsid w:val="00C47243"/>
    <w:rsid w:val="00C47F18"/>
    <w:rsid w:val="00C57B7B"/>
    <w:rsid w:val="00C62821"/>
    <w:rsid w:val="00C67EFE"/>
    <w:rsid w:val="00C8036B"/>
    <w:rsid w:val="00C8081D"/>
    <w:rsid w:val="00C81D9F"/>
    <w:rsid w:val="00C8212F"/>
    <w:rsid w:val="00C85277"/>
    <w:rsid w:val="00C8634D"/>
    <w:rsid w:val="00C91D4E"/>
    <w:rsid w:val="00C923B3"/>
    <w:rsid w:val="00C92599"/>
    <w:rsid w:val="00C92898"/>
    <w:rsid w:val="00CA4340"/>
    <w:rsid w:val="00CB09AD"/>
    <w:rsid w:val="00CB4C25"/>
    <w:rsid w:val="00CB6488"/>
    <w:rsid w:val="00CB64D9"/>
    <w:rsid w:val="00CB6962"/>
    <w:rsid w:val="00CC0549"/>
    <w:rsid w:val="00CC46DA"/>
    <w:rsid w:val="00CD2929"/>
    <w:rsid w:val="00CD477B"/>
    <w:rsid w:val="00CD6CEE"/>
    <w:rsid w:val="00CE5238"/>
    <w:rsid w:val="00CE69B6"/>
    <w:rsid w:val="00CE7514"/>
    <w:rsid w:val="00CF26CA"/>
    <w:rsid w:val="00CF429E"/>
    <w:rsid w:val="00CF54DE"/>
    <w:rsid w:val="00CF5992"/>
    <w:rsid w:val="00D046BC"/>
    <w:rsid w:val="00D07AB8"/>
    <w:rsid w:val="00D10A70"/>
    <w:rsid w:val="00D116CD"/>
    <w:rsid w:val="00D213AB"/>
    <w:rsid w:val="00D2299B"/>
    <w:rsid w:val="00D248DE"/>
    <w:rsid w:val="00D30F5C"/>
    <w:rsid w:val="00D3347C"/>
    <w:rsid w:val="00D33F3D"/>
    <w:rsid w:val="00D3492C"/>
    <w:rsid w:val="00D349C9"/>
    <w:rsid w:val="00D47E18"/>
    <w:rsid w:val="00D502AA"/>
    <w:rsid w:val="00D50541"/>
    <w:rsid w:val="00D50C75"/>
    <w:rsid w:val="00D70660"/>
    <w:rsid w:val="00D71638"/>
    <w:rsid w:val="00D718EF"/>
    <w:rsid w:val="00D74151"/>
    <w:rsid w:val="00D74E39"/>
    <w:rsid w:val="00D75E0E"/>
    <w:rsid w:val="00D77EEB"/>
    <w:rsid w:val="00D8542D"/>
    <w:rsid w:val="00D92895"/>
    <w:rsid w:val="00D9300F"/>
    <w:rsid w:val="00DA6021"/>
    <w:rsid w:val="00DB3596"/>
    <w:rsid w:val="00DC0DA2"/>
    <w:rsid w:val="00DC30EF"/>
    <w:rsid w:val="00DC69D1"/>
    <w:rsid w:val="00DC6A71"/>
    <w:rsid w:val="00DC78F9"/>
    <w:rsid w:val="00DD001D"/>
    <w:rsid w:val="00DD247A"/>
    <w:rsid w:val="00DD284E"/>
    <w:rsid w:val="00DD4A2B"/>
    <w:rsid w:val="00DD5DD4"/>
    <w:rsid w:val="00DE02E6"/>
    <w:rsid w:val="00DE0F48"/>
    <w:rsid w:val="00DE1672"/>
    <w:rsid w:val="00DE296C"/>
    <w:rsid w:val="00DE2B68"/>
    <w:rsid w:val="00DE680D"/>
    <w:rsid w:val="00DF1561"/>
    <w:rsid w:val="00DF1C3B"/>
    <w:rsid w:val="00DF38B0"/>
    <w:rsid w:val="00E0043D"/>
    <w:rsid w:val="00E0060A"/>
    <w:rsid w:val="00E00DB1"/>
    <w:rsid w:val="00E03092"/>
    <w:rsid w:val="00E0357D"/>
    <w:rsid w:val="00E075D0"/>
    <w:rsid w:val="00E11790"/>
    <w:rsid w:val="00E15F09"/>
    <w:rsid w:val="00E16C30"/>
    <w:rsid w:val="00E2121E"/>
    <w:rsid w:val="00E35FFC"/>
    <w:rsid w:val="00E37D52"/>
    <w:rsid w:val="00E40535"/>
    <w:rsid w:val="00E4521A"/>
    <w:rsid w:val="00E52543"/>
    <w:rsid w:val="00E63499"/>
    <w:rsid w:val="00E67DB4"/>
    <w:rsid w:val="00E70005"/>
    <w:rsid w:val="00E72277"/>
    <w:rsid w:val="00E728F9"/>
    <w:rsid w:val="00E72D41"/>
    <w:rsid w:val="00E7389F"/>
    <w:rsid w:val="00E758FF"/>
    <w:rsid w:val="00E8582A"/>
    <w:rsid w:val="00E92503"/>
    <w:rsid w:val="00E92547"/>
    <w:rsid w:val="00EA2953"/>
    <w:rsid w:val="00EA2AF1"/>
    <w:rsid w:val="00EA6A6F"/>
    <w:rsid w:val="00EA72D0"/>
    <w:rsid w:val="00EB23A8"/>
    <w:rsid w:val="00EB2D92"/>
    <w:rsid w:val="00EB4649"/>
    <w:rsid w:val="00EB5557"/>
    <w:rsid w:val="00EC1666"/>
    <w:rsid w:val="00ED1C3E"/>
    <w:rsid w:val="00ED56C3"/>
    <w:rsid w:val="00ED61CD"/>
    <w:rsid w:val="00ED6480"/>
    <w:rsid w:val="00ED6E6A"/>
    <w:rsid w:val="00ED7D2C"/>
    <w:rsid w:val="00EE1486"/>
    <w:rsid w:val="00EE228F"/>
    <w:rsid w:val="00EE3376"/>
    <w:rsid w:val="00EE385C"/>
    <w:rsid w:val="00EF2EB8"/>
    <w:rsid w:val="00EF5B9B"/>
    <w:rsid w:val="00F00A20"/>
    <w:rsid w:val="00F02697"/>
    <w:rsid w:val="00F028CA"/>
    <w:rsid w:val="00F16594"/>
    <w:rsid w:val="00F21958"/>
    <w:rsid w:val="00F240BB"/>
    <w:rsid w:val="00F2714A"/>
    <w:rsid w:val="00F303E6"/>
    <w:rsid w:val="00F3541E"/>
    <w:rsid w:val="00F40D70"/>
    <w:rsid w:val="00F437B0"/>
    <w:rsid w:val="00F43D63"/>
    <w:rsid w:val="00F44C6C"/>
    <w:rsid w:val="00F50F78"/>
    <w:rsid w:val="00F52D47"/>
    <w:rsid w:val="00F56AF3"/>
    <w:rsid w:val="00F56EBD"/>
    <w:rsid w:val="00F57FED"/>
    <w:rsid w:val="00F6509B"/>
    <w:rsid w:val="00F65A45"/>
    <w:rsid w:val="00F700ED"/>
    <w:rsid w:val="00F80FED"/>
    <w:rsid w:val="00F927DB"/>
    <w:rsid w:val="00F93BD8"/>
    <w:rsid w:val="00FA1FF8"/>
    <w:rsid w:val="00FA3244"/>
    <w:rsid w:val="00FA6396"/>
    <w:rsid w:val="00FA6BB4"/>
    <w:rsid w:val="00FB78B8"/>
    <w:rsid w:val="00FC0091"/>
    <w:rsid w:val="00FC7522"/>
    <w:rsid w:val="00FC7E23"/>
    <w:rsid w:val="00FD196D"/>
    <w:rsid w:val="00FD1A9B"/>
    <w:rsid w:val="00FD1B46"/>
    <w:rsid w:val="00FD233D"/>
    <w:rsid w:val="00FD44A2"/>
    <w:rsid w:val="00FE1393"/>
    <w:rsid w:val="00FE6BE7"/>
    <w:rsid w:val="00FE7DC5"/>
    <w:rsid w:val="00FF1486"/>
    <w:rsid w:val="00FF18A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761"/>
    <o:shapelayout v:ext="edit">
      <o:idmap v:ext="edit" data="1"/>
    </o:shapelayout>
  </w:shapeDefaults>
  <w:decimalSymbol w:val=","/>
  <w:listSeparator w:val=";"/>
  <w14:docId w14:val="5963B2E4"/>
  <w15:docId w15:val="{C1129DCE-87F8-4BC4-B88A-FBAD03BB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 w:val="20"/>
      <w:szCs w:val="24"/>
      <w:lang w:val="en-US" w:eastAsia="en-US"/>
    </w:rPr>
  </w:style>
  <w:style w:type="paragraph" w:styleId="Naslov1">
    <w:name w:val="heading 1"/>
    <w:aliases w:val="NASLOV"/>
    <w:basedOn w:val="Navaden"/>
    <w:next w:val="Navaden"/>
    <w:link w:val="Naslov1Znak"/>
    <w:autoRedefine/>
    <w:uiPriority w:val="99"/>
    <w:qFormat/>
    <w:rsid w:val="00085328"/>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9"/>
    <w:locked/>
    <w:rsid w:val="00DD4A2B"/>
    <w:rPr>
      <w:rFonts w:ascii="Cambria" w:hAnsi="Cambria" w:cs="Times New Roman"/>
      <w:b/>
      <w:bCs/>
      <w:kern w:val="32"/>
      <w:sz w:val="32"/>
      <w:szCs w:val="32"/>
    </w:rPr>
  </w:style>
  <w:style w:type="paragraph" w:styleId="Besedilooblaka">
    <w:name w:val="Balloon Text"/>
    <w:basedOn w:val="Navaden"/>
    <w:link w:val="BesedilooblakaZnak"/>
    <w:uiPriority w:val="99"/>
    <w:semiHidden/>
    <w:rsid w:val="0008532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DD4A2B"/>
    <w:rPr>
      <w:rFonts w:cs="Times New Roman"/>
      <w:sz w:val="2"/>
    </w:rPr>
  </w:style>
  <w:style w:type="paragraph" w:styleId="Glava">
    <w:name w:val="header"/>
    <w:basedOn w:val="Navaden"/>
    <w:link w:val="GlavaZnak"/>
    <w:uiPriority w:val="99"/>
    <w:rsid w:val="00085328"/>
    <w:pPr>
      <w:tabs>
        <w:tab w:val="center" w:pos="4320"/>
        <w:tab w:val="right" w:pos="8640"/>
      </w:tabs>
    </w:pPr>
  </w:style>
  <w:style w:type="character" w:customStyle="1" w:styleId="GlavaZnak">
    <w:name w:val="Glava Znak"/>
    <w:basedOn w:val="Privzetapisavaodstavka"/>
    <w:link w:val="Glava"/>
    <w:uiPriority w:val="99"/>
    <w:semiHidden/>
    <w:locked/>
    <w:rsid w:val="00DD4A2B"/>
    <w:rPr>
      <w:rFonts w:ascii="Arial" w:hAnsi="Arial" w:cs="Times New Roman"/>
      <w:sz w:val="24"/>
      <w:szCs w:val="24"/>
    </w:rPr>
  </w:style>
  <w:style w:type="paragraph" w:styleId="Noga">
    <w:name w:val="footer"/>
    <w:basedOn w:val="Navaden"/>
    <w:link w:val="NogaZnak"/>
    <w:uiPriority w:val="99"/>
    <w:rsid w:val="00085328"/>
    <w:pPr>
      <w:tabs>
        <w:tab w:val="center" w:pos="4320"/>
        <w:tab w:val="right" w:pos="8640"/>
      </w:tabs>
    </w:pPr>
  </w:style>
  <w:style w:type="character" w:customStyle="1" w:styleId="NogaZnak">
    <w:name w:val="Noga Znak"/>
    <w:basedOn w:val="Privzetapisavaodstavka"/>
    <w:link w:val="Noga"/>
    <w:uiPriority w:val="99"/>
    <w:locked/>
    <w:rsid w:val="00DD4A2B"/>
    <w:rPr>
      <w:rFonts w:ascii="Arial" w:hAnsi="Arial" w:cs="Times New Roman"/>
      <w:sz w:val="24"/>
      <w:szCs w:val="24"/>
    </w:rPr>
  </w:style>
  <w:style w:type="paragraph" w:styleId="Zgradbadokumenta">
    <w:name w:val="Document Map"/>
    <w:basedOn w:val="Navaden"/>
    <w:link w:val="ZgradbadokumentaZnak"/>
    <w:uiPriority w:val="99"/>
    <w:rsid w:val="00B31575"/>
    <w:rPr>
      <w:rFonts w:ascii="Tahoma" w:hAnsi="Tahoma"/>
      <w:sz w:val="16"/>
      <w:szCs w:val="16"/>
    </w:rPr>
  </w:style>
  <w:style w:type="character" w:customStyle="1" w:styleId="ZgradbadokumentaZnak">
    <w:name w:val="Zgradba dokumenta Znak"/>
    <w:basedOn w:val="Privzetapisavaodstavka"/>
    <w:link w:val="Zgradbadokumenta"/>
    <w:uiPriority w:val="99"/>
    <w:locked/>
    <w:rsid w:val="00B31575"/>
    <w:rPr>
      <w:rFonts w:ascii="Tahoma" w:hAnsi="Tahoma" w:cs="Times New Roman"/>
      <w:sz w:val="16"/>
      <w:lang w:val="en-US" w:eastAsia="en-US"/>
    </w:rPr>
  </w:style>
  <w:style w:type="table" w:styleId="Tabelamrea">
    <w:name w:val="Table Grid"/>
    <w:basedOn w:val="Navadnatabela"/>
    <w:uiPriority w:val="99"/>
    <w:rsid w:val="0073301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rFonts w:cs="Times New Roman"/>
      <w:color w:val="0000FF"/>
      <w:u w:val="single"/>
    </w:rPr>
  </w:style>
  <w:style w:type="paragraph" w:customStyle="1" w:styleId="podpisi">
    <w:name w:val="podpisi"/>
    <w:basedOn w:val="Navaden"/>
    <w:uiPriority w:val="99"/>
    <w:qFormat/>
    <w:rsid w:val="003E1C74"/>
    <w:pPr>
      <w:tabs>
        <w:tab w:val="left" w:pos="3402"/>
      </w:tabs>
    </w:pPr>
    <w:rPr>
      <w:lang w:val="it-IT"/>
    </w:rPr>
  </w:style>
  <w:style w:type="paragraph" w:styleId="Navadensplet">
    <w:name w:val="Normal (Web)"/>
    <w:basedOn w:val="Navaden"/>
    <w:uiPriority w:val="99"/>
    <w:rsid w:val="005626BD"/>
    <w:pPr>
      <w:spacing w:before="100" w:beforeAutospacing="1" w:after="100" w:afterAutospacing="1" w:line="240" w:lineRule="auto"/>
    </w:pPr>
    <w:rPr>
      <w:rFonts w:ascii="Times New Roman" w:hAnsi="Times New Roman"/>
      <w:sz w:val="24"/>
      <w:lang w:val="sl-SI" w:eastAsia="sl-SI"/>
    </w:rPr>
  </w:style>
  <w:style w:type="paragraph" w:styleId="Odstavekseznama">
    <w:name w:val="List Paragraph"/>
    <w:basedOn w:val="Navaden"/>
    <w:uiPriority w:val="99"/>
    <w:qFormat/>
    <w:rsid w:val="0045496C"/>
    <w:pPr>
      <w:ind w:left="720"/>
      <w:contextualSpacing/>
    </w:pPr>
  </w:style>
  <w:style w:type="character" w:styleId="Pripombasklic">
    <w:name w:val="annotation reference"/>
    <w:basedOn w:val="Privzetapisavaodstavka"/>
    <w:uiPriority w:val="99"/>
    <w:semiHidden/>
    <w:rsid w:val="00201868"/>
    <w:rPr>
      <w:rFonts w:cs="Times New Roman"/>
      <w:sz w:val="16"/>
      <w:szCs w:val="16"/>
    </w:rPr>
  </w:style>
  <w:style w:type="paragraph" w:styleId="Pripombabesedilo">
    <w:name w:val="annotation text"/>
    <w:basedOn w:val="Navaden"/>
    <w:link w:val="PripombabesediloZnak"/>
    <w:uiPriority w:val="99"/>
    <w:semiHidden/>
    <w:rsid w:val="00201868"/>
    <w:rPr>
      <w:szCs w:val="20"/>
    </w:rPr>
  </w:style>
  <w:style w:type="character" w:customStyle="1" w:styleId="PripombabesediloZnak">
    <w:name w:val="Pripomba – besedilo Znak"/>
    <w:basedOn w:val="Privzetapisavaodstavka"/>
    <w:link w:val="Pripombabesedilo"/>
    <w:uiPriority w:val="99"/>
    <w:semiHidden/>
    <w:locked/>
    <w:rsid w:val="00E52543"/>
    <w:rPr>
      <w:rFonts w:ascii="Arial" w:hAnsi="Arial" w:cs="Times New Roman"/>
      <w:sz w:val="20"/>
      <w:szCs w:val="20"/>
    </w:rPr>
  </w:style>
  <w:style w:type="paragraph" w:styleId="Zadevapripombe">
    <w:name w:val="annotation subject"/>
    <w:basedOn w:val="Pripombabesedilo"/>
    <w:next w:val="Pripombabesedilo"/>
    <w:link w:val="ZadevapripombeZnak"/>
    <w:uiPriority w:val="99"/>
    <w:semiHidden/>
    <w:rsid w:val="00201868"/>
    <w:rPr>
      <w:b/>
      <w:bCs/>
    </w:rPr>
  </w:style>
  <w:style w:type="character" w:customStyle="1" w:styleId="ZadevapripombeZnak">
    <w:name w:val="Zadeva pripombe Znak"/>
    <w:basedOn w:val="PripombabesediloZnak"/>
    <w:link w:val="Zadevapripombe"/>
    <w:uiPriority w:val="99"/>
    <w:semiHidden/>
    <w:locked/>
    <w:rsid w:val="00E52543"/>
    <w:rPr>
      <w:rFonts w:ascii="Arial" w:hAnsi="Arial" w:cs="Times New Roman"/>
      <w:b/>
      <w:bCs/>
      <w:sz w:val="20"/>
      <w:szCs w:val="20"/>
    </w:rPr>
  </w:style>
  <w:style w:type="paragraph" w:customStyle="1" w:styleId="ListNumberLevel2">
    <w:name w:val="List Number (Level 2)"/>
    <w:basedOn w:val="Navaden"/>
    <w:uiPriority w:val="99"/>
    <w:rsid w:val="00C47F18"/>
    <w:pPr>
      <w:tabs>
        <w:tab w:val="num" w:pos="1440"/>
      </w:tabs>
      <w:spacing w:before="120" w:after="120" w:line="240" w:lineRule="auto"/>
      <w:ind w:left="1440" w:hanging="360"/>
      <w:jc w:val="both"/>
    </w:pPr>
    <w:rPr>
      <w:rFonts w:ascii="Times New Roman" w:hAnsi="Times New Roman"/>
      <w:sz w:val="24"/>
      <w:lang w:val="en-GB" w:eastAsia="sl-SI"/>
    </w:rPr>
  </w:style>
  <w:style w:type="paragraph" w:customStyle="1" w:styleId="Alineazaodstavkom">
    <w:name w:val="Alinea za odstavkom"/>
    <w:basedOn w:val="Navaden"/>
    <w:link w:val="AlineazaodstavkomZnak"/>
    <w:qFormat/>
    <w:rsid w:val="001E6C40"/>
    <w:pPr>
      <w:numPr>
        <w:numId w:val="14"/>
      </w:numPr>
      <w:tabs>
        <w:tab w:val="left" w:pos="540"/>
        <w:tab w:val="left" w:pos="900"/>
      </w:tabs>
      <w:spacing w:line="240" w:lineRule="auto"/>
      <w:jc w:val="both"/>
    </w:pPr>
    <w:rPr>
      <w:sz w:val="22"/>
      <w:szCs w:val="22"/>
      <w:lang w:val="x-none" w:eastAsia="x-none"/>
    </w:rPr>
  </w:style>
  <w:style w:type="character" w:customStyle="1" w:styleId="AlineazaodstavkomZnak">
    <w:name w:val="Alinea za odstavkom Znak"/>
    <w:link w:val="Alineazaodstavkom"/>
    <w:rsid w:val="001E6C40"/>
    <w:rPr>
      <w:rFonts w:ascii="Arial" w:hAnsi="Arial"/>
      <w:lang w:val="x-none" w:eastAsia="x-none"/>
    </w:rPr>
  </w:style>
  <w:style w:type="paragraph" w:customStyle="1" w:styleId="Odstavek">
    <w:name w:val="Odstavek"/>
    <w:basedOn w:val="Navaden"/>
    <w:link w:val="OdstavekZnak"/>
    <w:qFormat/>
    <w:rsid w:val="001E6C40"/>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1E6C40"/>
    <w:rPr>
      <w:rFonts w:ascii="Arial" w:hAnsi="Arial"/>
      <w:lang w:val="x-none" w:eastAsia="x-none"/>
    </w:rPr>
  </w:style>
  <w:style w:type="paragraph" w:customStyle="1" w:styleId="Default">
    <w:name w:val="Default"/>
    <w:rsid w:val="001E6C40"/>
    <w:pPr>
      <w:autoSpaceDE w:val="0"/>
      <w:autoSpaceDN w:val="0"/>
      <w:adjustRightInd w:val="0"/>
    </w:pPr>
    <w:rPr>
      <w:rFonts w:ascii="Arial" w:hAnsi="Arial" w:cs="Arial"/>
      <w:color w:val="000000"/>
      <w:sz w:val="24"/>
      <w:szCs w:val="24"/>
    </w:rPr>
  </w:style>
  <w:style w:type="paragraph" w:customStyle="1" w:styleId="priloga1">
    <w:name w:val="priloga1"/>
    <w:basedOn w:val="Navaden"/>
    <w:rsid w:val="0065311C"/>
    <w:pPr>
      <w:spacing w:before="380" w:after="60" w:line="200" w:lineRule="atLeast"/>
      <w:jc w:val="both"/>
    </w:pPr>
    <w:rPr>
      <w:rFonts w:cs="Arial"/>
      <w:sz w:val="22"/>
      <w:szCs w:val="22"/>
      <w:lang w:val="sl-SI" w:eastAsia="sl-SI"/>
    </w:rPr>
  </w:style>
  <w:style w:type="character" w:styleId="Krepko">
    <w:name w:val="Strong"/>
    <w:basedOn w:val="Privzetapisavaodstavka"/>
    <w:uiPriority w:val="22"/>
    <w:qFormat/>
    <w:locked/>
    <w:rsid w:val="00A31BBD"/>
    <w:rPr>
      <w:b/>
      <w:bCs/>
    </w:rPr>
  </w:style>
  <w:style w:type="character" w:customStyle="1" w:styleId="st1">
    <w:name w:val="st1"/>
    <w:rsid w:val="00B4326C"/>
  </w:style>
  <w:style w:type="paragraph" w:customStyle="1" w:styleId="rkovnatokazaodstavkom1">
    <w:name w:val="rkovnatokazaodstavkom1"/>
    <w:basedOn w:val="Navaden"/>
    <w:rsid w:val="00923A61"/>
    <w:pPr>
      <w:spacing w:line="240" w:lineRule="auto"/>
      <w:ind w:left="425" w:hanging="425"/>
      <w:jc w:val="both"/>
    </w:pPr>
    <w:rPr>
      <w:rFonts w:cs="Arial"/>
      <w:sz w:val="22"/>
      <w:szCs w:val="22"/>
      <w:lang w:val="sl-SI" w:eastAsia="sl-SI"/>
    </w:rPr>
  </w:style>
  <w:style w:type="paragraph" w:customStyle="1" w:styleId="CM1">
    <w:name w:val="CM1"/>
    <w:basedOn w:val="Default"/>
    <w:next w:val="Default"/>
    <w:uiPriority w:val="99"/>
    <w:rsid w:val="006B0CC4"/>
    <w:rPr>
      <w:rFonts w:ascii="EUAlbertina" w:hAnsi="EUAlbertina" w:cs="Times New Roman"/>
      <w:color w:val="auto"/>
    </w:rPr>
  </w:style>
  <w:style w:type="paragraph" w:customStyle="1" w:styleId="CM3">
    <w:name w:val="CM3"/>
    <w:basedOn w:val="Default"/>
    <w:next w:val="Default"/>
    <w:uiPriority w:val="99"/>
    <w:rsid w:val="006B0CC4"/>
    <w:rPr>
      <w:rFonts w:ascii="EUAlbertina" w:hAnsi="EUAlbertina" w:cs="Times New Roman"/>
      <w:color w:val="auto"/>
    </w:rPr>
  </w:style>
  <w:style w:type="paragraph" w:customStyle="1" w:styleId="Brezrazmikov2">
    <w:name w:val="Brez razmikov2"/>
    <w:uiPriority w:val="99"/>
    <w:rsid w:val="003B0FB0"/>
    <w:rPr>
      <w:rFonts w:ascii="Arial" w:hAnsi="Arial"/>
      <w:lang w:eastAsia="en-US"/>
    </w:rPr>
  </w:style>
  <w:style w:type="paragraph" w:customStyle="1" w:styleId="alineazaodstavkom1">
    <w:name w:val="alineazaodstavkom1"/>
    <w:basedOn w:val="Navaden"/>
    <w:rsid w:val="003E5A1A"/>
    <w:pPr>
      <w:spacing w:line="240" w:lineRule="auto"/>
      <w:ind w:left="425" w:hanging="425"/>
      <w:jc w:val="both"/>
    </w:pPr>
    <w:rPr>
      <w:rFonts w:cs="Arial"/>
      <w:sz w:val="22"/>
      <w:szCs w:val="22"/>
      <w:lang w:val="sl-SI" w:eastAsia="sl-SI"/>
    </w:rPr>
  </w:style>
  <w:style w:type="character" w:styleId="Omemba">
    <w:name w:val="Mention"/>
    <w:basedOn w:val="Privzetapisavaodstavka"/>
    <w:uiPriority w:val="99"/>
    <w:semiHidden/>
    <w:unhideWhenUsed/>
    <w:rsid w:val="00683E82"/>
    <w:rPr>
      <w:color w:val="2B579A"/>
      <w:shd w:val="clear" w:color="auto" w:fill="E6E6E6"/>
    </w:rPr>
  </w:style>
  <w:style w:type="paragraph" w:styleId="Sprotnaopomba-besedilo">
    <w:name w:val="footnote text"/>
    <w:basedOn w:val="Navaden"/>
    <w:link w:val="Sprotnaopomba-besediloZnak"/>
    <w:uiPriority w:val="99"/>
    <w:unhideWhenUsed/>
    <w:rsid w:val="006A2AF0"/>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6A2AF0"/>
    <w:rPr>
      <w:rFonts w:ascii="Arial" w:hAnsi="Arial"/>
      <w:sz w:val="20"/>
      <w:szCs w:val="20"/>
      <w:lang w:val="en-US" w:eastAsia="en-US"/>
    </w:rPr>
  </w:style>
  <w:style w:type="character" w:styleId="Sprotnaopomba-sklic">
    <w:name w:val="footnote reference"/>
    <w:basedOn w:val="Privzetapisavaodstavka"/>
    <w:uiPriority w:val="99"/>
    <w:unhideWhenUsed/>
    <w:rsid w:val="006A2AF0"/>
    <w:rPr>
      <w:vertAlign w:val="superscript"/>
    </w:rPr>
  </w:style>
  <w:style w:type="character" w:styleId="Nerazreenaomemba">
    <w:name w:val="Unresolved Mention"/>
    <w:basedOn w:val="Privzetapisavaodstavka"/>
    <w:uiPriority w:val="99"/>
    <w:semiHidden/>
    <w:unhideWhenUsed/>
    <w:rsid w:val="006E6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14334">
      <w:bodyDiv w:val="1"/>
      <w:marLeft w:val="0"/>
      <w:marRight w:val="0"/>
      <w:marTop w:val="0"/>
      <w:marBottom w:val="0"/>
      <w:divBdr>
        <w:top w:val="none" w:sz="0" w:space="0" w:color="auto"/>
        <w:left w:val="none" w:sz="0" w:space="0" w:color="auto"/>
        <w:bottom w:val="none" w:sz="0" w:space="0" w:color="auto"/>
        <w:right w:val="none" w:sz="0" w:space="0" w:color="auto"/>
      </w:divBdr>
      <w:divsChild>
        <w:div w:id="617372922">
          <w:marLeft w:val="0"/>
          <w:marRight w:val="0"/>
          <w:marTop w:val="0"/>
          <w:marBottom w:val="0"/>
          <w:divBdr>
            <w:top w:val="none" w:sz="0" w:space="0" w:color="auto"/>
            <w:left w:val="none" w:sz="0" w:space="0" w:color="auto"/>
            <w:bottom w:val="none" w:sz="0" w:space="0" w:color="auto"/>
            <w:right w:val="none" w:sz="0" w:space="0" w:color="auto"/>
          </w:divBdr>
        </w:div>
      </w:divsChild>
    </w:div>
    <w:div w:id="171603994">
      <w:bodyDiv w:val="1"/>
      <w:marLeft w:val="0"/>
      <w:marRight w:val="0"/>
      <w:marTop w:val="0"/>
      <w:marBottom w:val="0"/>
      <w:divBdr>
        <w:top w:val="none" w:sz="0" w:space="0" w:color="auto"/>
        <w:left w:val="none" w:sz="0" w:space="0" w:color="auto"/>
        <w:bottom w:val="none" w:sz="0" w:space="0" w:color="auto"/>
        <w:right w:val="none" w:sz="0" w:space="0" w:color="auto"/>
      </w:divBdr>
    </w:div>
    <w:div w:id="289434963">
      <w:bodyDiv w:val="1"/>
      <w:marLeft w:val="0"/>
      <w:marRight w:val="0"/>
      <w:marTop w:val="0"/>
      <w:marBottom w:val="0"/>
      <w:divBdr>
        <w:top w:val="none" w:sz="0" w:space="0" w:color="auto"/>
        <w:left w:val="none" w:sz="0" w:space="0" w:color="auto"/>
        <w:bottom w:val="none" w:sz="0" w:space="0" w:color="auto"/>
        <w:right w:val="none" w:sz="0" w:space="0" w:color="auto"/>
      </w:divBdr>
    </w:div>
    <w:div w:id="330565842">
      <w:bodyDiv w:val="1"/>
      <w:marLeft w:val="0"/>
      <w:marRight w:val="0"/>
      <w:marTop w:val="0"/>
      <w:marBottom w:val="0"/>
      <w:divBdr>
        <w:top w:val="none" w:sz="0" w:space="0" w:color="auto"/>
        <w:left w:val="none" w:sz="0" w:space="0" w:color="auto"/>
        <w:bottom w:val="none" w:sz="0" w:space="0" w:color="auto"/>
        <w:right w:val="none" w:sz="0" w:space="0" w:color="auto"/>
      </w:divBdr>
      <w:divsChild>
        <w:div w:id="1107240403">
          <w:marLeft w:val="0"/>
          <w:marRight w:val="0"/>
          <w:marTop w:val="0"/>
          <w:marBottom w:val="0"/>
          <w:divBdr>
            <w:top w:val="none" w:sz="0" w:space="0" w:color="auto"/>
            <w:left w:val="none" w:sz="0" w:space="0" w:color="auto"/>
            <w:bottom w:val="none" w:sz="0" w:space="0" w:color="auto"/>
            <w:right w:val="none" w:sz="0" w:space="0" w:color="auto"/>
          </w:divBdr>
          <w:divsChild>
            <w:div w:id="1786654258">
              <w:marLeft w:val="0"/>
              <w:marRight w:val="0"/>
              <w:marTop w:val="100"/>
              <w:marBottom w:val="100"/>
              <w:divBdr>
                <w:top w:val="none" w:sz="0" w:space="0" w:color="auto"/>
                <w:left w:val="none" w:sz="0" w:space="0" w:color="auto"/>
                <w:bottom w:val="none" w:sz="0" w:space="0" w:color="auto"/>
                <w:right w:val="none" w:sz="0" w:space="0" w:color="auto"/>
              </w:divBdr>
              <w:divsChild>
                <w:div w:id="277490550">
                  <w:marLeft w:val="0"/>
                  <w:marRight w:val="0"/>
                  <w:marTop w:val="0"/>
                  <w:marBottom w:val="0"/>
                  <w:divBdr>
                    <w:top w:val="none" w:sz="0" w:space="0" w:color="auto"/>
                    <w:left w:val="none" w:sz="0" w:space="0" w:color="auto"/>
                    <w:bottom w:val="none" w:sz="0" w:space="0" w:color="auto"/>
                    <w:right w:val="none" w:sz="0" w:space="0" w:color="auto"/>
                  </w:divBdr>
                  <w:divsChild>
                    <w:div w:id="1520899284">
                      <w:marLeft w:val="0"/>
                      <w:marRight w:val="0"/>
                      <w:marTop w:val="0"/>
                      <w:marBottom w:val="0"/>
                      <w:divBdr>
                        <w:top w:val="none" w:sz="0" w:space="0" w:color="auto"/>
                        <w:left w:val="none" w:sz="0" w:space="0" w:color="auto"/>
                        <w:bottom w:val="none" w:sz="0" w:space="0" w:color="auto"/>
                        <w:right w:val="none" w:sz="0" w:space="0" w:color="auto"/>
                      </w:divBdr>
                      <w:divsChild>
                        <w:div w:id="1739739841">
                          <w:marLeft w:val="0"/>
                          <w:marRight w:val="0"/>
                          <w:marTop w:val="0"/>
                          <w:marBottom w:val="0"/>
                          <w:divBdr>
                            <w:top w:val="none" w:sz="0" w:space="0" w:color="auto"/>
                            <w:left w:val="none" w:sz="0" w:space="0" w:color="auto"/>
                            <w:bottom w:val="none" w:sz="0" w:space="0" w:color="auto"/>
                            <w:right w:val="none" w:sz="0" w:space="0" w:color="auto"/>
                          </w:divBdr>
                          <w:divsChild>
                            <w:div w:id="2002271929">
                              <w:marLeft w:val="0"/>
                              <w:marRight w:val="0"/>
                              <w:marTop w:val="0"/>
                              <w:marBottom w:val="0"/>
                              <w:divBdr>
                                <w:top w:val="none" w:sz="0" w:space="0" w:color="auto"/>
                                <w:left w:val="none" w:sz="0" w:space="0" w:color="auto"/>
                                <w:bottom w:val="none" w:sz="0" w:space="0" w:color="auto"/>
                                <w:right w:val="none" w:sz="0" w:space="0" w:color="auto"/>
                              </w:divBdr>
                              <w:divsChild>
                                <w:div w:id="1535382275">
                                  <w:marLeft w:val="0"/>
                                  <w:marRight w:val="0"/>
                                  <w:marTop w:val="0"/>
                                  <w:marBottom w:val="0"/>
                                  <w:divBdr>
                                    <w:top w:val="none" w:sz="0" w:space="0" w:color="auto"/>
                                    <w:left w:val="none" w:sz="0" w:space="0" w:color="auto"/>
                                    <w:bottom w:val="none" w:sz="0" w:space="0" w:color="auto"/>
                                    <w:right w:val="none" w:sz="0" w:space="0" w:color="auto"/>
                                  </w:divBdr>
                                  <w:divsChild>
                                    <w:div w:id="1818565766">
                                      <w:marLeft w:val="0"/>
                                      <w:marRight w:val="0"/>
                                      <w:marTop w:val="0"/>
                                      <w:marBottom w:val="0"/>
                                      <w:divBdr>
                                        <w:top w:val="none" w:sz="0" w:space="0" w:color="auto"/>
                                        <w:left w:val="none" w:sz="0" w:space="0" w:color="auto"/>
                                        <w:bottom w:val="none" w:sz="0" w:space="0" w:color="auto"/>
                                        <w:right w:val="none" w:sz="0" w:space="0" w:color="auto"/>
                                      </w:divBdr>
                                      <w:divsChild>
                                        <w:div w:id="10042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0167858">
      <w:bodyDiv w:val="1"/>
      <w:marLeft w:val="0"/>
      <w:marRight w:val="0"/>
      <w:marTop w:val="0"/>
      <w:marBottom w:val="0"/>
      <w:divBdr>
        <w:top w:val="none" w:sz="0" w:space="0" w:color="auto"/>
        <w:left w:val="none" w:sz="0" w:space="0" w:color="auto"/>
        <w:bottom w:val="none" w:sz="0" w:space="0" w:color="auto"/>
        <w:right w:val="none" w:sz="0" w:space="0" w:color="auto"/>
      </w:divBdr>
      <w:divsChild>
        <w:div w:id="1204295442">
          <w:marLeft w:val="0"/>
          <w:marRight w:val="0"/>
          <w:marTop w:val="0"/>
          <w:marBottom w:val="0"/>
          <w:divBdr>
            <w:top w:val="none" w:sz="0" w:space="0" w:color="auto"/>
            <w:left w:val="none" w:sz="0" w:space="0" w:color="auto"/>
            <w:bottom w:val="none" w:sz="0" w:space="0" w:color="auto"/>
            <w:right w:val="none" w:sz="0" w:space="0" w:color="auto"/>
          </w:divBdr>
          <w:divsChild>
            <w:div w:id="68620254">
              <w:marLeft w:val="0"/>
              <w:marRight w:val="0"/>
              <w:marTop w:val="100"/>
              <w:marBottom w:val="100"/>
              <w:divBdr>
                <w:top w:val="none" w:sz="0" w:space="0" w:color="auto"/>
                <w:left w:val="none" w:sz="0" w:space="0" w:color="auto"/>
                <w:bottom w:val="none" w:sz="0" w:space="0" w:color="auto"/>
                <w:right w:val="none" w:sz="0" w:space="0" w:color="auto"/>
              </w:divBdr>
              <w:divsChild>
                <w:div w:id="471408702">
                  <w:marLeft w:val="0"/>
                  <w:marRight w:val="0"/>
                  <w:marTop w:val="0"/>
                  <w:marBottom w:val="0"/>
                  <w:divBdr>
                    <w:top w:val="none" w:sz="0" w:space="0" w:color="auto"/>
                    <w:left w:val="none" w:sz="0" w:space="0" w:color="auto"/>
                    <w:bottom w:val="none" w:sz="0" w:space="0" w:color="auto"/>
                    <w:right w:val="none" w:sz="0" w:space="0" w:color="auto"/>
                  </w:divBdr>
                  <w:divsChild>
                    <w:div w:id="854611921">
                      <w:marLeft w:val="0"/>
                      <w:marRight w:val="0"/>
                      <w:marTop w:val="0"/>
                      <w:marBottom w:val="0"/>
                      <w:divBdr>
                        <w:top w:val="none" w:sz="0" w:space="0" w:color="auto"/>
                        <w:left w:val="none" w:sz="0" w:space="0" w:color="auto"/>
                        <w:bottom w:val="none" w:sz="0" w:space="0" w:color="auto"/>
                        <w:right w:val="none" w:sz="0" w:space="0" w:color="auto"/>
                      </w:divBdr>
                      <w:divsChild>
                        <w:div w:id="517692937">
                          <w:marLeft w:val="0"/>
                          <w:marRight w:val="0"/>
                          <w:marTop w:val="0"/>
                          <w:marBottom w:val="0"/>
                          <w:divBdr>
                            <w:top w:val="none" w:sz="0" w:space="0" w:color="auto"/>
                            <w:left w:val="none" w:sz="0" w:space="0" w:color="auto"/>
                            <w:bottom w:val="none" w:sz="0" w:space="0" w:color="auto"/>
                            <w:right w:val="none" w:sz="0" w:space="0" w:color="auto"/>
                          </w:divBdr>
                          <w:divsChild>
                            <w:div w:id="956333296">
                              <w:marLeft w:val="0"/>
                              <w:marRight w:val="0"/>
                              <w:marTop w:val="0"/>
                              <w:marBottom w:val="0"/>
                              <w:divBdr>
                                <w:top w:val="none" w:sz="0" w:space="0" w:color="auto"/>
                                <w:left w:val="none" w:sz="0" w:space="0" w:color="auto"/>
                                <w:bottom w:val="none" w:sz="0" w:space="0" w:color="auto"/>
                                <w:right w:val="none" w:sz="0" w:space="0" w:color="auto"/>
                              </w:divBdr>
                              <w:divsChild>
                                <w:div w:id="10245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211503">
      <w:bodyDiv w:val="1"/>
      <w:marLeft w:val="0"/>
      <w:marRight w:val="0"/>
      <w:marTop w:val="0"/>
      <w:marBottom w:val="0"/>
      <w:divBdr>
        <w:top w:val="none" w:sz="0" w:space="0" w:color="auto"/>
        <w:left w:val="none" w:sz="0" w:space="0" w:color="auto"/>
        <w:bottom w:val="none" w:sz="0" w:space="0" w:color="auto"/>
        <w:right w:val="none" w:sz="0" w:space="0" w:color="auto"/>
      </w:divBdr>
    </w:div>
    <w:div w:id="1079906330">
      <w:bodyDiv w:val="1"/>
      <w:marLeft w:val="0"/>
      <w:marRight w:val="0"/>
      <w:marTop w:val="0"/>
      <w:marBottom w:val="0"/>
      <w:divBdr>
        <w:top w:val="none" w:sz="0" w:space="0" w:color="auto"/>
        <w:left w:val="none" w:sz="0" w:space="0" w:color="auto"/>
        <w:bottom w:val="none" w:sz="0" w:space="0" w:color="auto"/>
        <w:right w:val="none" w:sz="0" w:space="0" w:color="auto"/>
      </w:divBdr>
      <w:divsChild>
        <w:div w:id="2109229223">
          <w:marLeft w:val="0"/>
          <w:marRight w:val="0"/>
          <w:marTop w:val="0"/>
          <w:marBottom w:val="0"/>
          <w:divBdr>
            <w:top w:val="none" w:sz="0" w:space="0" w:color="auto"/>
            <w:left w:val="none" w:sz="0" w:space="0" w:color="auto"/>
            <w:bottom w:val="none" w:sz="0" w:space="0" w:color="auto"/>
            <w:right w:val="none" w:sz="0" w:space="0" w:color="auto"/>
          </w:divBdr>
          <w:divsChild>
            <w:div w:id="583606511">
              <w:marLeft w:val="0"/>
              <w:marRight w:val="0"/>
              <w:marTop w:val="100"/>
              <w:marBottom w:val="100"/>
              <w:divBdr>
                <w:top w:val="none" w:sz="0" w:space="0" w:color="auto"/>
                <w:left w:val="none" w:sz="0" w:space="0" w:color="auto"/>
                <w:bottom w:val="none" w:sz="0" w:space="0" w:color="auto"/>
                <w:right w:val="none" w:sz="0" w:space="0" w:color="auto"/>
              </w:divBdr>
              <w:divsChild>
                <w:div w:id="1090545502">
                  <w:marLeft w:val="0"/>
                  <w:marRight w:val="0"/>
                  <w:marTop w:val="0"/>
                  <w:marBottom w:val="0"/>
                  <w:divBdr>
                    <w:top w:val="none" w:sz="0" w:space="0" w:color="auto"/>
                    <w:left w:val="none" w:sz="0" w:space="0" w:color="auto"/>
                    <w:bottom w:val="none" w:sz="0" w:space="0" w:color="auto"/>
                    <w:right w:val="none" w:sz="0" w:space="0" w:color="auto"/>
                  </w:divBdr>
                  <w:divsChild>
                    <w:div w:id="1489712453">
                      <w:marLeft w:val="0"/>
                      <w:marRight w:val="0"/>
                      <w:marTop w:val="0"/>
                      <w:marBottom w:val="0"/>
                      <w:divBdr>
                        <w:top w:val="none" w:sz="0" w:space="0" w:color="auto"/>
                        <w:left w:val="none" w:sz="0" w:space="0" w:color="auto"/>
                        <w:bottom w:val="none" w:sz="0" w:space="0" w:color="auto"/>
                        <w:right w:val="none" w:sz="0" w:space="0" w:color="auto"/>
                      </w:divBdr>
                      <w:divsChild>
                        <w:div w:id="1508203785">
                          <w:marLeft w:val="0"/>
                          <w:marRight w:val="0"/>
                          <w:marTop w:val="0"/>
                          <w:marBottom w:val="0"/>
                          <w:divBdr>
                            <w:top w:val="none" w:sz="0" w:space="0" w:color="auto"/>
                            <w:left w:val="none" w:sz="0" w:space="0" w:color="auto"/>
                            <w:bottom w:val="none" w:sz="0" w:space="0" w:color="auto"/>
                            <w:right w:val="none" w:sz="0" w:space="0" w:color="auto"/>
                          </w:divBdr>
                          <w:divsChild>
                            <w:div w:id="2115205614">
                              <w:marLeft w:val="0"/>
                              <w:marRight w:val="0"/>
                              <w:marTop w:val="0"/>
                              <w:marBottom w:val="0"/>
                              <w:divBdr>
                                <w:top w:val="none" w:sz="0" w:space="0" w:color="auto"/>
                                <w:left w:val="none" w:sz="0" w:space="0" w:color="auto"/>
                                <w:bottom w:val="none" w:sz="0" w:space="0" w:color="auto"/>
                                <w:right w:val="none" w:sz="0" w:space="0" w:color="auto"/>
                              </w:divBdr>
                              <w:divsChild>
                                <w:div w:id="1071270987">
                                  <w:marLeft w:val="0"/>
                                  <w:marRight w:val="0"/>
                                  <w:marTop w:val="0"/>
                                  <w:marBottom w:val="0"/>
                                  <w:divBdr>
                                    <w:top w:val="none" w:sz="0" w:space="0" w:color="auto"/>
                                    <w:left w:val="none" w:sz="0" w:space="0" w:color="auto"/>
                                    <w:bottom w:val="none" w:sz="0" w:space="0" w:color="auto"/>
                                    <w:right w:val="none" w:sz="0" w:space="0" w:color="auto"/>
                                  </w:divBdr>
                                  <w:divsChild>
                                    <w:div w:id="398135586">
                                      <w:marLeft w:val="0"/>
                                      <w:marRight w:val="0"/>
                                      <w:marTop w:val="0"/>
                                      <w:marBottom w:val="0"/>
                                      <w:divBdr>
                                        <w:top w:val="none" w:sz="0" w:space="0" w:color="auto"/>
                                        <w:left w:val="none" w:sz="0" w:space="0" w:color="auto"/>
                                        <w:bottom w:val="none" w:sz="0" w:space="0" w:color="auto"/>
                                        <w:right w:val="none" w:sz="0" w:space="0" w:color="auto"/>
                                      </w:divBdr>
                                      <w:divsChild>
                                        <w:div w:id="6048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608531">
      <w:bodyDiv w:val="1"/>
      <w:marLeft w:val="0"/>
      <w:marRight w:val="0"/>
      <w:marTop w:val="0"/>
      <w:marBottom w:val="0"/>
      <w:divBdr>
        <w:top w:val="none" w:sz="0" w:space="0" w:color="auto"/>
        <w:left w:val="none" w:sz="0" w:space="0" w:color="auto"/>
        <w:bottom w:val="none" w:sz="0" w:space="0" w:color="auto"/>
        <w:right w:val="none" w:sz="0" w:space="0" w:color="auto"/>
      </w:divBdr>
    </w:div>
    <w:div w:id="1571035510">
      <w:bodyDiv w:val="1"/>
      <w:marLeft w:val="0"/>
      <w:marRight w:val="0"/>
      <w:marTop w:val="0"/>
      <w:marBottom w:val="0"/>
      <w:divBdr>
        <w:top w:val="none" w:sz="0" w:space="0" w:color="auto"/>
        <w:left w:val="none" w:sz="0" w:space="0" w:color="auto"/>
        <w:bottom w:val="none" w:sz="0" w:space="0" w:color="auto"/>
        <w:right w:val="none" w:sz="0" w:space="0" w:color="auto"/>
      </w:divBdr>
    </w:div>
    <w:div w:id="1746100555">
      <w:marLeft w:val="0"/>
      <w:marRight w:val="0"/>
      <w:marTop w:val="0"/>
      <w:marBottom w:val="0"/>
      <w:divBdr>
        <w:top w:val="none" w:sz="0" w:space="0" w:color="auto"/>
        <w:left w:val="none" w:sz="0" w:space="0" w:color="auto"/>
        <w:bottom w:val="none" w:sz="0" w:space="0" w:color="auto"/>
        <w:right w:val="none" w:sz="0" w:space="0" w:color="auto"/>
      </w:divBdr>
    </w:div>
    <w:div w:id="1746100566">
      <w:marLeft w:val="0"/>
      <w:marRight w:val="0"/>
      <w:marTop w:val="0"/>
      <w:marBottom w:val="0"/>
      <w:divBdr>
        <w:top w:val="none" w:sz="0" w:space="0" w:color="auto"/>
        <w:left w:val="none" w:sz="0" w:space="0" w:color="auto"/>
        <w:bottom w:val="none" w:sz="0" w:space="0" w:color="auto"/>
        <w:right w:val="none" w:sz="0" w:space="0" w:color="auto"/>
      </w:divBdr>
      <w:divsChild>
        <w:div w:id="1746100560">
          <w:marLeft w:val="0"/>
          <w:marRight w:val="0"/>
          <w:marTop w:val="0"/>
          <w:marBottom w:val="0"/>
          <w:divBdr>
            <w:top w:val="none" w:sz="0" w:space="0" w:color="auto"/>
            <w:left w:val="none" w:sz="0" w:space="0" w:color="auto"/>
            <w:bottom w:val="none" w:sz="0" w:space="0" w:color="auto"/>
            <w:right w:val="none" w:sz="0" w:space="0" w:color="auto"/>
          </w:divBdr>
          <w:divsChild>
            <w:div w:id="1746100571">
              <w:marLeft w:val="0"/>
              <w:marRight w:val="0"/>
              <w:marTop w:val="0"/>
              <w:marBottom w:val="0"/>
              <w:divBdr>
                <w:top w:val="none" w:sz="0" w:space="0" w:color="auto"/>
                <w:left w:val="none" w:sz="0" w:space="0" w:color="auto"/>
                <w:bottom w:val="none" w:sz="0" w:space="0" w:color="auto"/>
                <w:right w:val="none" w:sz="0" w:space="0" w:color="auto"/>
              </w:divBdr>
              <w:divsChild>
                <w:div w:id="1746100575">
                  <w:marLeft w:val="0"/>
                  <w:marRight w:val="0"/>
                  <w:marTop w:val="0"/>
                  <w:marBottom w:val="0"/>
                  <w:divBdr>
                    <w:top w:val="none" w:sz="0" w:space="0" w:color="auto"/>
                    <w:left w:val="none" w:sz="0" w:space="0" w:color="auto"/>
                    <w:bottom w:val="none" w:sz="0" w:space="0" w:color="auto"/>
                    <w:right w:val="none" w:sz="0" w:space="0" w:color="auto"/>
                  </w:divBdr>
                  <w:divsChild>
                    <w:div w:id="1746100564">
                      <w:marLeft w:val="1"/>
                      <w:marRight w:val="1"/>
                      <w:marTop w:val="0"/>
                      <w:marBottom w:val="0"/>
                      <w:divBdr>
                        <w:top w:val="none" w:sz="0" w:space="0" w:color="auto"/>
                        <w:left w:val="none" w:sz="0" w:space="0" w:color="auto"/>
                        <w:bottom w:val="none" w:sz="0" w:space="0" w:color="auto"/>
                        <w:right w:val="none" w:sz="0" w:space="0" w:color="auto"/>
                      </w:divBdr>
                      <w:divsChild>
                        <w:div w:id="1746100573">
                          <w:marLeft w:val="0"/>
                          <w:marRight w:val="0"/>
                          <w:marTop w:val="0"/>
                          <w:marBottom w:val="0"/>
                          <w:divBdr>
                            <w:top w:val="none" w:sz="0" w:space="0" w:color="auto"/>
                            <w:left w:val="none" w:sz="0" w:space="0" w:color="auto"/>
                            <w:bottom w:val="none" w:sz="0" w:space="0" w:color="auto"/>
                            <w:right w:val="none" w:sz="0" w:space="0" w:color="auto"/>
                          </w:divBdr>
                          <w:divsChild>
                            <w:div w:id="1746100562">
                              <w:marLeft w:val="0"/>
                              <w:marRight w:val="0"/>
                              <w:marTop w:val="0"/>
                              <w:marBottom w:val="0"/>
                              <w:divBdr>
                                <w:top w:val="none" w:sz="0" w:space="0" w:color="auto"/>
                                <w:left w:val="none" w:sz="0" w:space="0" w:color="auto"/>
                                <w:bottom w:val="none" w:sz="0" w:space="0" w:color="auto"/>
                                <w:right w:val="none" w:sz="0" w:space="0" w:color="auto"/>
                              </w:divBdr>
                              <w:divsChild>
                                <w:div w:id="1746100565">
                                  <w:marLeft w:val="0"/>
                                  <w:marRight w:val="0"/>
                                  <w:marTop w:val="0"/>
                                  <w:marBottom w:val="360"/>
                                  <w:divBdr>
                                    <w:top w:val="none" w:sz="0" w:space="0" w:color="auto"/>
                                    <w:left w:val="none" w:sz="0" w:space="0" w:color="auto"/>
                                    <w:bottom w:val="none" w:sz="0" w:space="0" w:color="auto"/>
                                    <w:right w:val="none" w:sz="0" w:space="0" w:color="auto"/>
                                  </w:divBdr>
                                  <w:divsChild>
                                    <w:div w:id="1746100574">
                                      <w:marLeft w:val="0"/>
                                      <w:marRight w:val="0"/>
                                      <w:marTop w:val="0"/>
                                      <w:marBottom w:val="0"/>
                                      <w:divBdr>
                                        <w:top w:val="none" w:sz="0" w:space="0" w:color="auto"/>
                                        <w:left w:val="none" w:sz="0" w:space="0" w:color="auto"/>
                                        <w:bottom w:val="none" w:sz="0" w:space="0" w:color="auto"/>
                                        <w:right w:val="none" w:sz="0" w:space="0" w:color="auto"/>
                                      </w:divBdr>
                                      <w:divsChild>
                                        <w:div w:id="174610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6100570">
      <w:marLeft w:val="0"/>
      <w:marRight w:val="0"/>
      <w:marTop w:val="0"/>
      <w:marBottom w:val="0"/>
      <w:divBdr>
        <w:top w:val="none" w:sz="0" w:space="0" w:color="auto"/>
        <w:left w:val="none" w:sz="0" w:space="0" w:color="auto"/>
        <w:bottom w:val="none" w:sz="0" w:space="0" w:color="auto"/>
        <w:right w:val="none" w:sz="0" w:space="0" w:color="auto"/>
      </w:divBdr>
      <w:divsChild>
        <w:div w:id="1746100556">
          <w:marLeft w:val="0"/>
          <w:marRight w:val="0"/>
          <w:marTop w:val="0"/>
          <w:marBottom w:val="0"/>
          <w:divBdr>
            <w:top w:val="none" w:sz="0" w:space="0" w:color="auto"/>
            <w:left w:val="none" w:sz="0" w:space="0" w:color="auto"/>
            <w:bottom w:val="none" w:sz="0" w:space="0" w:color="auto"/>
            <w:right w:val="none" w:sz="0" w:space="0" w:color="auto"/>
          </w:divBdr>
          <w:divsChild>
            <w:div w:id="1746100558">
              <w:marLeft w:val="0"/>
              <w:marRight w:val="0"/>
              <w:marTop w:val="0"/>
              <w:marBottom w:val="0"/>
              <w:divBdr>
                <w:top w:val="none" w:sz="0" w:space="0" w:color="auto"/>
                <w:left w:val="none" w:sz="0" w:space="0" w:color="auto"/>
                <w:bottom w:val="none" w:sz="0" w:space="0" w:color="auto"/>
                <w:right w:val="none" w:sz="0" w:space="0" w:color="auto"/>
              </w:divBdr>
              <w:divsChild>
                <w:div w:id="1746100563">
                  <w:marLeft w:val="0"/>
                  <w:marRight w:val="0"/>
                  <w:marTop w:val="0"/>
                  <w:marBottom w:val="0"/>
                  <w:divBdr>
                    <w:top w:val="none" w:sz="0" w:space="0" w:color="auto"/>
                    <w:left w:val="none" w:sz="0" w:space="0" w:color="auto"/>
                    <w:bottom w:val="none" w:sz="0" w:space="0" w:color="auto"/>
                    <w:right w:val="none" w:sz="0" w:space="0" w:color="auto"/>
                  </w:divBdr>
                  <w:divsChild>
                    <w:div w:id="1746100567">
                      <w:marLeft w:val="1"/>
                      <w:marRight w:val="1"/>
                      <w:marTop w:val="0"/>
                      <w:marBottom w:val="0"/>
                      <w:divBdr>
                        <w:top w:val="none" w:sz="0" w:space="0" w:color="auto"/>
                        <w:left w:val="none" w:sz="0" w:space="0" w:color="auto"/>
                        <w:bottom w:val="none" w:sz="0" w:space="0" w:color="auto"/>
                        <w:right w:val="none" w:sz="0" w:space="0" w:color="auto"/>
                      </w:divBdr>
                      <w:divsChild>
                        <w:div w:id="1746100572">
                          <w:marLeft w:val="0"/>
                          <w:marRight w:val="0"/>
                          <w:marTop w:val="0"/>
                          <w:marBottom w:val="0"/>
                          <w:divBdr>
                            <w:top w:val="none" w:sz="0" w:space="0" w:color="auto"/>
                            <w:left w:val="none" w:sz="0" w:space="0" w:color="auto"/>
                            <w:bottom w:val="none" w:sz="0" w:space="0" w:color="auto"/>
                            <w:right w:val="none" w:sz="0" w:space="0" w:color="auto"/>
                          </w:divBdr>
                          <w:divsChild>
                            <w:div w:id="1746100569">
                              <w:marLeft w:val="0"/>
                              <w:marRight w:val="0"/>
                              <w:marTop w:val="0"/>
                              <w:marBottom w:val="0"/>
                              <w:divBdr>
                                <w:top w:val="none" w:sz="0" w:space="0" w:color="auto"/>
                                <w:left w:val="none" w:sz="0" w:space="0" w:color="auto"/>
                                <w:bottom w:val="none" w:sz="0" w:space="0" w:color="auto"/>
                                <w:right w:val="none" w:sz="0" w:space="0" w:color="auto"/>
                              </w:divBdr>
                              <w:divsChild>
                                <w:div w:id="1746100559">
                                  <w:marLeft w:val="0"/>
                                  <w:marRight w:val="0"/>
                                  <w:marTop w:val="0"/>
                                  <w:marBottom w:val="360"/>
                                  <w:divBdr>
                                    <w:top w:val="none" w:sz="0" w:space="0" w:color="auto"/>
                                    <w:left w:val="none" w:sz="0" w:space="0" w:color="auto"/>
                                    <w:bottom w:val="none" w:sz="0" w:space="0" w:color="auto"/>
                                    <w:right w:val="none" w:sz="0" w:space="0" w:color="auto"/>
                                  </w:divBdr>
                                  <w:divsChild>
                                    <w:div w:id="1746100561">
                                      <w:marLeft w:val="0"/>
                                      <w:marRight w:val="0"/>
                                      <w:marTop w:val="0"/>
                                      <w:marBottom w:val="0"/>
                                      <w:divBdr>
                                        <w:top w:val="none" w:sz="0" w:space="0" w:color="auto"/>
                                        <w:left w:val="none" w:sz="0" w:space="0" w:color="auto"/>
                                        <w:bottom w:val="none" w:sz="0" w:space="0" w:color="auto"/>
                                        <w:right w:val="none" w:sz="0" w:space="0" w:color="auto"/>
                                      </w:divBdr>
                                      <w:divsChild>
                                        <w:div w:id="174610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030642">
      <w:bodyDiv w:val="1"/>
      <w:marLeft w:val="0"/>
      <w:marRight w:val="0"/>
      <w:marTop w:val="0"/>
      <w:marBottom w:val="0"/>
      <w:divBdr>
        <w:top w:val="none" w:sz="0" w:space="0" w:color="auto"/>
        <w:left w:val="none" w:sz="0" w:space="0" w:color="auto"/>
        <w:bottom w:val="none" w:sz="0" w:space="0" w:color="auto"/>
        <w:right w:val="none" w:sz="0" w:space="0" w:color="auto"/>
      </w:divBdr>
    </w:div>
    <w:div w:id="1917350701">
      <w:bodyDiv w:val="1"/>
      <w:marLeft w:val="0"/>
      <w:marRight w:val="0"/>
      <w:marTop w:val="0"/>
      <w:marBottom w:val="0"/>
      <w:divBdr>
        <w:top w:val="none" w:sz="0" w:space="0" w:color="auto"/>
        <w:left w:val="none" w:sz="0" w:space="0" w:color="auto"/>
        <w:bottom w:val="none" w:sz="0" w:space="0" w:color="auto"/>
        <w:right w:val="none" w:sz="0" w:space="0" w:color="auto"/>
      </w:divBdr>
    </w:div>
    <w:div w:id="2124957277">
      <w:bodyDiv w:val="1"/>
      <w:marLeft w:val="0"/>
      <w:marRight w:val="0"/>
      <w:marTop w:val="0"/>
      <w:marBottom w:val="0"/>
      <w:divBdr>
        <w:top w:val="none" w:sz="0" w:space="0" w:color="auto"/>
        <w:left w:val="none" w:sz="0" w:space="0" w:color="auto"/>
        <w:bottom w:val="none" w:sz="0" w:space="0" w:color="auto"/>
        <w:right w:val="none" w:sz="0" w:space="0" w:color="auto"/>
      </w:divBdr>
      <w:divsChild>
        <w:div w:id="1078594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9A63803-1FC5-4224-A292-1A4C17976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1487</Words>
  <Characters>8424</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Številka:</vt:lpstr>
    </vt:vector>
  </TitlesOfParts>
  <Company>MNZ RS</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Obvestilo Posebne gradbene uzance 2020</dc:title>
  <dc:subject/>
  <dc:creator>MUhan</dc:creator>
  <cp:keywords/>
  <dc:description/>
  <cp:lastModifiedBy>Ajda Kostanjšek</cp:lastModifiedBy>
  <cp:revision>5</cp:revision>
  <cp:lastPrinted>2013-06-21T07:24:00Z</cp:lastPrinted>
  <dcterms:created xsi:type="dcterms:W3CDTF">2021-09-28T13:01:00Z</dcterms:created>
  <dcterms:modified xsi:type="dcterms:W3CDTF">2021-09-28T13:20:00Z</dcterms:modified>
</cp:coreProperties>
</file>