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2FF0B987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B30AE5" w:rsidRPr="00453397">
        <w:rPr>
          <w:lang w:val="sl-SI"/>
        </w:rPr>
        <w:t>ju</w:t>
      </w:r>
      <w:r w:rsidR="00D67711" w:rsidRPr="00453397">
        <w:rPr>
          <w:lang w:val="sl-SI"/>
        </w:rPr>
        <w:t>l</w:t>
      </w:r>
      <w:r w:rsidR="00B30AE5" w:rsidRPr="00453397">
        <w:rPr>
          <w:lang w:val="sl-SI"/>
        </w:rPr>
        <w:t>ij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4D0863" w:rsidRPr="00453397">
        <w:rPr>
          <w:lang w:val="sl-SI"/>
        </w:rPr>
        <w:t>1</w:t>
      </w:r>
      <w:r w:rsidRPr="00453397">
        <w:rPr>
          <w:lang w:val="sl-SI"/>
        </w:rPr>
        <w:t xml:space="preserve">    </w:t>
      </w:r>
    </w:p>
    <w:p w14:paraId="300C5672" w14:textId="25A16294" w:rsidR="001B55B5" w:rsidRPr="00453397" w:rsidRDefault="00D67711" w:rsidP="001B55B5">
      <w:pPr>
        <w:pStyle w:val="Naslovstika"/>
        <w:spacing w:line="276" w:lineRule="auto"/>
        <w:rPr>
          <w:b/>
          <w:lang w:val="sl-SI"/>
        </w:rPr>
      </w:pPr>
      <w:bookmarkStart w:id="0" w:name="c8"/>
      <w:bookmarkEnd w:id="0"/>
      <w:r w:rsidRPr="00453397">
        <w:rPr>
          <w:b/>
          <w:lang w:val="sl-SI"/>
        </w:rPr>
        <w:t>NOVO</w:t>
      </w:r>
      <w:r w:rsidR="001B55B5" w:rsidRPr="00453397">
        <w:rPr>
          <w:b/>
          <w:lang w:val="sl-SI"/>
        </w:rPr>
        <w:t xml:space="preserve"> – </w:t>
      </w:r>
      <w:r w:rsidRPr="00453397">
        <w:rPr>
          <w:b/>
          <w:lang w:val="sl-SI"/>
        </w:rPr>
        <w:t>Zakon o</w:t>
      </w:r>
      <w:r w:rsidR="00070308" w:rsidRPr="00453397">
        <w:rPr>
          <w:b/>
          <w:lang w:val="sl-SI"/>
        </w:rPr>
        <w:t xml:space="preserve"> spremembah in dopolnitvah Zakona o</w:t>
      </w:r>
      <w:r w:rsidRPr="00453397">
        <w:rPr>
          <w:b/>
          <w:lang w:val="sl-SI"/>
        </w:rPr>
        <w:t xml:space="preserve"> javnem naročanju </w:t>
      </w:r>
      <w:r w:rsidR="001B55B5" w:rsidRPr="00453397">
        <w:rPr>
          <w:b/>
          <w:lang w:val="sl-SI"/>
        </w:rPr>
        <w:t xml:space="preserve"> </w:t>
      </w:r>
      <w:r w:rsidR="00070308" w:rsidRPr="00453397">
        <w:rPr>
          <w:b/>
          <w:lang w:val="sl-SI"/>
        </w:rPr>
        <w:t>(ZJN-3B)</w:t>
      </w:r>
    </w:p>
    <w:p w14:paraId="373CF8B0" w14:textId="63461045" w:rsidR="00070308" w:rsidRPr="00453397" w:rsidRDefault="00070308" w:rsidP="001B55B5">
      <w:pPr>
        <w:autoSpaceDE w:val="0"/>
        <w:autoSpaceDN w:val="0"/>
        <w:jc w:val="both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>Uporabnike obveščamo, da je Državni zbor Republike Slovenije dne 13.</w:t>
      </w:r>
      <w:r w:rsidR="00806D3C">
        <w:rPr>
          <w:color w:val="auto"/>
          <w:kern w:val="0"/>
          <w:lang w:val="sl-SI"/>
          <w14:ligatures w14:val="none"/>
        </w:rPr>
        <w:t xml:space="preserve"> </w:t>
      </w:r>
      <w:r w:rsidRPr="00453397">
        <w:rPr>
          <w:color w:val="auto"/>
          <w:kern w:val="0"/>
          <w:lang w:val="sl-SI"/>
          <w14:ligatures w14:val="none"/>
        </w:rPr>
        <w:t>7.</w:t>
      </w:r>
      <w:r w:rsidR="00806D3C">
        <w:rPr>
          <w:color w:val="auto"/>
          <w:kern w:val="0"/>
          <w:lang w:val="sl-SI"/>
          <w14:ligatures w14:val="none"/>
        </w:rPr>
        <w:t xml:space="preserve"> </w:t>
      </w:r>
      <w:r w:rsidRPr="00453397">
        <w:rPr>
          <w:color w:val="auto"/>
          <w:kern w:val="0"/>
          <w:lang w:val="sl-SI"/>
          <w14:ligatures w14:val="none"/>
        </w:rPr>
        <w:t xml:space="preserve">2021 sprejel Zakon o spremembah in dopolnitvah </w:t>
      </w:r>
      <w:r w:rsidR="002A102F">
        <w:rPr>
          <w:color w:val="auto"/>
          <w:kern w:val="0"/>
          <w:lang w:val="sl-SI"/>
          <w14:ligatures w14:val="none"/>
        </w:rPr>
        <w:t>Z</w:t>
      </w:r>
      <w:r w:rsidRPr="00453397">
        <w:rPr>
          <w:color w:val="auto"/>
          <w:kern w:val="0"/>
          <w:lang w:val="sl-SI"/>
          <w14:ligatures w14:val="none"/>
        </w:rPr>
        <w:t xml:space="preserve">akona o javnem naročanju (Uradni list RS, </w:t>
      </w:r>
      <w:r w:rsidRPr="0042264D">
        <w:rPr>
          <w:color w:val="auto"/>
          <w:kern w:val="0"/>
          <w:lang w:val="sl-SI"/>
          <w14:ligatures w14:val="none"/>
        </w:rPr>
        <w:t>št. 1</w:t>
      </w:r>
      <w:r w:rsidR="0042264D" w:rsidRPr="0042264D">
        <w:rPr>
          <w:color w:val="auto"/>
          <w:kern w:val="0"/>
          <w:lang w:val="sl-SI"/>
          <w14:ligatures w14:val="none"/>
        </w:rPr>
        <w:t>21</w:t>
      </w:r>
      <w:r w:rsidRPr="0042264D">
        <w:rPr>
          <w:color w:val="auto"/>
          <w:kern w:val="0"/>
          <w:lang w:val="sl-SI"/>
          <w14:ligatures w14:val="none"/>
        </w:rPr>
        <w:t>/2</w:t>
      </w:r>
      <w:r w:rsidR="0042264D" w:rsidRPr="0042264D">
        <w:rPr>
          <w:color w:val="auto"/>
          <w:kern w:val="0"/>
          <w:lang w:val="sl-SI"/>
          <w14:ligatures w14:val="none"/>
        </w:rPr>
        <w:t>1</w:t>
      </w:r>
      <w:r w:rsidRPr="00453397">
        <w:rPr>
          <w:color w:val="auto"/>
          <w:kern w:val="0"/>
          <w:lang w:val="sl-SI"/>
          <w14:ligatures w14:val="none"/>
        </w:rPr>
        <w:t>)</w:t>
      </w:r>
      <w:r w:rsidR="00453397">
        <w:rPr>
          <w:color w:val="auto"/>
          <w:kern w:val="0"/>
          <w:lang w:val="sl-SI"/>
          <w14:ligatures w14:val="none"/>
        </w:rPr>
        <w:t xml:space="preserve">, ki se začne uporabljati </w:t>
      </w:r>
      <w:r w:rsidR="00453397" w:rsidRPr="00684170">
        <w:rPr>
          <w:color w:val="auto"/>
          <w:kern w:val="0"/>
          <w:u w:val="single"/>
          <w:lang w:val="sl-SI"/>
          <w14:ligatures w14:val="none"/>
        </w:rPr>
        <w:t>1. januarja 2022</w:t>
      </w:r>
      <w:r w:rsidR="00453397">
        <w:rPr>
          <w:color w:val="auto"/>
          <w:kern w:val="0"/>
          <w:lang w:val="sl-SI"/>
          <w14:ligatures w14:val="none"/>
        </w:rPr>
        <w:t>.</w:t>
      </w:r>
    </w:p>
    <w:p w14:paraId="35778684" w14:textId="165303C3" w:rsidR="00453397" w:rsidRPr="00453397" w:rsidRDefault="00453397" w:rsidP="001B55B5">
      <w:pPr>
        <w:autoSpaceDE w:val="0"/>
        <w:autoSpaceDN w:val="0"/>
        <w:jc w:val="both"/>
        <w:rPr>
          <w:color w:val="auto"/>
          <w:kern w:val="0"/>
          <w:lang w:val="sl-SI"/>
          <w14:ligatures w14:val="none"/>
        </w:rPr>
      </w:pPr>
      <w:r>
        <w:rPr>
          <w:color w:val="auto"/>
          <w:kern w:val="0"/>
          <w:lang w:val="sl-SI"/>
          <w14:ligatures w14:val="none"/>
        </w:rPr>
        <w:t>V nadaljevanju na kratko povzemamo bistvene spremembe, ki jih prinaša ZJN-3B:</w:t>
      </w:r>
    </w:p>
    <w:p w14:paraId="200701FB" w14:textId="225EAF31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color w:val="auto"/>
          <w:lang w:val="sl-SI"/>
        </w:rPr>
        <w:t>Dvig mejnih vrednosti za uporabo zakona na splošnem področju (kot veljajo že s PKP zakoni namesto 20.000 za blago/storitve na 40.000 in za gradnje iz 40.000 na 80.000)</w:t>
      </w:r>
      <w:r w:rsidR="00806D3C" w:rsidRPr="0088653B">
        <w:rPr>
          <w:color w:val="auto"/>
          <w:lang w:val="sl-SI"/>
        </w:rPr>
        <w:t>.</w:t>
      </w:r>
      <w:r w:rsidRPr="0088653B">
        <w:rPr>
          <w:color w:val="auto"/>
          <w:lang w:val="sl-SI"/>
        </w:rPr>
        <w:t xml:space="preserve"> </w:t>
      </w:r>
    </w:p>
    <w:p w14:paraId="47E3BBAC" w14:textId="465768DD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color w:val="auto"/>
          <w:lang w:val="sl-SI"/>
        </w:rPr>
        <w:t>Možnost izvedbe nacionalnega postopka NMV do EU pragov (do 5.350.000 eurov tudi pri gradnjah</w:t>
      </w:r>
      <w:r w:rsidR="00806D3C" w:rsidRPr="0088653B">
        <w:rPr>
          <w:color w:val="auto"/>
          <w:lang w:val="sl-SI"/>
        </w:rPr>
        <w:t>)</w:t>
      </w:r>
      <w:r w:rsidRPr="0088653B">
        <w:rPr>
          <w:color w:val="auto"/>
          <w:lang w:val="sl-SI"/>
        </w:rPr>
        <w:t>.</w:t>
      </w:r>
    </w:p>
    <w:p w14:paraId="06A39446" w14:textId="63C78AB5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rFonts w:cs="Arial"/>
          <w:color w:val="auto"/>
          <w:lang w:val="sl-SI"/>
        </w:rPr>
      </w:pPr>
      <w:r w:rsidRPr="0088653B">
        <w:rPr>
          <w:color w:val="auto"/>
          <w:lang w:val="sl-SI"/>
        </w:rPr>
        <w:t xml:space="preserve">Nove izjeme, vendar le do EU pragov: naročanje hrane, naročanje blaga za nadaljnjo prodajo, za protokolarne namene v smislu promocije RS in za obvezne storitve revidiranja  – za te izjeme pa velja, da jih štejemo kot evidenčna naročila, torej poročanje o njih bo obvezno, pri živilih pa bo veljala tudi Uredba o zelenem javnem naročanju. </w:t>
      </w:r>
    </w:p>
    <w:p w14:paraId="4C7BEC4A" w14:textId="77777777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rFonts w:cs="Arial"/>
          <w:color w:val="auto"/>
          <w:lang w:val="sl-SI"/>
        </w:rPr>
      </w:pPr>
      <w:r w:rsidRPr="0088653B">
        <w:rPr>
          <w:color w:val="auto"/>
          <w:lang w:val="sl-SI"/>
        </w:rPr>
        <w:t>Naročanje storitev Pravnega svetovanja se umešča v sistem naročanja (doslej je bilo do 750.000 eur  izvzeto iz sistema).</w:t>
      </w:r>
    </w:p>
    <w:p w14:paraId="4924A8D3" w14:textId="77777777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color w:val="auto"/>
          <w:lang w:val="sl-SI"/>
        </w:rPr>
        <w:t>Povečanje transparentnosti: obvezna objava celotne dokumentacije izključno na portalu javnih naročil (razen v delih, kjer to zaradi narave datotek ni mogoče) in objava vseh odločitev o oddaji javnih naročil, tudi tistih, ki se oddajo v postopkih s pogajanji brez predhodne objave, ki so se doslej pošiljale po ZUP-u in niso bile javno objavljene.</w:t>
      </w:r>
    </w:p>
    <w:p w14:paraId="1E6D8D9B" w14:textId="08FDE76F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rFonts w:cs="Arial"/>
          <w:color w:val="auto"/>
          <w:lang w:val="sl-SI"/>
        </w:rPr>
        <w:t xml:space="preserve">Oblikovana je določba za primer morebitnega nedelovanja sistema za e-oddajo ponudb – zato kljub morebitnim tehničnim težavam sistema zdaj te težave ne bodo ogrozile enakopravne obravnave ponudnikov niti izvedbe postopka javnega naročanja. </w:t>
      </w:r>
    </w:p>
    <w:p w14:paraId="0FA441DA" w14:textId="19825168" w:rsidR="00806D3C" w:rsidRPr="0088653B" w:rsidRDefault="00806D3C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rFonts w:cs="Arial"/>
          <w:color w:val="auto"/>
          <w:lang w:val="sl-SI"/>
        </w:rPr>
        <w:t>Ukinjeno poročanje o izvajanju okvirnih sporazumov.</w:t>
      </w:r>
    </w:p>
    <w:p w14:paraId="6BDE3CD0" w14:textId="77777777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color w:val="auto"/>
          <w:lang w:val="sl-SI"/>
        </w:rPr>
        <w:t>Prožnejši je način dopuščanja popravkov oz. dopolnjevanja ponudb.</w:t>
      </w:r>
    </w:p>
    <w:p w14:paraId="47CFD8AB" w14:textId="77777777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color w:val="auto"/>
          <w:lang w:val="sl-SI"/>
        </w:rPr>
        <w:t xml:space="preserve">Urejen način dokazovanja nekaznovanosti (dopuščen 7 mesečni starostni  razpon potrdil), zaradi česar se razbremenjuje ponudnike, ki morajo danes v postopku predložiti notarska potrdila. </w:t>
      </w:r>
    </w:p>
    <w:p w14:paraId="0BB8018C" w14:textId="79212E66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color w:val="auto"/>
          <w:lang w:val="sl-SI"/>
        </w:rPr>
        <w:t xml:space="preserve">Jasen zapis, da je presoja o sprejemu neobičajno nizke ponudbe v diskreciji naročnika. </w:t>
      </w:r>
    </w:p>
    <w:p w14:paraId="2D202124" w14:textId="77777777" w:rsidR="00453397" w:rsidRPr="0088653B" w:rsidRDefault="00453397" w:rsidP="00806D3C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 w:rsidRPr="0088653B">
        <w:rPr>
          <w:color w:val="auto"/>
          <w:lang w:val="sl-SI"/>
        </w:rPr>
        <w:t xml:space="preserve">Razširjen nabor prekrškov (npr. prekršek za naročnika, če ne upošteva dodatnih meril poleg cene, kjer je to obvezno oz. prekršek za ponudnika, če dela na gradbišču s podizvajalci, za katere naročnik ne ve in jih ni odobril). </w:t>
      </w:r>
    </w:p>
    <w:p w14:paraId="005034D2" w14:textId="778E16D4" w:rsidR="00453397" w:rsidRPr="00453397" w:rsidRDefault="00C56030" w:rsidP="001B55B5">
      <w:pPr>
        <w:autoSpaceDE w:val="0"/>
        <w:autoSpaceDN w:val="0"/>
        <w:jc w:val="both"/>
        <w:rPr>
          <w:color w:val="auto"/>
          <w:kern w:val="0"/>
          <w:lang w:val="sl-SI"/>
          <w14:ligatures w14:val="none"/>
        </w:rPr>
      </w:pPr>
      <w:r>
        <w:rPr>
          <w:color w:val="auto"/>
          <w:kern w:val="0"/>
          <w:lang w:val="sl-SI"/>
          <w14:ligatures w14:val="none"/>
        </w:rPr>
        <w:t xml:space="preserve">Direktorat za javno naročanje bo jeseni </w:t>
      </w:r>
      <w:r w:rsidR="00925CB7">
        <w:rPr>
          <w:color w:val="auto"/>
          <w:kern w:val="0"/>
          <w:lang w:val="sl-SI"/>
          <w14:ligatures w14:val="none"/>
        </w:rPr>
        <w:t xml:space="preserve">(predvidoma septembra) </w:t>
      </w:r>
      <w:r>
        <w:rPr>
          <w:color w:val="auto"/>
          <w:kern w:val="0"/>
          <w:lang w:val="sl-SI"/>
          <w14:ligatures w14:val="none"/>
        </w:rPr>
        <w:t xml:space="preserve">organiziral </w:t>
      </w:r>
      <w:r w:rsidRPr="00684170">
        <w:rPr>
          <w:color w:val="auto"/>
          <w:kern w:val="0"/>
          <w:u w:val="single"/>
          <w:lang w:val="sl-SI"/>
          <w14:ligatures w14:val="none"/>
        </w:rPr>
        <w:t>brezplačne predstavitve ZJN-3B</w:t>
      </w:r>
      <w:r>
        <w:rPr>
          <w:color w:val="auto"/>
          <w:kern w:val="0"/>
          <w:lang w:val="sl-SI"/>
          <w14:ligatures w14:val="none"/>
        </w:rPr>
        <w:t xml:space="preserve">, o terminih in načinu izvedbe vas bomo obvestili preko tovrstnih novic in v rubriki Izobraževanja na spletni strani </w:t>
      </w:r>
      <w:r w:rsidR="005E2F3E">
        <w:fldChar w:fldCharType="begin"/>
      </w:r>
      <w:r w:rsidR="005E2F3E" w:rsidRPr="005E2F3E">
        <w:rPr>
          <w:lang w:val="sl-SI"/>
        </w:rPr>
        <w:instrText xml:space="preserve"> HYPERLINK "https://ejn.gov.si/direktorat/izobrazevanja.html" </w:instrText>
      </w:r>
      <w:r w:rsidR="005E2F3E">
        <w:fldChar w:fldCharType="separate"/>
      </w:r>
      <w:r w:rsidRPr="006B4673">
        <w:rPr>
          <w:rStyle w:val="Hiperpovezava"/>
          <w:kern w:val="0"/>
          <w:lang w:val="sl-SI"/>
          <w14:ligatures w14:val="none"/>
        </w:rPr>
        <w:t>https://ejn.gov.si/direktorat/izobrazevanja.html</w:t>
      </w:r>
      <w:r w:rsidR="005E2F3E">
        <w:rPr>
          <w:rStyle w:val="Hiperpovezava"/>
          <w:kern w:val="0"/>
          <w:lang w:val="sl-SI"/>
          <w14:ligatures w14:val="none"/>
        </w:rPr>
        <w:fldChar w:fldCharType="end"/>
      </w:r>
      <w:r>
        <w:rPr>
          <w:color w:val="auto"/>
          <w:kern w:val="0"/>
          <w:lang w:val="sl-SI"/>
          <w14:ligatures w14:val="none"/>
        </w:rPr>
        <w:t xml:space="preserve">.  </w:t>
      </w:r>
    </w:p>
    <w:p w14:paraId="3C81BFA8" w14:textId="763FE846" w:rsidR="00B30AE5" w:rsidRPr="00453397" w:rsidRDefault="00070308" w:rsidP="00070308">
      <w:pPr>
        <w:pStyle w:val="Naslovstika"/>
        <w:spacing w:line="276" w:lineRule="auto"/>
        <w:rPr>
          <w:b/>
          <w:lang w:val="sl-SI"/>
        </w:rPr>
      </w:pPr>
      <w:r w:rsidRPr="00453397">
        <w:rPr>
          <w:b/>
          <w:lang w:val="sl-SI"/>
        </w:rPr>
        <w:t>NOVO – Uredba o spremembah in dopolnitvah Uredbe o zelenem javnem naročanju</w:t>
      </w:r>
    </w:p>
    <w:p w14:paraId="6345DEE5" w14:textId="6644D445" w:rsidR="00070308" w:rsidRDefault="00070308" w:rsidP="00C163E4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</w:pPr>
      <w:r w:rsidRPr="0045339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Uporabnike obveščamo, da je</w:t>
      </w:r>
      <w:r w:rsidR="00C163E4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Vlada Republike Slovenije dne 22. 7. 2021 sprejela Uredbo o spremembah in dopolnitvah Uredbe o zelenem javnem naročanju</w:t>
      </w:r>
      <w:r w:rsidR="0042264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</w:t>
      </w:r>
      <w:r w:rsidR="0042264D" w:rsidRPr="0042264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(Uradni list RS, št. 121/21)</w:t>
      </w:r>
      <w:r w:rsidR="002A102F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. Veljati bo </w:t>
      </w:r>
      <w:r w:rsidR="00C163E4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začela 15 dni po objavi. </w:t>
      </w:r>
    </w:p>
    <w:p w14:paraId="6755ABF5" w14:textId="50AF362B" w:rsidR="006D4B60" w:rsidRPr="003B5A3D" w:rsidRDefault="006D4B60" w:rsidP="006D4B60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</w:pP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Prvenstveno se s predlaganimi spremembami in dopolnitvami Uredbe o zelenem javnem naročanju</w:t>
      </w:r>
      <w:r w:rsidR="00925CB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(Uredba o </w:t>
      </w:r>
      <w:proofErr w:type="spellStart"/>
      <w:r w:rsidR="00925CB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ZeJN</w:t>
      </w:r>
      <w:proofErr w:type="spellEnd"/>
      <w:r w:rsidR="00925CB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)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v pravni red RS prenaša Direktiva EU 2019/1161 - </w:t>
      </w: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Direktiva o spodbujanju čistih in energetsko učinkovitih vozil za cestni prevoz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. 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S spremembo Uredbe o </w:t>
      </w:r>
      <w:proofErr w:type="spellStart"/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ZeJN</w:t>
      </w:r>
      <w:proofErr w:type="spellEnd"/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, vezane na vozila, se </w:t>
      </w:r>
      <w:r w:rsidR="000F4597" w:rsidRP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spreminj</w:t>
      </w:r>
      <w:r w:rsidR="000F459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ajo</w:t>
      </w:r>
      <w:r w:rsidR="00E724AD" w:rsidRP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tehničn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i</w:t>
      </w:r>
      <w:r w:rsidR="00E724AD" w:rsidRP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pogoj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i</w:t>
      </w:r>
      <w:r w:rsidR="00E724AD" w:rsidRP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pri naročanju vozil, ki se skladno z direktivo imenujejo »čista vozila« ter »</w:t>
      </w:r>
      <w:proofErr w:type="spellStart"/>
      <w:r w:rsidR="00E724AD" w:rsidRP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brezemisijska</w:t>
      </w:r>
      <w:proofErr w:type="spellEnd"/>
      <w:r w:rsidR="00E724AD" w:rsidRP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vozila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«. Prav tako se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predmet »Cestna vozila« razširja tudi na nekatere storitve prevoza (</w:t>
      </w: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poštne in kurirske dejavnosti (prevoz pošte po cesti, poštna dostava, prevoz paketov, dostava paketov),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</w:t>
      </w: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komunalne dejavnosti (storitve zbiranja odpadkov),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</w:t>
      </w: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storitve javnega cestnega prevoza (javni prevoz, ki se ne izvajajo kot gospodarska javna služba), 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in </w:t>
      </w: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cestni potniški prevoz za posebne namene, izredni potniški prevoz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). Vsled navedenega 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je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predmet 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preimenovan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v »</w:t>
      </w:r>
      <w:bookmarkStart w:id="1" w:name="_Hlk77764892"/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Vozila za cestni prevoz in storitve prevoza</w:t>
      </w:r>
      <w:bookmarkEnd w:id="1"/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«. Za ta predmet zelenega javnega naročanja se v skladu z Direktivo 2019/1161 določajo tudi novi, drugačni cilji, in sicer so ti opredeljeni v Prilogi 2 Uredbe o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ZeJN</w:t>
      </w:r>
      <w:proofErr w:type="spellEnd"/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. Priloga 2 poleg ciljev in pogojev na področju javnega naročanja čistih in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brezemisijskih</w:t>
      </w:r>
      <w:proofErr w:type="spellEnd"/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vozil za cestni prevoz opredeljuje tudi pojme in področje uporabe </w:t>
      </w:r>
      <w:r w:rsidR="000F459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ter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o</w:t>
      </w: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predelitev mejnih vrednosti emisij za čista lahka vozila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.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</w:t>
      </w:r>
      <w:r w:rsidR="000F459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Še vedno lahko </w:t>
      </w:r>
      <w:r w:rsidR="000F459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lastRenderedPageBreak/>
        <w:t>n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aročnik v primeru naročanja tega predmeta zelenega javnega naročila javno naročilo odda brez upoštevanja ciljev iz Uredbe o </w:t>
      </w:r>
      <w:proofErr w:type="spellStart"/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ZeJN</w:t>
      </w:r>
      <w:proofErr w:type="spellEnd"/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, vendar mora poleg navedbe razloga za uporabo izjeme 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navesti tudi načrt naročil v prihodnjem obdobju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, iz katerega morajo biti razvidni predvideno število vseh vozil, predvideno število čistih in </w:t>
      </w:r>
      <w:proofErr w:type="spellStart"/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brezemisijskih</w:t>
      </w:r>
      <w:proofErr w:type="spellEnd"/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vozil po kategorijah ter dinamika bodočih javnih naročil znotraj referenčnega obdobja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. V zvezi s predmetom »</w:t>
      </w:r>
      <w:r w:rsidR="003B5A3D"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Vozila za cestni prevoz in storitve prevoza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« se briše tudi zahteva po uporabi 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Metodologij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e 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za oceno operativnih stroškov v življenjski dobi vozila 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kot 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meril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a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za oddajo javnega naročila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.</w:t>
      </w:r>
    </w:p>
    <w:p w14:paraId="788F4779" w14:textId="2C0DA026" w:rsidR="00C163E4" w:rsidRDefault="006D4B60" w:rsidP="00070308">
      <w:pPr>
        <w:pStyle w:val="Naslovstika"/>
        <w:spacing w:line="276" w:lineRule="auto"/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</w:pP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V nadaljevanju na kratko povzemamo </w:t>
      </w:r>
      <w:r w:rsidR="00E724A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ostale </w:t>
      </w:r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bistvene spremembe, ki jih prinaša 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Uredba o </w:t>
      </w:r>
      <w:proofErr w:type="spellStart"/>
      <w:r w:rsidR="00925CB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ZeJN</w:t>
      </w:r>
      <w:proofErr w:type="spellEnd"/>
      <w:r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:</w:t>
      </w:r>
    </w:p>
    <w:p w14:paraId="18B9001F" w14:textId="516C1159" w:rsidR="006D4B60" w:rsidRDefault="00E724AD" w:rsidP="006D4B60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>N</w:t>
      </w:r>
      <w:r w:rsidRPr="00E724AD">
        <w:rPr>
          <w:color w:val="auto"/>
          <w:lang w:val="sl-SI"/>
        </w:rPr>
        <w:t>abor stavb, ki so zajete v obstoječem predmetu »Projektiranje in izvedba gradnje stavb«</w:t>
      </w:r>
      <w:r w:rsidR="006D4B60">
        <w:rPr>
          <w:color w:val="auto"/>
          <w:lang w:val="sl-SI"/>
        </w:rPr>
        <w:t xml:space="preserve"> </w:t>
      </w:r>
      <w:r>
        <w:rPr>
          <w:color w:val="auto"/>
          <w:lang w:val="sl-SI"/>
        </w:rPr>
        <w:t xml:space="preserve">se razširja na </w:t>
      </w:r>
      <w:r w:rsidRPr="00E724AD">
        <w:rPr>
          <w:color w:val="auto"/>
          <w:lang w:val="sl-SI"/>
        </w:rPr>
        <w:t>stavbe splošnega družbenega pomena (CC-SI 126</w:t>
      </w:r>
      <w:r w:rsidR="003B5A3D">
        <w:rPr>
          <w:color w:val="auto"/>
          <w:lang w:val="sl-SI"/>
        </w:rPr>
        <w:t xml:space="preserve">, </w:t>
      </w:r>
      <w:r>
        <w:rPr>
          <w:color w:val="auto"/>
          <w:lang w:val="sl-SI"/>
        </w:rPr>
        <w:t>razen S</w:t>
      </w:r>
      <w:r w:rsidRPr="00E724AD">
        <w:rPr>
          <w:color w:val="auto"/>
          <w:lang w:val="sl-SI"/>
        </w:rPr>
        <w:t>tavb za zdravstveno oskrbo (CC-SI 1264 oziroma CC-SI 12640)</w:t>
      </w:r>
      <w:r w:rsidR="003B5A3D">
        <w:rPr>
          <w:color w:val="auto"/>
          <w:lang w:val="sl-SI"/>
        </w:rPr>
        <w:t>)</w:t>
      </w:r>
      <w:r>
        <w:rPr>
          <w:color w:val="auto"/>
          <w:lang w:val="sl-SI"/>
        </w:rPr>
        <w:t xml:space="preserve"> </w:t>
      </w:r>
      <w:r w:rsidRPr="00E724AD">
        <w:rPr>
          <w:color w:val="auto"/>
          <w:lang w:val="sl-SI"/>
        </w:rPr>
        <w:t>in stanovanjske stavbe za posebne družbene skupine (CC-SI 113)</w:t>
      </w:r>
      <w:r>
        <w:rPr>
          <w:color w:val="auto"/>
          <w:lang w:val="sl-SI"/>
        </w:rPr>
        <w:t>.</w:t>
      </w:r>
    </w:p>
    <w:p w14:paraId="03D5FE94" w14:textId="710B10F3" w:rsidR="00E724AD" w:rsidRDefault="00E724AD" w:rsidP="006D4B60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Doda se nov predmet zelenega javnega naročanja »Stavbno pohištvo«, pri čemer stavbno pohištvo pomeni </w:t>
      </w:r>
      <w:r w:rsidRPr="00E724AD">
        <w:rPr>
          <w:color w:val="auto"/>
          <w:lang w:val="sl-SI"/>
        </w:rPr>
        <w:t>okna in notranja vrata</w:t>
      </w:r>
      <w:r>
        <w:rPr>
          <w:color w:val="auto"/>
          <w:lang w:val="sl-SI"/>
        </w:rPr>
        <w:t>.</w:t>
      </w:r>
    </w:p>
    <w:p w14:paraId="50A94D46" w14:textId="51DB9C61" w:rsidR="00E724AD" w:rsidRDefault="00E724AD" w:rsidP="00E724AD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>Doda se nov predmet zelenega javnega naročanja »</w:t>
      </w:r>
      <w:r w:rsidRPr="00E724AD">
        <w:rPr>
          <w:color w:val="auto"/>
          <w:lang w:val="sl-SI"/>
        </w:rPr>
        <w:t>Protihrupna cestna ograja</w:t>
      </w:r>
      <w:r>
        <w:rPr>
          <w:color w:val="auto"/>
          <w:lang w:val="sl-SI"/>
        </w:rPr>
        <w:t>«, pri čemer</w:t>
      </w:r>
      <w:r w:rsidRPr="00E724AD">
        <w:rPr>
          <w:color w:val="auto"/>
          <w:lang w:val="sl-SI"/>
        </w:rPr>
        <w:t xml:space="preserve"> cestna ograja </w:t>
      </w:r>
      <w:r>
        <w:rPr>
          <w:color w:val="auto"/>
          <w:lang w:val="sl-SI"/>
        </w:rPr>
        <w:t xml:space="preserve">pomeni </w:t>
      </w:r>
      <w:r w:rsidRPr="00E724AD">
        <w:rPr>
          <w:color w:val="auto"/>
          <w:lang w:val="sl-SI"/>
        </w:rPr>
        <w:t>ograjo, ki se postavlja ob cestah za zaščito pred hrupom, ki ga povzroča cestni promet</w:t>
      </w:r>
      <w:r>
        <w:rPr>
          <w:color w:val="auto"/>
          <w:lang w:val="sl-SI"/>
        </w:rPr>
        <w:t>.</w:t>
      </w:r>
    </w:p>
    <w:p w14:paraId="0FEA9CD6" w14:textId="0021E88F" w:rsidR="00E724AD" w:rsidRDefault="00E724AD" w:rsidP="006D4B60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Spreminjata se cilja za predmet »Živila in gostinske storitve«, s katerima je natančneje </w:t>
      </w:r>
      <w:r w:rsidRPr="00E724AD">
        <w:rPr>
          <w:color w:val="auto"/>
          <w:lang w:val="sl-SI"/>
        </w:rPr>
        <w:t>opredelj</w:t>
      </w:r>
      <w:r>
        <w:rPr>
          <w:color w:val="auto"/>
          <w:lang w:val="sl-SI"/>
        </w:rPr>
        <w:t>eno</w:t>
      </w:r>
      <w:r w:rsidRPr="00E724AD">
        <w:rPr>
          <w:color w:val="auto"/>
          <w:lang w:val="sl-SI"/>
        </w:rPr>
        <w:t>, da se delež ekoloških živil in živil iz shem kakovosti nanaša na količino, izraženo v kilogramih</w:t>
      </w:r>
      <w:r>
        <w:rPr>
          <w:color w:val="auto"/>
          <w:lang w:val="sl-SI"/>
        </w:rPr>
        <w:t>.</w:t>
      </w:r>
    </w:p>
    <w:p w14:paraId="152DA8C7" w14:textId="2182905B" w:rsidR="00E724AD" w:rsidRPr="00E724AD" w:rsidRDefault="00E724AD" w:rsidP="003B5A3D">
      <w:pPr>
        <w:pStyle w:val="Odstavekseznama"/>
        <w:numPr>
          <w:ilvl w:val="0"/>
          <w:numId w:val="4"/>
        </w:numPr>
        <w:spacing w:after="160" w:line="276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Razširja se nabor </w:t>
      </w:r>
      <w:proofErr w:type="spellStart"/>
      <w:r>
        <w:rPr>
          <w:color w:val="auto"/>
          <w:lang w:val="sl-SI"/>
        </w:rPr>
        <w:t>okoljskih</w:t>
      </w:r>
      <w:proofErr w:type="spellEnd"/>
      <w:r>
        <w:rPr>
          <w:color w:val="auto"/>
          <w:lang w:val="sl-SI"/>
        </w:rPr>
        <w:t xml:space="preserve"> vidikov, ki jih je potrebno upoštevati pri oddaji javnih naročil – pri javnem naročanju je potrebno prednost dati bolj trajnostnim proizvodom, bodisi proizvodom, ki ne vsebujejo plastike ali proizvodom, ki so trajnejše zasnovani in jih je možno večkrat uporabiti.</w:t>
      </w:r>
    </w:p>
    <w:p w14:paraId="6D70F7A9" w14:textId="37E94BA4" w:rsidR="006D4B60" w:rsidRDefault="006D4B60" w:rsidP="00925CB7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</w:pPr>
      <w:r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V pomoč pri 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pripravi javnega naročila za predmet »</w:t>
      </w:r>
      <w:r w:rsidR="003B5A3D" w:rsidRPr="006D4B60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Vozila za cestni prevoz in storitve prevoza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« bodo </w:t>
      </w:r>
      <w:r w:rsidR="000F459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v kratkem 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pripravljeni tudi posodobljeni primeri </w:t>
      </w:r>
      <w:proofErr w:type="spellStart"/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okoljskih</w:t>
      </w:r>
      <w:proofErr w:type="spellEnd"/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zahtev in meril, ki jih naročniki lahko vključijo 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v postopek javnega naročanja, da bi doseg</w:t>
      </w:r>
      <w:r w:rsidR="0088653B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li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cilj iz drugega odstavka 6. člena 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Uredbe o </w:t>
      </w:r>
      <w:proofErr w:type="spellStart"/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ZeJN</w:t>
      </w:r>
      <w:proofErr w:type="spellEnd"/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. Prav tako bodo pripravljeni </w:t>
      </w:r>
      <w:r w:rsidR="000F4597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novi 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primeri </w:t>
      </w:r>
      <w:proofErr w:type="spellStart"/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okoljskih</w:t>
      </w:r>
      <w:proofErr w:type="spellEnd"/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zahtev in meril za dva nova predmeta zelenega javnega naročanja 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»Stavbno pohištvo«</w:t>
      </w:r>
      <w:r w:rsid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in </w:t>
      </w:r>
      <w:r w:rsidR="003B5A3D" w:rsidRPr="003B5A3D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»Protihrupna cestna ograja«</w:t>
      </w:r>
      <w:r w:rsidR="0088653B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. Vsi primeri </w:t>
      </w:r>
      <w:proofErr w:type="spellStart"/>
      <w:r w:rsidR="0088653B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okoljskih</w:t>
      </w:r>
      <w:proofErr w:type="spellEnd"/>
      <w:r w:rsidR="0088653B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zahtev in meril bodo objavljeni na spletni strani </w:t>
      </w:r>
      <w:r w:rsidR="005E2F3E">
        <w:fldChar w:fldCharType="begin"/>
      </w:r>
      <w:r w:rsidR="005E2F3E" w:rsidRPr="005E2F3E">
        <w:rPr>
          <w:lang w:val="it-IT"/>
        </w:rPr>
        <w:instrText xml:space="preserve"> HYPERLINK "https://ejn.gov.si/sistem/zeleno-jn.html" </w:instrText>
      </w:r>
      <w:r w:rsidR="005E2F3E">
        <w:fldChar w:fldCharType="separate"/>
      </w:r>
      <w:r w:rsidR="0088653B" w:rsidRPr="000B5982">
        <w:rPr>
          <w:rStyle w:val="Hiperpovezava"/>
          <w:rFonts w:asciiTheme="minorHAnsi" w:eastAsiaTheme="minorHAnsi" w:hAnsiTheme="minorHAnsi" w:cstheme="minorBidi"/>
          <w:kern w:val="0"/>
          <w:sz w:val="20"/>
          <w:lang w:val="sl-SI"/>
          <w14:ligatures w14:val="none"/>
        </w:rPr>
        <w:t>https://ejn.gov.si/sistem/zeleno-jn.html</w:t>
      </w:r>
      <w:r w:rsidR="005E2F3E">
        <w:rPr>
          <w:rStyle w:val="Hiperpovezava"/>
          <w:rFonts w:asciiTheme="minorHAnsi" w:eastAsiaTheme="minorHAnsi" w:hAnsiTheme="minorHAnsi" w:cstheme="minorBidi"/>
          <w:kern w:val="0"/>
          <w:sz w:val="20"/>
          <w:lang w:val="sl-SI"/>
          <w14:ligatures w14:val="none"/>
        </w:rPr>
        <w:fldChar w:fldCharType="end"/>
      </w:r>
      <w:r w:rsidR="0088653B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.</w:t>
      </w:r>
    </w:p>
    <w:p w14:paraId="1EAA8083" w14:textId="77777777" w:rsidR="00B30AE5" w:rsidRPr="00453397" w:rsidRDefault="00B30AE5" w:rsidP="00B30AE5">
      <w:pPr>
        <w:pStyle w:val="Naslovstika"/>
        <w:rPr>
          <w:b/>
          <w:lang w:val="sl-SI"/>
        </w:rPr>
      </w:pPr>
      <w:r w:rsidRPr="00453397">
        <w:rPr>
          <w:b/>
          <w:lang w:val="sl-SI"/>
        </w:rPr>
        <w:t>NE SPREGLEJTE:</w:t>
      </w:r>
    </w:p>
    <w:p w14:paraId="0E10ECE5" w14:textId="15BC23B4" w:rsidR="00B30AE5" w:rsidRPr="00453397" w:rsidRDefault="00B30AE5" w:rsidP="00B30AE5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Novejš</w:t>
      </w:r>
      <w:r w:rsidR="00070308"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a</w:t>
      </w: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sodb</w:t>
      </w:r>
      <w:r w:rsidR="00070308"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a</w:t>
      </w: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sodišča EU s področja javnega naročanja: </w:t>
      </w:r>
    </w:p>
    <w:p w14:paraId="3F469486" w14:textId="77777777" w:rsidR="00871AB4" w:rsidRPr="00453397" w:rsidRDefault="00871AB4" w:rsidP="00B30AE5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</w:p>
    <w:p w14:paraId="3A5CD5B9" w14:textId="7D26F871" w:rsidR="00B30AE5" w:rsidRDefault="00B30AE5" w:rsidP="00806D3C">
      <w:pPr>
        <w:pStyle w:val="c36centre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v zadevi C-</w:t>
      </w:r>
      <w:r w:rsidR="00070308"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295/20</w:t>
      </w: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z dne </w:t>
      </w:r>
      <w:r w:rsidR="00070308"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8</w:t>
      </w: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. </w:t>
      </w:r>
      <w:r w:rsidR="00070308"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julija</w:t>
      </w: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2021: </w:t>
      </w:r>
    </w:p>
    <w:p w14:paraId="5B160933" w14:textId="3352500D" w:rsidR="00806D3C" w:rsidRDefault="005E2F3E" w:rsidP="00806D3C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hyperlink r:id="rId10" w:history="1">
        <w:r w:rsidR="00806D3C" w:rsidRPr="006B4673">
          <w:rPr>
            <w:rStyle w:val="Hiperpovezava"/>
            <w:rFonts w:asciiTheme="minorHAnsi" w:eastAsiaTheme="minorHAnsi" w:hAnsiTheme="minorHAnsi" w:cstheme="minorBidi"/>
            <w:sz w:val="20"/>
            <w:szCs w:val="20"/>
            <w:lang w:eastAsia="ja-JP"/>
          </w:rPr>
          <w:t>https://curia.europa.eu/juris/document/document.jsf?text=&amp;docid=243869&amp;pageIndex=0&amp;doclang=sl&amp;mode=req&amp;dir=&amp;occ=first&amp;part=1&amp;cid=245990</w:t>
        </w:r>
      </w:hyperlink>
    </w:p>
    <w:p w14:paraId="2E48EAFD" w14:textId="77777777" w:rsidR="00806D3C" w:rsidRPr="00453397" w:rsidRDefault="00806D3C" w:rsidP="00806D3C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</w:p>
    <w:p w14:paraId="75383EA3" w14:textId="4E1DBA4D" w:rsidR="00A27109" w:rsidRPr="00453397" w:rsidRDefault="00BB6D6C" w:rsidP="00D74D4F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453397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453397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6D66E167" w14:textId="074D139D" w:rsidR="00744F17" w:rsidRPr="00453397" w:rsidRDefault="002D0F0E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r w:rsidR="005E2F3E">
        <w:fldChar w:fldCharType="begin"/>
      </w:r>
      <w:r w:rsidR="005E2F3E" w:rsidRPr="005E2F3E">
        <w:rPr>
          <w:lang w:val="sl-SI"/>
        </w:rPr>
        <w:instrText xml:space="preserve"> HYPERLINK "https://ejn.gov.si/direktorat/pomoc-uporabnikom.html" </w:instrText>
      </w:r>
      <w:r w:rsidR="005E2F3E">
        <w:fldChar w:fldCharType="separate"/>
      </w:r>
      <w:r w:rsidR="00B5792F" w:rsidRPr="00453397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5E2F3E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r w:rsidR="005E2F3E">
        <w:fldChar w:fldCharType="begin"/>
      </w:r>
      <w:r w:rsidR="005E2F3E" w:rsidRPr="005E2F3E">
        <w:rPr>
          <w:lang w:val="sl-SI"/>
        </w:rPr>
        <w:instrText xml:space="preserve"> HYPERLINK "https://ejn.gov.si/tehnicna-pomoc" </w:instrText>
      </w:r>
      <w:r w:rsidR="005E2F3E">
        <w:fldChar w:fldCharType="separate"/>
      </w:r>
      <w:r w:rsidRPr="00453397">
        <w:rPr>
          <w:rStyle w:val="Hiperpovezava"/>
          <w:kern w:val="0"/>
          <w:lang w:val="sl-SI"/>
          <w14:ligatures w14:val="none"/>
        </w:rPr>
        <w:t>https://ejn.gov.si/tehnicna-pomoc</w:t>
      </w:r>
      <w:r w:rsidR="005E2F3E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1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4570F751" w14:textId="77777777" w:rsidR="00744F17" w:rsidRPr="00453397" w:rsidRDefault="00744F17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744F17" w:rsidRPr="00453397" w:rsidSect="00AA5B56">
      <w:headerReference w:type="first" r:id="rId12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7CE5"/>
    <w:rsid w:val="0008687C"/>
    <w:rsid w:val="00092E15"/>
    <w:rsid w:val="0009393B"/>
    <w:rsid w:val="0009477B"/>
    <w:rsid w:val="000A3664"/>
    <w:rsid w:val="000A4285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4974"/>
    <w:rsid w:val="000D51C2"/>
    <w:rsid w:val="000E0CE9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6F0F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7114"/>
    <w:rsid w:val="001D56CD"/>
    <w:rsid w:val="001E43CA"/>
    <w:rsid w:val="001F1B98"/>
    <w:rsid w:val="00200335"/>
    <w:rsid w:val="0020556F"/>
    <w:rsid w:val="00207B9F"/>
    <w:rsid w:val="0021467F"/>
    <w:rsid w:val="002153AB"/>
    <w:rsid w:val="00215E9E"/>
    <w:rsid w:val="0022136C"/>
    <w:rsid w:val="00230368"/>
    <w:rsid w:val="002418AC"/>
    <w:rsid w:val="002476DA"/>
    <w:rsid w:val="00253A1A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A3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0C5A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B3D90"/>
    <w:rsid w:val="004B6863"/>
    <w:rsid w:val="004C04A7"/>
    <w:rsid w:val="004C0F6C"/>
    <w:rsid w:val="004C2397"/>
    <w:rsid w:val="004D0863"/>
    <w:rsid w:val="004D378B"/>
    <w:rsid w:val="004E0060"/>
    <w:rsid w:val="004E0AB6"/>
    <w:rsid w:val="004E1786"/>
    <w:rsid w:val="004E2124"/>
    <w:rsid w:val="004E3376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E1EC8"/>
    <w:rsid w:val="005E2F3E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7BFE"/>
    <w:rsid w:val="0067289C"/>
    <w:rsid w:val="006803C9"/>
    <w:rsid w:val="006813C5"/>
    <w:rsid w:val="00684170"/>
    <w:rsid w:val="00685597"/>
    <w:rsid w:val="00691BE7"/>
    <w:rsid w:val="006A08AF"/>
    <w:rsid w:val="006A0D3B"/>
    <w:rsid w:val="006A2366"/>
    <w:rsid w:val="006A5232"/>
    <w:rsid w:val="006A65FD"/>
    <w:rsid w:val="006B4B5C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06D3C"/>
    <w:rsid w:val="008127C4"/>
    <w:rsid w:val="00812971"/>
    <w:rsid w:val="00812B63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71AB4"/>
    <w:rsid w:val="008745E6"/>
    <w:rsid w:val="00877C0B"/>
    <w:rsid w:val="008847DA"/>
    <w:rsid w:val="0088653B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E32B6"/>
    <w:rsid w:val="008E4E1B"/>
    <w:rsid w:val="008F1EE7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575"/>
    <w:rsid w:val="009D7A8F"/>
    <w:rsid w:val="009E7633"/>
    <w:rsid w:val="009F53FD"/>
    <w:rsid w:val="009F721A"/>
    <w:rsid w:val="00A0145D"/>
    <w:rsid w:val="00A06864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C1CEC"/>
    <w:rsid w:val="00AC238D"/>
    <w:rsid w:val="00AC7ED3"/>
    <w:rsid w:val="00AD022B"/>
    <w:rsid w:val="00AD1D43"/>
    <w:rsid w:val="00AD5E4F"/>
    <w:rsid w:val="00AD692B"/>
    <w:rsid w:val="00AE0C18"/>
    <w:rsid w:val="00AE29EC"/>
    <w:rsid w:val="00AE6B18"/>
    <w:rsid w:val="00AE6C03"/>
    <w:rsid w:val="00AF4D0C"/>
    <w:rsid w:val="00B07B71"/>
    <w:rsid w:val="00B30AE5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523"/>
    <w:rsid w:val="00BB6532"/>
    <w:rsid w:val="00BB6D6C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F6470"/>
    <w:rsid w:val="00C03062"/>
    <w:rsid w:val="00C078D4"/>
    <w:rsid w:val="00C119B3"/>
    <w:rsid w:val="00C163E4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7711"/>
    <w:rsid w:val="00D7336F"/>
    <w:rsid w:val="00D74D4F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C325E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07452"/>
    <w:rsid w:val="00E10E46"/>
    <w:rsid w:val="00E1100F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F7F"/>
    <w:rsid w:val="00E66180"/>
    <w:rsid w:val="00E724AD"/>
    <w:rsid w:val="00E769F5"/>
    <w:rsid w:val="00E85D6D"/>
    <w:rsid w:val="00E954AA"/>
    <w:rsid w:val="00E96F22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E2D"/>
    <w:rsid w:val="00FB0AC5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curia.europa.eu/juris/document/document.jsf?text=&amp;docid=243869&amp;pageIndex=0&amp;doclang=sl&amp;mode=req&amp;dir=&amp;occ=first&amp;part=1&amp;cid=2459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156</TotalTime>
  <Pages>2</Pages>
  <Words>1187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junij 2021</vt:lpstr>
      <vt:lpstr/>
    </vt:vector>
  </TitlesOfParts>
  <Company>Ministrstvo za javno upravo, Direktorat za javno naročanje,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julij 2021</dc:title>
  <dc:subject/>
  <dc:creator>Urška Skok Klima</dc:creator>
  <cp:keywords/>
  <dc:description/>
  <cp:lastModifiedBy>Ajda Kostanjšek</cp:lastModifiedBy>
  <cp:revision>12</cp:revision>
  <cp:lastPrinted>2020-12-09T12:38:00Z</cp:lastPrinted>
  <dcterms:created xsi:type="dcterms:W3CDTF">2021-07-20T04:42:00Z</dcterms:created>
  <dcterms:modified xsi:type="dcterms:W3CDTF">2021-08-06T08:40:00Z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