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7E" w:rsidRDefault="00542CD8">
      <w:pPr>
        <w:tabs>
          <w:tab w:val="left" w:pos="7484"/>
          <w:tab w:val="left" w:pos="9653"/>
        </w:tabs>
        <w:ind w:left="10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18"/>
          <w:sz w:val="20"/>
          <w:lang w:val="sl-SI" w:eastAsia="sl-SI" w:bidi="ar-SA"/>
        </w:rPr>
        <w:drawing>
          <wp:inline distT="0" distB="0" distL="0" distR="0" wp14:anchorId="0549D360" wp14:editId="7C3ECBBC">
            <wp:extent cx="1079820" cy="6355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820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8"/>
          <w:sz w:val="20"/>
        </w:rPr>
        <w:tab/>
      </w:r>
      <w:r>
        <w:rPr>
          <w:rFonts w:ascii="Times New Roman"/>
          <w:noProof/>
          <w:sz w:val="20"/>
          <w:lang w:val="sl-SI" w:eastAsia="sl-SI" w:bidi="ar-SA"/>
        </w:rPr>
        <w:drawing>
          <wp:inline distT="0" distB="0" distL="0" distR="0" wp14:anchorId="101ADE8A" wp14:editId="71D815B1">
            <wp:extent cx="1118804" cy="74523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804" cy="7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3"/>
          <w:sz w:val="20"/>
          <w:lang w:val="sl-SI" w:eastAsia="sl-SI" w:bidi="ar-SA"/>
        </w:rPr>
        <w:drawing>
          <wp:inline distT="0" distB="0" distL="0" distR="0" wp14:anchorId="09C52509" wp14:editId="6B2A75F3">
            <wp:extent cx="633756" cy="61845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56" cy="61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27E" w:rsidRDefault="0023627E">
      <w:pPr>
        <w:pStyle w:val="Telobesedila"/>
        <w:spacing w:before="7"/>
        <w:rPr>
          <w:rFonts w:ascii="Times New Roman"/>
          <w:sz w:val="12"/>
        </w:rPr>
      </w:pPr>
    </w:p>
    <w:p w:rsidR="0023627E" w:rsidRDefault="0023627E">
      <w:pPr>
        <w:rPr>
          <w:rFonts w:ascii="Times New Roman"/>
          <w:sz w:val="12"/>
        </w:rPr>
        <w:sectPr w:rsidR="0023627E">
          <w:type w:val="continuous"/>
          <w:pgSz w:w="11910" w:h="16840"/>
          <w:pgMar w:top="680" w:right="440" w:bottom="0" w:left="420" w:header="708" w:footer="708" w:gutter="0"/>
          <w:cols w:space="708"/>
        </w:sectPr>
      </w:pPr>
    </w:p>
    <w:p w:rsidR="0023627E" w:rsidRDefault="00542CD8">
      <w:pPr>
        <w:spacing w:before="27"/>
        <w:ind w:left="2244" w:right="16"/>
        <w:jc w:val="center"/>
        <w:rPr>
          <w:b/>
          <w:sz w:val="36"/>
        </w:rPr>
      </w:pPr>
      <w:r>
        <w:rPr>
          <w:b/>
          <w:sz w:val="36"/>
        </w:rPr>
        <w:t>VABILO</w:t>
      </w:r>
    </w:p>
    <w:p w:rsidR="0023627E" w:rsidRDefault="0023627E">
      <w:pPr>
        <w:pStyle w:val="Telobesedila"/>
        <w:rPr>
          <w:b/>
          <w:sz w:val="36"/>
        </w:rPr>
      </w:pPr>
    </w:p>
    <w:p w:rsidR="0023627E" w:rsidRPr="00D436A1" w:rsidRDefault="00542CD8" w:rsidP="008C0417">
      <w:pPr>
        <w:pStyle w:val="Telobesedila"/>
        <w:spacing w:before="232"/>
        <w:ind w:left="2244" w:right="20"/>
        <w:jc w:val="center"/>
        <w:rPr>
          <w:lang w:val="sl-SI"/>
        </w:rPr>
      </w:pPr>
      <w:r w:rsidRPr="00D436A1">
        <w:rPr>
          <w:lang w:val="sl-SI"/>
        </w:rPr>
        <w:t xml:space="preserve">Ob </w:t>
      </w:r>
      <w:r w:rsidR="000132CC" w:rsidRPr="00D436A1">
        <w:rPr>
          <w:lang w:val="sl-SI"/>
        </w:rPr>
        <w:t xml:space="preserve">dnevu </w:t>
      </w:r>
      <w:r w:rsidRPr="00D436A1">
        <w:rPr>
          <w:lang w:val="sl-SI"/>
        </w:rPr>
        <w:t>Evropske noči raziskovalcev, vas vabimo, da se</w:t>
      </w:r>
    </w:p>
    <w:p w:rsidR="0023627E" w:rsidRPr="00D436A1" w:rsidRDefault="00542CD8" w:rsidP="008C0417">
      <w:pPr>
        <w:pStyle w:val="Naslov1"/>
        <w:spacing w:before="183"/>
        <w:ind w:left="2242"/>
        <w:rPr>
          <w:lang w:val="sl-SI"/>
        </w:rPr>
      </w:pPr>
      <w:r w:rsidRPr="00D436A1">
        <w:rPr>
          <w:color w:val="006FC0"/>
          <w:lang w:val="sl-SI"/>
        </w:rPr>
        <w:t>v petek, 6. novembra 2020</w:t>
      </w:r>
      <w:r w:rsidR="008C0417">
        <w:rPr>
          <w:color w:val="006FC0"/>
          <w:lang w:val="sl-SI"/>
        </w:rPr>
        <w:t>,</w:t>
      </w:r>
      <w:r w:rsidRPr="00D436A1">
        <w:rPr>
          <w:color w:val="006FC0"/>
          <w:lang w:val="sl-SI"/>
        </w:rPr>
        <w:t xml:space="preserve"> </w:t>
      </w:r>
      <w:r w:rsidRPr="00D436A1">
        <w:rPr>
          <w:b w:val="0"/>
          <w:lang w:val="sl-SI"/>
        </w:rPr>
        <w:t xml:space="preserve">ob </w:t>
      </w:r>
      <w:r w:rsidRPr="00D436A1">
        <w:rPr>
          <w:color w:val="006FC0"/>
          <w:lang w:val="sl-SI"/>
        </w:rPr>
        <w:t>11.00 uri</w:t>
      </w:r>
    </w:p>
    <w:p w:rsidR="0023627E" w:rsidRPr="00D436A1" w:rsidRDefault="00542CD8" w:rsidP="008C0417">
      <w:pPr>
        <w:pStyle w:val="Telobesedila"/>
        <w:spacing w:before="183"/>
        <w:ind w:left="2241" w:right="20"/>
        <w:jc w:val="center"/>
        <w:rPr>
          <w:lang w:val="sl-SI"/>
        </w:rPr>
      </w:pPr>
      <w:r w:rsidRPr="00D436A1">
        <w:rPr>
          <w:lang w:val="sl-SI"/>
        </w:rPr>
        <w:t xml:space="preserve">udeležite </w:t>
      </w:r>
      <w:r>
        <w:rPr>
          <w:lang w:val="sl-SI"/>
        </w:rPr>
        <w:t xml:space="preserve">okrogle mize </w:t>
      </w:r>
      <w:r w:rsidRPr="00D436A1">
        <w:rPr>
          <w:lang w:val="sl-SI"/>
        </w:rPr>
        <w:t>z naslovom:</w:t>
      </w:r>
    </w:p>
    <w:p w:rsidR="0023627E" w:rsidRPr="00D436A1" w:rsidRDefault="00542CD8" w:rsidP="008C0417">
      <w:pPr>
        <w:pStyle w:val="Telobesedila"/>
        <w:spacing w:before="6"/>
        <w:jc w:val="center"/>
        <w:rPr>
          <w:sz w:val="17"/>
          <w:lang w:val="sl-SI"/>
        </w:rPr>
      </w:pPr>
      <w:r w:rsidRPr="00D436A1">
        <w:rPr>
          <w:lang w:val="sl-SI"/>
        </w:rPr>
        <w:br w:type="column"/>
      </w:r>
    </w:p>
    <w:p w:rsidR="0023627E" w:rsidRPr="00D436A1" w:rsidRDefault="00542CD8" w:rsidP="008C0417">
      <w:pPr>
        <w:spacing w:line="247" w:lineRule="auto"/>
        <w:ind w:left="122" w:right="375"/>
        <w:jc w:val="center"/>
        <w:rPr>
          <w:sz w:val="16"/>
          <w:lang w:val="sl-SI"/>
        </w:rPr>
      </w:pPr>
      <w:r w:rsidRPr="00D436A1">
        <w:rPr>
          <w:sz w:val="16"/>
          <w:lang w:val="sl-SI"/>
        </w:rPr>
        <w:t>Univerza</w:t>
      </w:r>
      <w:r w:rsidRPr="00D436A1">
        <w:rPr>
          <w:spacing w:val="-4"/>
          <w:sz w:val="16"/>
          <w:lang w:val="sl-SI"/>
        </w:rPr>
        <w:t xml:space="preserve"> </w:t>
      </w:r>
      <w:r w:rsidRPr="00D436A1">
        <w:rPr>
          <w:sz w:val="16"/>
          <w:lang w:val="sl-SI"/>
        </w:rPr>
        <w:t>v</w:t>
      </w:r>
      <w:r w:rsidRPr="00D436A1">
        <w:rPr>
          <w:spacing w:val="-3"/>
          <w:sz w:val="16"/>
          <w:lang w:val="sl-SI"/>
        </w:rPr>
        <w:t xml:space="preserve"> </w:t>
      </w:r>
      <w:r w:rsidRPr="00D436A1">
        <w:rPr>
          <w:sz w:val="16"/>
          <w:lang w:val="sl-SI"/>
        </w:rPr>
        <w:t>Ljubljani</w:t>
      </w:r>
      <w:r w:rsidRPr="00D436A1">
        <w:rPr>
          <w:spacing w:val="-1"/>
          <w:sz w:val="16"/>
          <w:lang w:val="sl-SI"/>
        </w:rPr>
        <w:t xml:space="preserve"> </w:t>
      </w:r>
      <w:r w:rsidRPr="00D436A1">
        <w:rPr>
          <w:sz w:val="16"/>
          <w:lang w:val="sl-SI"/>
        </w:rPr>
        <w:t>Filozofska</w:t>
      </w:r>
      <w:r w:rsidRPr="00D436A1">
        <w:rPr>
          <w:spacing w:val="-10"/>
          <w:sz w:val="16"/>
          <w:lang w:val="sl-SI"/>
        </w:rPr>
        <w:t xml:space="preserve"> </w:t>
      </w:r>
      <w:r w:rsidRPr="00D436A1">
        <w:rPr>
          <w:sz w:val="16"/>
          <w:lang w:val="sl-SI"/>
        </w:rPr>
        <w:t>fakulteta</w:t>
      </w:r>
    </w:p>
    <w:p w:rsidR="0023627E" w:rsidRPr="00D436A1" w:rsidRDefault="00542CD8" w:rsidP="008C0417">
      <w:pPr>
        <w:spacing w:line="185" w:lineRule="exact"/>
        <w:ind w:left="122" w:right="383"/>
        <w:jc w:val="center"/>
        <w:rPr>
          <w:sz w:val="16"/>
          <w:lang w:val="sl-SI"/>
        </w:rPr>
      </w:pPr>
      <w:r w:rsidRPr="00D436A1">
        <w:rPr>
          <w:sz w:val="16"/>
          <w:lang w:val="sl-SI"/>
        </w:rPr>
        <w:t>Aškerčeva 2, 1000</w:t>
      </w:r>
      <w:r w:rsidRPr="00D436A1">
        <w:rPr>
          <w:spacing w:val="-16"/>
          <w:sz w:val="16"/>
          <w:lang w:val="sl-SI"/>
        </w:rPr>
        <w:t xml:space="preserve"> </w:t>
      </w:r>
      <w:r w:rsidRPr="00D436A1">
        <w:rPr>
          <w:sz w:val="16"/>
          <w:lang w:val="sl-SI"/>
        </w:rPr>
        <w:t>Ljubljana</w:t>
      </w:r>
    </w:p>
    <w:p w:rsidR="0023627E" w:rsidRPr="00D436A1" w:rsidRDefault="0023627E" w:rsidP="008C0417">
      <w:pPr>
        <w:pStyle w:val="Telobesedila"/>
        <w:spacing w:before="10"/>
        <w:jc w:val="center"/>
        <w:rPr>
          <w:sz w:val="11"/>
          <w:lang w:val="sl-SI"/>
        </w:rPr>
      </w:pPr>
    </w:p>
    <w:p w:rsidR="0023627E" w:rsidRPr="00D436A1" w:rsidRDefault="00542CD8" w:rsidP="008C0417">
      <w:pPr>
        <w:spacing w:before="1"/>
        <w:ind w:left="122" w:right="382"/>
        <w:jc w:val="center"/>
        <w:rPr>
          <w:sz w:val="16"/>
          <w:lang w:val="sl-SI"/>
        </w:rPr>
      </w:pPr>
      <w:r w:rsidRPr="00D436A1">
        <w:rPr>
          <w:sz w:val="16"/>
          <w:lang w:val="sl-SI"/>
        </w:rPr>
        <w:t>T +386 51 495</w:t>
      </w:r>
      <w:r w:rsidRPr="00D436A1">
        <w:rPr>
          <w:spacing w:val="-10"/>
          <w:sz w:val="16"/>
          <w:lang w:val="sl-SI"/>
        </w:rPr>
        <w:t xml:space="preserve"> </w:t>
      </w:r>
      <w:r w:rsidRPr="00D436A1">
        <w:rPr>
          <w:sz w:val="16"/>
          <w:lang w:val="sl-SI"/>
        </w:rPr>
        <w:t>617</w:t>
      </w:r>
    </w:p>
    <w:p w:rsidR="0023627E" w:rsidRPr="00D436A1" w:rsidRDefault="00542CD8" w:rsidP="008C0417">
      <w:pPr>
        <w:ind w:left="105" w:right="378" w:firstLine="96"/>
        <w:jc w:val="center"/>
        <w:rPr>
          <w:sz w:val="16"/>
          <w:lang w:val="sl-SI"/>
        </w:rPr>
      </w:pPr>
      <w:r w:rsidRPr="00D436A1">
        <w:rPr>
          <w:spacing w:val="-1"/>
          <w:sz w:val="16"/>
          <w:lang w:val="sl-SI"/>
        </w:rPr>
        <w:t xml:space="preserve">noc-raziskovalcev.ff.uni-lj.si </w:t>
      </w:r>
      <w:hyperlink r:id="rId9">
        <w:r w:rsidRPr="00D436A1">
          <w:rPr>
            <w:spacing w:val="-1"/>
            <w:sz w:val="16"/>
            <w:lang w:val="sl-SI"/>
          </w:rPr>
          <w:t>noc.raziskovalcev@ff.uni-lj.si</w:t>
        </w:r>
      </w:hyperlink>
    </w:p>
    <w:p w:rsidR="0023627E" w:rsidRPr="00D436A1" w:rsidRDefault="00AC2013" w:rsidP="008C0417">
      <w:pPr>
        <w:spacing w:before="5" w:line="235" w:lineRule="auto"/>
        <w:ind w:left="1137" w:right="374" w:hanging="140"/>
        <w:jc w:val="center"/>
        <w:rPr>
          <w:sz w:val="16"/>
          <w:lang w:val="sl-SI"/>
        </w:rPr>
      </w:pPr>
      <w:hyperlink r:id="rId10">
        <w:r w:rsidR="00542CD8" w:rsidRPr="00D436A1">
          <w:rPr>
            <w:spacing w:val="-1"/>
            <w:sz w:val="16"/>
            <w:lang w:val="sl-SI"/>
          </w:rPr>
          <w:t>www.ff.uni-lj.si</w:t>
        </w:r>
      </w:hyperlink>
      <w:r w:rsidR="00542CD8" w:rsidRPr="00D436A1">
        <w:rPr>
          <w:spacing w:val="-1"/>
          <w:sz w:val="16"/>
          <w:lang w:val="sl-SI"/>
        </w:rPr>
        <w:t xml:space="preserve"> </w:t>
      </w:r>
      <w:hyperlink r:id="rId11">
        <w:r w:rsidR="00542CD8" w:rsidRPr="00D436A1">
          <w:rPr>
            <w:spacing w:val="-1"/>
            <w:sz w:val="16"/>
            <w:lang w:val="sl-SI"/>
          </w:rPr>
          <w:t>www.uni-lj.si</w:t>
        </w:r>
      </w:hyperlink>
    </w:p>
    <w:p w:rsidR="0023627E" w:rsidRPr="00D436A1" w:rsidRDefault="0023627E" w:rsidP="008C0417">
      <w:pPr>
        <w:spacing w:line="235" w:lineRule="auto"/>
        <w:jc w:val="center"/>
        <w:rPr>
          <w:sz w:val="16"/>
          <w:lang w:val="sl-SI"/>
        </w:rPr>
        <w:sectPr w:rsidR="0023627E" w:rsidRPr="00D436A1">
          <w:type w:val="continuous"/>
          <w:pgSz w:w="11910" w:h="16840"/>
          <w:pgMar w:top="680" w:right="440" w:bottom="0" w:left="420" w:header="708" w:footer="708" w:gutter="0"/>
          <w:cols w:num="2" w:space="708" w:equalWidth="0">
            <w:col w:w="8043" w:space="635"/>
            <w:col w:w="2372"/>
          </w:cols>
        </w:sectPr>
      </w:pPr>
    </w:p>
    <w:p w:rsidR="0023627E" w:rsidRPr="00D436A1" w:rsidRDefault="00542CD8" w:rsidP="008C0417">
      <w:pPr>
        <w:pStyle w:val="Telobesedila"/>
        <w:spacing w:before="10"/>
        <w:jc w:val="center"/>
        <w:rPr>
          <w:sz w:val="10"/>
          <w:lang w:val="sl-SI"/>
        </w:rPr>
      </w:pPr>
      <w:r w:rsidRPr="000132CC">
        <w:rPr>
          <w:noProof/>
          <w:lang w:val="sl-SI" w:eastAsia="sl-SI" w:bidi="ar-SA"/>
        </w:rPr>
        <w:drawing>
          <wp:anchor distT="0" distB="0" distL="0" distR="0" simplePos="0" relativeHeight="251656704" behindDoc="1" locked="0" layoutInCell="1" allowOverlap="1" wp14:anchorId="56FBE782" wp14:editId="18ED465D">
            <wp:simplePos x="0" y="0"/>
            <wp:positionH relativeFrom="page">
              <wp:posOffset>0</wp:posOffset>
            </wp:positionH>
            <wp:positionV relativeFrom="page">
              <wp:posOffset>8564149</wp:posOffset>
            </wp:positionV>
            <wp:extent cx="1347694" cy="212670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694" cy="2126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627E" w:rsidRPr="00D436A1" w:rsidRDefault="00542CD8" w:rsidP="008C0417">
      <w:pPr>
        <w:pStyle w:val="Naslov1"/>
        <w:spacing w:line="259" w:lineRule="auto"/>
        <w:ind w:right="1941"/>
        <w:rPr>
          <w:lang w:val="sl-SI"/>
        </w:rPr>
      </w:pPr>
      <w:r w:rsidRPr="00D436A1">
        <w:rPr>
          <w:lang w:val="sl-SI"/>
        </w:rPr>
        <w:t>Univerza prihodnosti: evropsko akademsko okolje skozi pogled uravnoteženosti spolov in vključevanja ranljivih skupin.</w:t>
      </w:r>
    </w:p>
    <w:p w:rsidR="0023627E" w:rsidRPr="00D436A1" w:rsidRDefault="00542CD8" w:rsidP="008C0417">
      <w:pPr>
        <w:pStyle w:val="Telobesedila"/>
        <w:spacing w:before="160" w:line="259" w:lineRule="auto"/>
        <w:ind w:left="952" w:right="1720" w:firstLine="160"/>
        <w:jc w:val="center"/>
        <w:rPr>
          <w:lang w:val="sl-SI"/>
        </w:rPr>
      </w:pPr>
      <w:r w:rsidRPr="00D436A1">
        <w:rPr>
          <w:lang w:val="sl-SI"/>
        </w:rPr>
        <w:t xml:space="preserve">Letos Univerza v Ljubljani slavi 100-letnico prvega doktorata, ki je bil podeljen prav ženski - Ani Mayer Kansky. Hkrati od leta 2019 Univerza v Ljubljani vodi EU projekt </w:t>
      </w:r>
      <w:r w:rsidRPr="00D436A1">
        <w:rPr>
          <w:color w:val="006FC0"/>
          <w:lang w:val="sl-SI"/>
        </w:rPr>
        <w:t>EUTOPIA</w:t>
      </w:r>
      <w:r w:rsidRPr="00D436A1">
        <w:rPr>
          <w:lang w:val="sl-SI"/>
        </w:rPr>
        <w:t xml:space="preserve">, ki vključuje 6 evropskih univerz s skupno vizijo ustvariti temelje </w:t>
      </w:r>
      <w:r w:rsidRPr="00D436A1">
        <w:rPr>
          <w:color w:val="006FC0"/>
          <w:lang w:val="sl-SI"/>
        </w:rPr>
        <w:t xml:space="preserve">univerze prihodnosti </w:t>
      </w:r>
      <w:r w:rsidRPr="00D436A1">
        <w:rPr>
          <w:lang w:val="sl-SI"/>
        </w:rPr>
        <w:t xml:space="preserve">z odprtim in </w:t>
      </w:r>
      <w:r w:rsidR="000132CC" w:rsidRPr="000132CC">
        <w:rPr>
          <w:lang w:val="sl-SI"/>
        </w:rPr>
        <w:t>vključujočim</w:t>
      </w:r>
      <w:r w:rsidRPr="00D436A1">
        <w:rPr>
          <w:lang w:val="sl-SI"/>
        </w:rPr>
        <w:t xml:space="preserve"> akademskim okoljem. Aktualni družbeni izzivi pandemije pa sedaj postavljajo akademsko okolje pred nove izzive. </w:t>
      </w:r>
      <w:r w:rsidR="000132CC">
        <w:rPr>
          <w:lang w:val="sl-SI"/>
        </w:rPr>
        <w:t>C</w:t>
      </w:r>
      <w:r w:rsidR="000132CC" w:rsidRPr="00D436A1">
        <w:rPr>
          <w:lang w:val="sl-SI"/>
        </w:rPr>
        <w:t xml:space="preserve">ilj </w:t>
      </w:r>
      <w:proofErr w:type="spellStart"/>
      <w:r w:rsidRPr="000132CC">
        <w:t>okrogle</w:t>
      </w:r>
      <w:proofErr w:type="spellEnd"/>
      <w:r w:rsidRPr="000132CC">
        <w:t xml:space="preserve"> </w:t>
      </w:r>
      <w:proofErr w:type="spellStart"/>
      <w:r w:rsidRPr="000132CC">
        <w:t>mize</w:t>
      </w:r>
      <w:proofErr w:type="spellEnd"/>
      <w:r w:rsidRPr="000132CC">
        <w:t xml:space="preserve"> </w:t>
      </w:r>
      <w:r w:rsidR="00182941">
        <w:t xml:space="preserve">je </w:t>
      </w:r>
      <w:r w:rsidRPr="00D436A1">
        <w:rPr>
          <w:lang w:val="sl-SI"/>
        </w:rPr>
        <w:t>osvetliti dobre prakse in kompetence, ki jih mora razviti akademsko okolje v univerzi prihodnosti. Namreč, ravno v</w:t>
      </w:r>
      <w:r w:rsidRPr="00D436A1">
        <w:rPr>
          <w:color w:val="006FC0"/>
          <w:lang w:val="sl-SI"/>
        </w:rPr>
        <w:t xml:space="preserve">ečja senzibilizacija </w:t>
      </w:r>
      <w:r w:rsidRPr="000132CC">
        <w:rPr>
          <w:color w:val="006FC0"/>
          <w:lang w:val="sl-SI"/>
        </w:rPr>
        <w:t>do</w:t>
      </w:r>
      <w:r w:rsidR="000132CC">
        <w:rPr>
          <w:color w:val="006FC0"/>
          <w:lang w:val="sl-SI"/>
        </w:rPr>
        <w:t xml:space="preserve"> </w:t>
      </w:r>
      <w:r w:rsidRPr="000132CC">
        <w:rPr>
          <w:color w:val="006FC0"/>
          <w:lang w:val="sl-SI"/>
        </w:rPr>
        <w:t xml:space="preserve">razvoja karier raziskovalk, </w:t>
      </w:r>
      <w:r w:rsidRPr="00D436A1">
        <w:rPr>
          <w:color w:val="006FC0"/>
          <w:lang w:val="sl-SI"/>
        </w:rPr>
        <w:t xml:space="preserve">profesoric, znanstvenic nato odpira prostor tudi za vključevanje drugih ranljivih skupin. </w:t>
      </w:r>
      <w:r w:rsidRPr="00D436A1">
        <w:rPr>
          <w:lang w:val="sl-SI"/>
        </w:rPr>
        <w:t>Ti cilji sovpadajo tudi s sporočili</w:t>
      </w:r>
      <w:r w:rsidRPr="00D436A1">
        <w:rPr>
          <w:spacing w:val="-37"/>
          <w:lang w:val="sl-SI"/>
        </w:rPr>
        <w:t xml:space="preserve"> </w:t>
      </w:r>
      <w:r w:rsidR="000132CC">
        <w:rPr>
          <w:spacing w:val="-37"/>
          <w:lang w:val="sl-SI"/>
        </w:rPr>
        <w:t xml:space="preserve"> </w:t>
      </w:r>
      <w:r w:rsidRPr="000132CC">
        <w:rPr>
          <w:lang w:val="sl-SI"/>
        </w:rPr>
        <w:t>projekta</w:t>
      </w:r>
      <w:r w:rsidR="000132CC">
        <w:rPr>
          <w:lang w:val="sl-SI"/>
        </w:rPr>
        <w:t xml:space="preserve"> </w:t>
      </w:r>
      <w:r w:rsidRPr="000132CC">
        <w:rPr>
          <w:lang w:val="sl-SI"/>
        </w:rPr>
        <w:t>Evropska noč r</w:t>
      </w:r>
      <w:r w:rsidRPr="00D436A1">
        <w:rPr>
          <w:lang w:val="sl-SI"/>
        </w:rPr>
        <w:t>aziskovalcev</w:t>
      </w:r>
      <w:r w:rsidR="000132CC">
        <w:rPr>
          <w:lang w:val="sl-SI"/>
        </w:rPr>
        <w:t xml:space="preserve"> 2020, »Humanistika, to si ti!«</w:t>
      </w:r>
      <w:r w:rsidRPr="00D436A1">
        <w:rPr>
          <w:lang w:val="sl-SI"/>
        </w:rPr>
        <w:t>.</w:t>
      </w:r>
    </w:p>
    <w:p w:rsidR="0023627E" w:rsidRPr="00D436A1" w:rsidRDefault="00542CD8">
      <w:pPr>
        <w:pStyle w:val="Telobesedila"/>
        <w:spacing w:before="180"/>
        <w:ind w:left="1164" w:right="1941"/>
        <w:jc w:val="center"/>
        <w:rPr>
          <w:lang w:val="sl-SI"/>
        </w:rPr>
      </w:pPr>
      <w:r w:rsidRPr="00D436A1">
        <w:rPr>
          <w:lang w:val="sl-SI"/>
        </w:rPr>
        <w:t xml:space="preserve">Na okrogli mizi, ki bo </w:t>
      </w:r>
      <w:r w:rsidR="000132CC">
        <w:rPr>
          <w:lang w:val="sl-SI"/>
        </w:rPr>
        <w:t xml:space="preserve">potekala </w:t>
      </w:r>
      <w:r w:rsidRPr="00D436A1">
        <w:rPr>
          <w:lang w:val="sl-SI"/>
        </w:rPr>
        <w:t>preko platforme Zoom, bodo sodelovale:</w:t>
      </w:r>
    </w:p>
    <w:p w:rsidR="0023627E" w:rsidRPr="00D436A1" w:rsidRDefault="00D436A1">
      <w:pPr>
        <w:pStyle w:val="Odstavekseznama"/>
        <w:numPr>
          <w:ilvl w:val="0"/>
          <w:numId w:val="3"/>
        </w:numPr>
        <w:tabs>
          <w:tab w:val="left" w:pos="1616"/>
          <w:tab w:val="left" w:pos="1617"/>
        </w:tabs>
        <w:spacing w:before="183"/>
        <w:ind w:right="1671" w:hanging="424"/>
        <w:rPr>
          <w:sz w:val="24"/>
          <w:lang w:val="sl-SI"/>
        </w:rPr>
      </w:pPr>
      <w:r>
        <w:rPr>
          <w:b/>
          <w:sz w:val="24"/>
          <w:lang w:val="sl-SI"/>
        </w:rPr>
        <w:t>p</w:t>
      </w:r>
      <w:r w:rsidR="00542CD8" w:rsidRPr="00D436A1">
        <w:rPr>
          <w:b/>
          <w:sz w:val="24"/>
          <w:lang w:val="sl-SI"/>
        </w:rPr>
        <w:t>rof. dr. Andreja Gomboc</w:t>
      </w:r>
      <w:r w:rsidR="00542CD8" w:rsidRPr="00D436A1">
        <w:rPr>
          <w:sz w:val="24"/>
          <w:lang w:val="sl-SI"/>
        </w:rPr>
        <w:t>, Center za astrofiziko in kozmologijo, Univerza v Novi Gorici, predsednica Komisije za enake možnosti na področju znanosti pri</w:t>
      </w:r>
      <w:r w:rsidR="00542CD8" w:rsidRPr="00D436A1">
        <w:rPr>
          <w:spacing w:val="-27"/>
          <w:sz w:val="24"/>
          <w:lang w:val="sl-SI"/>
        </w:rPr>
        <w:t xml:space="preserve"> </w:t>
      </w:r>
      <w:r w:rsidR="00542CD8" w:rsidRPr="00D436A1">
        <w:rPr>
          <w:sz w:val="24"/>
          <w:lang w:val="sl-SI"/>
        </w:rPr>
        <w:t>MIZŠ</w:t>
      </w:r>
      <w:r>
        <w:rPr>
          <w:sz w:val="24"/>
          <w:lang w:val="sl-SI"/>
        </w:rPr>
        <w:t>,</w:t>
      </w:r>
    </w:p>
    <w:p w:rsidR="0023627E" w:rsidRPr="00D436A1" w:rsidRDefault="0023627E">
      <w:pPr>
        <w:pStyle w:val="Telobesedila"/>
        <w:spacing w:before="2"/>
        <w:rPr>
          <w:lang w:val="sl-SI"/>
        </w:rPr>
      </w:pPr>
    </w:p>
    <w:p w:rsidR="0023627E" w:rsidRPr="00D436A1" w:rsidRDefault="00542CD8">
      <w:pPr>
        <w:pStyle w:val="Odstavekseznama"/>
        <w:numPr>
          <w:ilvl w:val="1"/>
          <w:numId w:val="3"/>
        </w:numPr>
        <w:tabs>
          <w:tab w:val="left" w:pos="1832"/>
          <w:tab w:val="left" w:pos="1833"/>
        </w:tabs>
        <w:ind w:hanging="361"/>
        <w:rPr>
          <w:sz w:val="24"/>
          <w:lang w:val="sl-SI"/>
        </w:rPr>
      </w:pPr>
      <w:r w:rsidRPr="00D436A1">
        <w:rPr>
          <w:b/>
          <w:sz w:val="24"/>
          <w:lang w:val="sl-SI"/>
        </w:rPr>
        <w:t>doc. dr. Tamara Pavasovič Trošt</w:t>
      </w:r>
      <w:r w:rsidRPr="00D436A1">
        <w:rPr>
          <w:sz w:val="24"/>
          <w:lang w:val="sl-SI"/>
        </w:rPr>
        <w:t>, Ekonomska fakulteta, Univerza v</w:t>
      </w:r>
      <w:r w:rsidRPr="00D436A1">
        <w:rPr>
          <w:spacing w:val="-29"/>
          <w:sz w:val="24"/>
          <w:lang w:val="sl-SI"/>
        </w:rPr>
        <w:t xml:space="preserve"> </w:t>
      </w:r>
      <w:r w:rsidRPr="00D436A1">
        <w:rPr>
          <w:sz w:val="24"/>
          <w:lang w:val="sl-SI"/>
        </w:rPr>
        <w:t>Ljubljani</w:t>
      </w:r>
      <w:r w:rsidR="00D436A1">
        <w:rPr>
          <w:sz w:val="24"/>
          <w:lang w:val="sl-SI"/>
        </w:rPr>
        <w:t>,</w:t>
      </w:r>
    </w:p>
    <w:p w:rsidR="0023627E" w:rsidRPr="00D436A1" w:rsidRDefault="0023627E">
      <w:pPr>
        <w:pStyle w:val="Telobesedila"/>
        <w:spacing w:before="10"/>
        <w:rPr>
          <w:sz w:val="23"/>
          <w:lang w:val="sl-SI"/>
        </w:rPr>
      </w:pPr>
    </w:p>
    <w:p w:rsidR="0023627E" w:rsidRPr="00D436A1" w:rsidRDefault="00542CD8">
      <w:pPr>
        <w:pStyle w:val="Odstavekseznama"/>
        <w:numPr>
          <w:ilvl w:val="2"/>
          <w:numId w:val="3"/>
        </w:numPr>
        <w:tabs>
          <w:tab w:val="left" w:pos="3432"/>
          <w:tab w:val="left" w:pos="3433"/>
        </w:tabs>
        <w:rPr>
          <w:sz w:val="24"/>
          <w:lang w:val="sl-SI"/>
        </w:rPr>
      </w:pPr>
      <w:r w:rsidRPr="00D436A1">
        <w:rPr>
          <w:b/>
          <w:sz w:val="24"/>
          <w:lang w:val="sl-SI"/>
        </w:rPr>
        <w:t xml:space="preserve">dr. Romana Jordan, </w:t>
      </w:r>
      <w:r w:rsidRPr="00D436A1">
        <w:rPr>
          <w:sz w:val="24"/>
          <w:lang w:val="sl-SI"/>
        </w:rPr>
        <w:t>Inštitut “Jožef</w:t>
      </w:r>
      <w:r w:rsidRPr="00D436A1">
        <w:rPr>
          <w:spacing w:val="-16"/>
          <w:sz w:val="24"/>
          <w:lang w:val="sl-SI"/>
        </w:rPr>
        <w:t xml:space="preserve"> </w:t>
      </w:r>
      <w:r w:rsidRPr="00D436A1">
        <w:rPr>
          <w:sz w:val="24"/>
          <w:lang w:val="sl-SI"/>
        </w:rPr>
        <w:t>Štefan”</w:t>
      </w:r>
      <w:r w:rsidR="00D436A1">
        <w:rPr>
          <w:sz w:val="24"/>
          <w:lang w:val="sl-SI"/>
        </w:rPr>
        <w:t>,</w:t>
      </w:r>
    </w:p>
    <w:p w:rsidR="0023627E" w:rsidRPr="00D436A1" w:rsidRDefault="0023627E">
      <w:pPr>
        <w:pStyle w:val="Telobesedila"/>
        <w:spacing w:before="2"/>
        <w:rPr>
          <w:lang w:val="sl-SI"/>
        </w:rPr>
      </w:pPr>
    </w:p>
    <w:p w:rsidR="00D436A1" w:rsidRPr="00D436A1" w:rsidRDefault="00D436A1" w:rsidP="00D436A1">
      <w:pPr>
        <w:pStyle w:val="Odstavekseznama"/>
        <w:numPr>
          <w:ilvl w:val="0"/>
          <w:numId w:val="2"/>
        </w:numPr>
        <w:tabs>
          <w:tab w:val="left" w:pos="2048"/>
          <w:tab w:val="left" w:pos="2049"/>
        </w:tabs>
        <w:rPr>
          <w:sz w:val="24"/>
          <w:lang w:val="sl-SI"/>
        </w:rPr>
      </w:pPr>
      <w:r>
        <w:rPr>
          <w:b/>
          <w:sz w:val="24"/>
          <w:lang w:val="sl-SI"/>
        </w:rPr>
        <w:t>p</w:t>
      </w:r>
      <w:r w:rsidR="00542CD8" w:rsidRPr="00D436A1">
        <w:rPr>
          <w:b/>
          <w:sz w:val="24"/>
          <w:lang w:val="sl-SI"/>
        </w:rPr>
        <w:t>rof. dr. Milica Antić – Gaber</w:t>
      </w:r>
      <w:r w:rsidR="00542CD8" w:rsidRPr="00D436A1">
        <w:rPr>
          <w:sz w:val="24"/>
          <w:lang w:val="sl-SI"/>
        </w:rPr>
        <w:t>, Filozofska fakulteta, Univerza v</w:t>
      </w:r>
      <w:r w:rsidR="00542CD8" w:rsidRPr="00D436A1">
        <w:rPr>
          <w:spacing w:val="-27"/>
          <w:sz w:val="24"/>
          <w:lang w:val="sl-SI"/>
        </w:rPr>
        <w:t xml:space="preserve"> </w:t>
      </w:r>
      <w:r w:rsidR="00542CD8" w:rsidRPr="00D436A1">
        <w:rPr>
          <w:sz w:val="24"/>
          <w:lang w:val="sl-SI"/>
        </w:rPr>
        <w:t>Ljubljani</w:t>
      </w:r>
      <w:r>
        <w:rPr>
          <w:sz w:val="24"/>
          <w:lang w:val="sl-SI"/>
        </w:rPr>
        <w:t>,</w:t>
      </w:r>
    </w:p>
    <w:p w:rsidR="0023627E" w:rsidRPr="00D436A1" w:rsidRDefault="00542CD8" w:rsidP="00D436A1">
      <w:pPr>
        <w:pStyle w:val="Odstavekseznama"/>
        <w:numPr>
          <w:ilvl w:val="0"/>
          <w:numId w:val="1"/>
        </w:numPr>
        <w:tabs>
          <w:tab w:val="left" w:pos="359"/>
          <w:tab w:val="left" w:pos="1961"/>
        </w:tabs>
        <w:spacing w:before="159"/>
        <w:ind w:right="417" w:hanging="1961"/>
        <w:jc w:val="center"/>
        <w:rPr>
          <w:sz w:val="24"/>
          <w:lang w:val="sl-SI"/>
        </w:rPr>
      </w:pPr>
      <w:r w:rsidRPr="00D436A1">
        <w:rPr>
          <w:b/>
          <w:sz w:val="24"/>
          <w:lang w:val="sl-SI"/>
        </w:rPr>
        <w:t xml:space="preserve">doc. dr. Petra Videmšek, </w:t>
      </w:r>
      <w:r w:rsidRPr="00D436A1">
        <w:rPr>
          <w:sz w:val="24"/>
          <w:lang w:val="sl-SI"/>
        </w:rPr>
        <w:t>Fakulteta za socialno delo, Univerza v</w:t>
      </w:r>
      <w:r w:rsidRPr="00D436A1">
        <w:rPr>
          <w:spacing w:val="52"/>
          <w:sz w:val="24"/>
          <w:lang w:val="sl-SI"/>
        </w:rPr>
        <w:t xml:space="preserve"> </w:t>
      </w:r>
      <w:r w:rsidRPr="00D436A1">
        <w:rPr>
          <w:sz w:val="24"/>
          <w:lang w:val="sl-SI"/>
        </w:rPr>
        <w:t>Ljubljani</w:t>
      </w:r>
      <w:r w:rsidR="00D436A1">
        <w:rPr>
          <w:sz w:val="24"/>
          <w:lang w:val="sl-SI"/>
        </w:rPr>
        <w:t>.</w:t>
      </w:r>
    </w:p>
    <w:p w:rsidR="0023627E" w:rsidRPr="00D436A1" w:rsidRDefault="00D436A1">
      <w:pPr>
        <w:pStyle w:val="Telobesedila"/>
        <w:spacing w:before="159" w:line="374" w:lineRule="auto"/>
        <w:ind w:left="2081" w:right="2855"/>
        <w:jc w:val="center"/>
        <w:rPr>
          <w:lang w:val="sl-SI"/>
        </w:rPr>
      </w:pPr>
      <w:r w:rsidRPr="00D436A1"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1B112FC" wp14:editId="668A915E">
                <wp:simplePos x="0" y="0"/>
                <wp:positionH relativeFrom="page">
                  <wp:posOffset>4321810</wp:posOffset>
                </wp:positionH>
                <wp:positionV relativeFrom="paragraph">
                  <wp:posOffset>553720</wp:posOffset>
                </wp:positionV>
                <wp:extent cx="38100" cy="101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2EFF8" id="Rectangle 2" o:spid="_x0000_s1026" style="position:absolute;margin-left:340.3pt;margin-top:43.6pt;width:3pt;height: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3hdAIAAPg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" fillcolor="black" stroked="f">
                <w10:wrap anchorx="page"/>
              </v:rect>
            </w:pict>
          </mc:Fallback>
        </mc:AlternateContent>
      </w:r>
      <w:r w:rsidR="00542CD8" w:rsidRPr="00D436A1">
        <w:rPr>
          <w:lang w:val="sl-SI"/>
        </w:rPr>
        <w:t xml:space="preserve">Pogovor bo vodila Jadranka Jezeršek Turnes. Vljudno vabljeni Prijave za dogodek: </w:t>
      </w:r>
      <w:hyperlink r:id="rId13">
        <w:r w:rsidR="00542CD8" w:rsidRPr="00D436A1">
          <w:rPr>
            <w:color w:val="0000FF"/>
            <w:u w:val="single" w:color="0000FF"/>
            <w:lang w:val="sl-SI"/>
          </w:rPr>
          <w:t>TUKAJ</w:t>
        </w:r>
      </w:hyperlink>
      <w:r w:rsidR="00542CD8" w:rsidRPr="00D436A1">
        <w:rPr>
          <w:lang w:val="sl-SI"/>
        </w:rPr>
        <w:t>.</w:t>
      </w:r>
    </w:p>
    <w:p w:rsidR="0023627E" w:rsidRPr="00D436A1" w:rsidRDefault="00542CD8">
      <w:pPr>
        <w:pStyle w:val="Telobesedila"/>
        <w:spacing w:line="369" w:lineRule="auto"/>
        <w:ind w:left="2081" w:right="2855"/>
        <w:jc w:val="center"/>
        <w:rPr>
          <w:lang w:val="sl-SI"/>
        </w:rPr>
      </w:pPr>
      <w:r w:rsidRPr="00D436A1">
        <w:rPr>
          <w:lang w:val="sl-SI"/>
        </w:rPr>
        <w:t>Dva dni pred dogodkom vam bomo poslali link, preko katerega boste lahko spremljali dogodek.</w:t>
      </w:r>
    </w:p>
    <w:p w:rsidR="0023627E" w:rsidRPr="00D436A1" w:rsidRDefault="00542CD8">
      <w:pPr>
        <w:pStyle w:val="Telobesedila"/>
        <w:ind w:left="1162" w:right="1941"/>
        <w:jc w:val="center"/>
        <w:rPr>
          <w:lang w:val="sl-SI"/>
        </w:rPr>
      </w:pPr>
      <w:r w:rsidRPr="00D436A1">
        <w:rPr>
          <w:lang w:val="sl-SI"/>
        </w:rPr>
        <w:t>Dogodek bo preko svojih platform prenašala tudi</w:t>
      </w:r>
    </w:p>
    <w:p w:rsidR="0023627E" w:rsidRPr="008C0417" w:rsidRDefault="00542CD8" w:rsidP="008C0417">
      <w:pPr>
        <w:pStyle w:val="Telobesedila"/>
        <w:spacing w:before="6"/>
        <w:rPr>
          <w:sz w:val="9"/>
          <w:lang w:val="sl-SI"/>
        </w:rPr>
      </w:pPr>
      <w:r w:rsidRPr="000132CC">
        <w:rPr>
          <w:noProof/>
          <w:lang w:val="sl-SI" w:eastAsia="sl-SI" w:bidi="ar-SA"/>
        </w:rPr>
        <w:drawing>
          <wp:anchor distT="0" distB="0" distL="0" distR="0" simplePos="0" relativeHeight="251657728" behindDoc="0" locked="0" layoutInCell="1" allowOverlap="1" wp14:anchorId="61322609" wp14:editId="5BEA14F7">
            <wp:simplePos x="0" y="0"/>
            <wp:positionH relativeFrom="page">
              <wp:posOffset>3273171</wp:posOffset>
            </wp:positionH>
            <wp:positionV relativeFrom="paragraph">
              <wp:posOffset>98938</wp:posOffset>
            </wp:positionV>
            <wp:extent cx="540148" cy="470916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48" cy="470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627E" w:rsidRDefault="00542CD8">
      <w:pPr>
        <w:spacing w:before="191"/>
        <w:ind w:left="1989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 xml:space="preserve">Ta </w:t>
      </w:r>
      <w:proofErr w:type="spellStart"/>
      <w:r>
        <w:rPr>
          <w:rFonts w:ascii="Garamond" w:hAnsi="Garamond"/>
          <w:sz w:val="16"/>
        </w:rPr>
        <w:t>projekt</w:t>
      </w:r>
      <w:proofErr w:type="spellEnd"/>
      <w:r>
        <w:rPr>
          <w:rFonts w:ascii="Garamond" w:hAnsi="Garamond"/>
          <w:sz w:val="16"/>
        </w:rPr>
        <w:t xml:space="preserve"> </w:t>
      </w:r>
      <w:proofErr w:type="spellStart"/>
      <w:r>
        <w:rPr>
          <w:rFonts w:ascii="Garamond" w:hAnsi="Garamond"/>
          <w:sz w:val="16"/>
        </w:rPr>
        <w:t>Evropske</w:t>
      </w:r>
      <w:proofErr w:type="spellEnd"/>
      <w:r>
        <w:rPr>
          <w:rFonts w:ascii="Garamond" w:hAnsi="Garamond"/>
          <w:sz w:val="16"/>
        </w:rPr>
        <w:t xml:space="preserve"> </w:t>
      </w:r>
      <w:proofErr w:type="spellStart"/>
      <w:r>
        <w:rPr>
          <w:rFonts w:ascii="Garamond" w:hAnsi="Garamond"/>
          <w:sz w:val="16"/>
        </w:rPr>
        <w:t>noči</w:t>
      </w:r>
      <w:proofErr w:type="spellEnd"/>
      <w:r>
        <w:rPr>
          <w:rFonts w:ascii="Garamond" w:hAnsi="Garamond"/>
          <w:sz w:val="16"/>
        </w:rPr>
        <w:t xml:space="preserve"> </w:t>
      </w:r>
      <w:proofErr w:type="spellStart"/>
      <w:r>
        <w:rPr>
          <w:rFonts w:ascii="Garamond" w:hAnsi="Garamond"/>
          <w:sz w:val="16"/>
        </w:rPr>
        <w:t>raziskovalcev</w:t>
      </w:r>
      <w:proofErr w:type="spellEnd"/>
      <w:r>
        <w:rPr>
          <w:rFonts w:ascii="Garamond" w:hAnsi="Garamond"/>
          <w:sz w:val="16"/>
        </w:rPr>
        <w:t xml:space="preserve"> je </w:t>
      </w:r>
      <w:proofErr w:type="spellStart"/>
      <w:r>
        <w:rPr>
          <w:rFonts w:ascii="Garamond" w:hAnsi="Garamond"/>
          <w:sz w:val="16"/>
        </w:rPr>
        <w:t>financiran</w:t>
      </w:r>
      <w:proofErr w:type="spellEnd"/>
      <w:r>
        <w:rPr>
          <w:rFonts w:ascii="Garamond" w:hAnsi="Garamond"/>
          <w:sz w:val="16"/>
        </w:rPr>
        <w:t xml:space="preserve"> s </w:t>
      </w:r>
      <w:proofErr w:type="spellStart"/>
      <w:r>
        <w:rPr>
          <w:rFonts w:ascii="Garamond" w:hAnsi="Garamond"/>
          <w:sz w:val="16"/>
        </w:rPr>
        <w:t>strani</w:t>
      </w:r>
      <w:proofErr w:type="spellEnd"/>
      <w:r>
        <w:rPr>
          <w:rFonts w:ascii="Garamond" w:hAnsi="Garamond"/>
          <w:sz w:val="16"/>
        </w:rPr>
        <w:t xml:space="preserve"> </w:t>
      </w:r>
      <w:proofErr w:type="spellStart"/>
      <w:r>
        <w:rPr>
          <w:rFonts w:ascii="Garamond" w:hAnsi="Garamond"/>
          <w:sz w:val="16"/>
        </w:rPr>
        <w:t>Evropske</w:t>
      </w:r>
      <w:proofErr w:type="spellEnd"/>
      <w:r>
        <w:rPr>
          <w:rFonts w:ascii="Garamond" w:hAnsi="Garamond"/>
          <w:sz w:val="16"/>
        </w:rPr>
        <w:t xml:space="preserve"> </w:t>
      </w:r>
      <w:proofErr w:type="spellStart"/>
      <w:r>
        <w:rPr>
          <w:rFonts w:ascii="Garamond" w:hAnsi="Garamond"/>
          <w:sz w:val="16"/>
        </w:rPr>
        <w:t>komisije</w:t>
      </w:r>
      <w:proofErr w:type="spellEnd"/>
      <w:r>
        <w:rPr>
          <w:rFonts w:ascii="Garamond" w:hAnsi="Garamond"/>
          <w:sz w:val="16"/>
        </w:rPr>
        <w:t xml:space="preserve">, Marie </w:t>
      </w:r>
      <w:proofErr w:type="spellStart"/>
      <w:r>
        <w:rPr>
          <w:rFonts w:ascii="Garamond" w:hAnsi="Garamond"/>
          <w:sz w:val="16"/>
        </w:rPr>
        <w:t>Skłodowska</w:t>
      </w:r>
      <w:proofErr w:type="spellEnd"/>
      <w:r>
        <w:rPr>
          <w:rFonts w:ascii="Garamond" w:hAnsi="Garamond"/>
          <w:sz w:val="16"/>
        </w:rPr>
        <w:t xml:space="preserve">-Curie Actions. </w:t>
      </w:r>
      <w:proofErr w:type="spellStart"/>
      <w:r>
        <w:rPr>
          <w:rFonts w:ascii="Garamond" w:hAnsi="Garamond"/>
          <w:sz w:val="16"/>
        </w:rPr>
        <w:t>Projekt</w:t>
      </w:r>
      <w:proofErr w:type="spellEnd"/>
      <w:r>
        <w:rPr>
          <w:rFonts w:ascii="Garamond" w:hAnsi="Garamond"/>
          <w:sz w:val="16"/>
        </w:rPr>
        <w:t xml:space="preserve"> je </w:t>
      </w:r>
      <w:proofErr w:type="spellStart"/>
      <w:r>
        <w:rPr>
          <w:rFonts w:ascii="Garamond" w:hAnsi="Garamond"/>
          <w:sz w:val="16"/>
        </w:rPr>
        <w:t>prejel</w:t>
      </w:r>
      <w:proofErr w:type="spellEnd"/>
      <w:r>
        <w:rPr>
          <w:rFonts w:ascii="Garamond" w:hAnsi="Garamond"/>
          <w:sz w:val="16"/>
        </w:rPr>
        <w:t xml:space="preserve"> </w:t>
      </w:r>
      <w:proofErr w:type="spellStart"/>
      <w:r>
        <w:rPr>
          <w:rFonts w:ascii="Garamond" w:hAnsi="Garamond"/>
          <w:sz w:val="16"/>
        </w:rPr>
        <w:t>sredstva</w:t>
      </w:r>
      <w:proofErr w:type="spellEnd"/>
    </w:p>
    <w:p w:rsidR="0023627E" w:rsidRDefault="00542CD8">
      <w:pPr>
        <w:spacing w:before="16"/>
        <w:ind w:left="1989"/>
        <w:rPr>
          <w:rFonts w:ascii="Garamond" w:hAnsi="Garamond"/>
          <w:sz w:val="16"/>
        </w:rPr>
      </w:pPr>
      <w:proofErr w:type="spellStart"/>
      <w:r>
        <w:rPr>
          <w:rFonts w:ascii="Garamond" w:hAnsi="Garamond"/>
          <w:sz w:val="16"/>
        </w:rPr>
        <w:t>okvirnega</w:t>
      </w:r>
      <w:proofErr w:type="spellEnd"/>
      <w:r>
        <w:rPr>
          <w:rFonts w:ascii="Garamond" w:hAnsi="Garamond"/>
          <w:sz w:val="16"/>
        </w:rPr>
        <w:t xml:space="preserve"> </w:t>
      </w:r>
      <w:proofErr w:type="spellStart"/>
      <w:r>
        <w:rPr>
          <w:rFonts w:ascii="Garamond" w:hAnsi="Garamond"/>
          <w:sz w:val="16"/>
        </w:rPr>
        <w:t>programa</w:t>
      </w:r>
      <w:proofErr w:type="spellEnd"/>
      <w:r>
        <w:rPr>
          <w:rFonts w:ascii="Garamond" w:hAnsi="Garamond"/>
          <w:sz w:val="16"/>
        </w:rPr>
        <w:t xml:space="preserve"> </w:t>
      </w:r>
      <w:proofErr w:type="spellStart"/>
      <w:r>
        <w:rPr>
          <w:rFonts w:ascii="Garamond" w:hAnsi="Garamond"/>
          <w:sz w:val="16"/>
        </w:rPr>
        <w:t>Evropske</w:t>
      </w:r>
      <w:proofErr w:type="spellEnd"/>
      <w:r>
        <w:rPr>
          <w:rFonts w:ascii="Garamond" w:hAnsi="Garamond"/>
          <w:sz w:val="16"/>
        </w:rPr>
        <w:t xml:space="preserve"> </w:t>
      </w:r>
      <w:proofErr w:type="spellStart"/>
      <w:r>
        <w:rPr>
          <w:rFonts w:ascii="Garamond" w:hAnsi="Garamond"/>
          <w:sz w:val="16"/>
        </w:rPr>
        <w:t>unije</w:t>
      </w:r>
      <w:proofErr w:type="spellEnd"/>
      <w:r>
        <w:rPr>
          <w:rFonts w:ascii="Garamond" w:hAnsi="Garamond"/>
          <w:sz w:val="16"/>
        </w:rPr>
        <w:t xml:space="preserve"> </w:t>
      </w:r>
      <w:proofErr w:type="spellStart"/>
      <w:r>
        <w:rPr>
          <w:rFonts w:ascii="Garamond" w:hAnsi="Garamond"/>
          <w:sz w:val="16"/>
        </w:rPr>
        <w:t>za</w:t>
      </w:r>
      <w:proofErr w:type="spellEnd"/>
      <w:r>
        <w:rPr>
          <w:rFonts w:ascii="Garamond" w:hAnsi="Garamond"/>
          <w:sz w:val="16"/>
        </w:rPr>
        <w:t xml:space="preserve"> </w:t>
      </w:r>
      <w:proofErr w:type="spellStart"/>
      <w:r>
        <w:rPr>
          <w:rFonts w:ascii="Garamond" w:hAnsi="Garamond"/>
          <w:sz w:val="16"/>
        </w:rPr>
        <w:t>raziskave</w:t>
      </w:r>
      <w:proofErr w:type="spellEnd"/>
      <w:r>
        <w:rPr>
          <w:rFonts w:ascii="Garamond" w:hAnsi="Garamond"/>
          <w:sz w:val="16"/>
        </w:rPr>
        <w:t xml:space="preserve"> in </w:t>
      </w:r>
      <w:proofErr w:type="spellStart"/>
      <w:r>
        <w:rPr>
          <w:rFonts w:ascii="Garamond" w:hAnsi="Garamond"/>
          <w:sz w:val="16"/>
        </w:rPr>
        <w:t>inovacije</w:t>
      </w:r>
      <w:proofErr w:type="spellEnd"/>
      <w:r>
        <w:rPr>
          <w:rFonts w:ascii="Garamond" w:hAnsi="Garamond"/>
          <w:sz w:val="16"/>
        </w:rPr>
        <w:t xml:space="preserve"> </w:t>
      </w:r>
      <w:proofErr w:type="spellStart"/>
      <w:r>
        <w:rPr>
          <w:rFonts w:ascii="Garamond" w:hAnsi="Garamond"/>
          <w:sz w:val="16"/>
        </w:rPr>
        <w:t>Obzorje</w:t>
      </w:r>
      <w:proofErr w:type="spellEnd"/>
      <w:r>
        <w:rPr>
          <w:rFonts w:ascii="Garamond" w:hAnsi="Garamond"/>
          <w:sz w:val="16"/>
        </w:rPr>
        <w:t xml:space="preserve"> 2020, </w:t>
      </w:r>
      <w:proofErr w:type="spellStart"/>
      <w:r>
        <w:rPr>
          <w:rFonts w:ascii="Garamond" w:hAnsi="Garamond"/>
          <w:sz w:val="16"/>
        </w:rPr>
        <w:t>št</w:t>
      </w:r>
      <w:proofErr w:type="spellEnd"/>
      <w:r>
        <w:rPr>
          <w:rFonts w:ascii="Garamond" w:hAnsi="Garamond"/>
          <w:sz w:val="16"/>
        </w:rPr>
        <w:t xml:space="preserve">. </w:t>
      </w:r>
      <w:proofErr w:type="spellStart"/>
      <w:r>
        <w:rPr>
          <w:rFonts w:ascii="Garamond" w:hAnsi="Garamond"/>
          <w:sz w:val="16"/>
        </w:rPr>
        <w:t>pogodbe</w:t>
      </w:r>
      <w:proofErr w:type="spellEnd"/>
      <w:r>
        <w:rPr>
          <w:rFonts w:ascii="Garamond" w:hAnsi="Garamond"/>
          <w:sz w:val="16"/>
        </w:rPr>
        <w:t xml:space="preserve"> 954337.</w:t>
      </w:r>
    </w:p>
    <w:p w:rsidR="0023627E" w:rsidRDefault="0023627E">
      <w:pPr>
        <w:pStyle w:val="Telobesedila"/>
        <w:spacing w:before="5"/>
        <w:rPr>
          <w:rFonts w:ascii="Garamond"/>
          <w:sz w:val="18"/>
        </w:rPr>
      </w:pPr>
    </w:p>
    <w:p w:rsidR="0023627E" w:rsidRDefault="00542CD8">
      <w:pPr>
        <w:spacing w:before="1" w:line="256" w:lineRule="auto"/>
        <w:ind w:left="1989"/>
        <w:rPr>
          <w:rFonts w:ascii="Garamond" w:hAnsi="Garamond"/>
          <w:sz w:val="16"/>
        </w:rPr>
      </w:pPr>
      <w:proofErr w:type="spellStart"/>
      <w:r>
        <w:rPr>
          <w:rFonts w:ascii="Garamond" w:hAnsi="Garamond"/>
          <w:sz w:val="16"/>
        </w:rPr>
        <w:t>Izvedba</w:t>
      </w:r>
      <w:proofErr w:type="spellEnd"/>
      <w:r>
        <w:rPr>
          <w:rFonts w:ascii="Garamond" w:hAnsi="Garamond"/>
          <w:sz w:val="16"/>
        </w:rPr>
        <w:t xml:space="preserve"> </w:t>
      </w:r>
      <w:proofErr w:type="spellStart"/>
      <w:r>
        <w:rPr>
          <w:rFonts w:ascii="Garamond" w:hAnsi="Garamond"/>
          <w:sz w:val="16"/>
        </w:rPr>
        <w:t>tega</w:t>
      </w:r>
      <w:proofErr w:type="spellEnd"/>
      <w:r>
        <w:rPr>
          <w:rFonts w:ascii="Garamond" w:hAnsi="Garamond"/>
          <w:sz w:val="16"/>
        </w:rPr>
        <w:t xml:space="preserve"> </w:t>
      </w:r>
      <w:proofErr w:type="spellStart"/>
      <w:r>
        <w:rPr>
          <w:rFonts w:ascii="Garamond" w:hAnsi="Garamond"/>
          <w:sz w:val="16"/>
        </w:rPr>
        <w:t>projekta</w:t>
      </w:r>
      <w:proofErr w:type="spellEnd"/>
      <w:r>
        <w:rPr>
          <w:rFonts w:ascii="Garamond" w:hAnsi="Garamond"/>
          <w:sz w:val="16"/>
        </w:rPr>
        <w:t xml:space="preserve"> je </w:t>
      </w:r>
      <w:proofErr w:type="spellStart"/>
      <w:r>
        <w:rPr>
          <w:rFonts w:ascii="Garamond" w:hAnsi="Garamond"/>
          <w:sz w:val="16"/>
        </w:rPr>
        <w:t>financirana</w:t>
      </w:r>
      <w:proofErr w:type="spellEnd"/>
      <w:r>
        <w:rPr>
          <w:rFonts w:ascii="Garamond" w:hAnsi="Garamond"/>
          <w:sz w:val="16"/>
        </w:rPr>
        <w:t xml:space="preserve"> s </w:t>
      </w:r>
      <w:proofErr w:type="spellStart"/>
      <w:r>
        <w:rPr>
          <w:rFonts w:ascii="Garamond" w:hAnsi="Garamond"/>
          <w:sz w:val="16"/>
        </w:rPr>
        <w:t>strani</w:t>
      </w:r>
      <w:proofErr w:type="spellEnd"/>
      <w:r>
        <w:rPr>
          <w:rFonts w:ascii="Garamond" w:hAnsi="Garamond"/>
          <w:sz w:val="16"/>
        </w:rPr>
        <w:t xml:space="preserve"> </w:t>
      </w:r>
      <w:proofErr w:type="spellStart"/>
      <w:r>
        <w:rPr>
          <w:rFonts w:ascii="Garamond" w:hAnsi="Garamond"/>
          <w:sz w:val="16"/>
        </w:rPr>
        <w:t>Evropske</w:t>
      </w:r>
      <w:proofErr w:type="spellEnd"/>
      <w:r>
        <w:rPr>
          <w:rFonts w:ascii="Garamond" w:hAnsi="Garamond"/>
          <w:sz w:val="16"/>
        </w:rPr>
        <w:t xml:space="preserve"> </w:t>
      </w:r>
      <w:proofErr w:type="spellStart"/>
      <w:r>
        <w:rPr>
          <w:rFonts w:ascii="Garamond" w:hAnsi="Garamond"/>
          <w:sz w:val="16"/>
        </w:rPr>
        <w:t>komisije</w:t>
      </w:r>
      <w:proofErr w:type="spellEnd"/>
      <w:r>
        <w:rPr>
          <w:rFonts w:ascii="Garamond" w:hAnsi="Garamond"/>
          <w:sz w:val="16"/>
        </w:rPr>
        <w:t xml:space="preserve">. </w:t>
      </w:r>
      <w:proofErr w:type="spellStart"/>
      <w:r>
        <w:rPr>
          <w:rFonts w:ascii="Garamond" w:hAnsi="Garamond"/>
          <w:sz w:val="16"/>
        </w:rPr>
        <w:t>Vsebina</w:t>
      </w:r>
      <w:proofErr w:type="spellEnd"/>
      <w:r>
        <w:rPr>
          <w:rFonts w:ascii="Garamond" w:hAnsi="Garamond"/>
          <w:sz w:val="16"/>
        </w:rPr>
        <w:t xml:space="preserve"> </w:t>
      </w:r>
      <w:proofErr w:type="spellStart"/>
      <w:r>
        <w:rPr>
          <w:rFonts w:ascii="Garamond" w:hAnsi="Garamond"/>
          <w:sz w:val="16"/>
        </w:rPr>
        <w:t>publikacije</w:t>
      </w:r>
      <w:proofErr w:type="spellEnd"/>
      <w:r>
        <w:rPr>
          <w:rFonts w:ascii="Garamond" w:hAnsi="Garamond"/>
          <w:sz w:val="16"/>
        </w:rPr>
        <w:t xml:space="preserve"> je </w:t>
      </w:r>
      <w:proofErr w:type="spellStart"/>
      <w:r>
        <w:rPr>
          <w:rFonts w:ascii="Garamond" w:hAnsi="Garamond"/>
          <w:sz w:val="16"/>
        </w:rPr>
        <w:t>izključno</w:t>
      </w:r>
      <w:proofErr w:type="spellEnd"/>
      <w:r>
        <w:rPr>
          <w:rFonts w:ascii="Garamond" w:hAnsi="Garamond"/>
          <w:sz w:val="16"/>
        </w:rPr>
        <w:t xml:space="preserve"> </w:t>
      </w:r>
      <w:proofErr w:type="spellStart"/>
      <w:r>
        <w:rPr>
          <w:rFonts w:ascii="Garamond" w:hAnsi="Garamond"/>
          <w:sz w:val="16"/>
        </w:rPr>
        <w:t>odgovornost</w:t>
      </w:r>
      <w:proofErr w:type="spellEnd"/>
      <w:r>
        <w:rPr>
          <w:rFonts w:ascii="Garamond" w:hAnsi="Garamond"/>
          <w:sz w:val="16"/>
        </w:rPr>
        <w:t xml:space="preserve"> </w:t>
      </w:r>
      <w:proofErr w:type="spellStart"/>
      <w:r>
        <w:rPr>
          <w:rFonts w:ascii="Garamond" w:hAnsi="Garamond"/>
          <w:sz w:val="16"/>
        </w:rPr>
        <w:t>avtorja</w:t>
      </w:r>
      <w:proofErr w:type="spellEnd"/>
      <w:r>
        <w:rPr>
          <w:rFonts w:ascii="Garamond" w:hAnsi="Garamond"/>
          <w:sz w:val="16"/>
        </w:rPr>
        <w:t xml:space="preserve"> in v </w:t>
      </w:r>
      <w:proofErr w:type="spellStart"/>
      <w:r>
        <w:rPr>
          <w:rFonts w:ascii="Garamond" w:hAnsi="Garamond"/>
          <w:sz w:val="16"/>
        </w:rPr>
        <w:t>nobenem</w:t>
      </w:r>
      <w:proofErr w:type="spellEnd"/>
      <w:r>
        <w:rPr>
          <w:rFonts w:ascii="Garamond" w:hAnsi="Garamond"/>
          <w:sz w:val="16"/>
        </w:rPr>
        <w:t xml:space="preserve"> </w:t>
      </w:r>
      <w:proofErr w:type="spellStart"/>
      <w:r>
        <w:rPr>
          <w:rFonts w:ascii="Garamond" w:hAnsi="Garamond"/>
          <w:sz w:val="16"/>
        </w:rPr>
        <w:t>primeru</w:t>
      </w:r>
      <w:proofErr w:type="spellEnd"/>
      <w:r>
        <w:rPr>
          <w:rFonts w:ascii="Garamond" w:hAnsi="Garamond"/>
          <w:sz w:val="16"/>
        </w:rPr>
        <w:t xml:space="preserve"> ne </w:t>
      </w:r>
      <w:proofErr w:type="spellStart"/>
      <w:r>
        <w:rPr>
          <w:rFonts w:ascii="Garamond" w:hAnsi="Garamond"/>
          <w:sz w:val="16"/>
        </w:rPr>
        <w:t>predstavlja</w:t>
      </w:r>
      <w:proofErr w:type="spellEnd"/>
      <w:r>
        <w:rPr>
          <w:rFonts w:ascii="Garamond" w:hAnsi="Garamond"/>
          <w:sz w:val="16"/>
        </w:rPr>
        <w:t xml:space="preserve"> </w:t>
      </w:r>
      <w:proofErr w:type="spellStart"/>
      <w:r>
        <w:rPr>
          <w:rFonts w:ascii="Garamond" w:hAnsi="Garamond"/>
          <w:sz w:val="16"/>
        </w:rPr>
        <w:t>stališč</w:t>
      </w:r>
      <w:proofErr w:type="spellEnd"/>
      <w:r>
        <w:rPr>
          <w:rFonts w:ascii="Garamond" w:hAnsi="Garamond"/>
          <w:sz w:val="16"/>
        </w:rPr>
        <w:t xml:space="preserve"> </w:t>
      </w:r>
      <w:proofErr w:type="spellStart"/>
      <w:r>
        <w:rPr>
          <w:rFonts w:ascii="Garamond" w:hAnsi="Garamond"/>
          <w:sz w:val="16"/>
        </w:rPr>
        <w:t>Evropske</w:t>
      </w:r>
      <w:proofErr w:type="spellEnd"/>
      <w:r>
        <w:rPr>
          <w:rFonts w:ascii="Garamond" w:hAnsi="Garamond"/>
          <w:sz w:val="16"/>
        </w:rPr>
        <w:t xml:space="preserve"> </w:t>
      </w:r>
      <w:proofErr w:type="spellStart"/>
      <w:r>
        <w:rPr>
          <w:rFonts w:ascii="Garamond" w:hAnsi="Garamond"/>
          <w:sz w:val="16"/>
        </w:rPr>
        <w:t>komisije</w:t>
      </w:r>
      <w:proofErr w:type="spellEnd"/>
      <w:r>
        <w:rPr>
          <w:rFonts w:ascii="Garamond" w:hAnsi="Garamond"/>
          <w:sz w:val="16"/>
        </w:rPr>
        <w:t>.</w:t>
      </w:r>
    </w:p>
    <w:sectPr w:rsidR="0023627E">
      <w:type w:val="continuous"/>
      <w:pgSz w:w="11910" w:h="16840"/>
      <w:pgMar w:top="680" w:right="440" w:bottom="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F093C"/>
    <w:multiLevelType w:val="hybridMultilevel"/>
    <w:tmpl w:val="EDAEEF5E"/>
    <w:lvl w:ilvl="0" w:tplc="93FC9B7C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100"/>
        <w:sz w:val="20"/>
        <w:szCs w:val="20"/>
        <w:lang w:val="en-GB" w:eastAsia="en-GB" w:bidi="en-GB"/>
      </w:rPr>
    </w:lvl>
    <w:lvl w:ilvl="1" w:tplc="64601136">
      <w:numFmt w:val="bullet"/>
      <w:lvlText w:val=""/>
      <w:lvlJc w:val="left"/>
      <w:pPr>
        <w:ind w:left="1832" w:hanging="360"/>
      </w:pPr>
      <w:rPr>
        <w:rFonts w:ascii="Symbol" w:eastAsia="Symbol" w:hAnsi="Symbol" w:cs="Symbol" w:hint="default"/>
        <w:w w:val="100"/>
        <w:sz w:val="20"/>
        <w:szCs w:val="20"/>
        <w:lang w:val="en-GB" w:eastAsia="en-GB" w:bidi="en-GB"/>
      </w:rPr>
    </w:lvl>
    <w:lvl w:ilvl="2" w:tplc="B394B13E">
      <w:numFmt w:val="bullet"/>
      <w:lvlText w:val=""/>
      <w:lvlJc w:val="left"/>
      <w:pPr>
        <w:ind w:left="3433" w:hanging="360"/>
      </w:pPr>
      <w:rPr>
        <w:rFonts w:ascii="Symbol" w:eastAsia="Symbol" w:hAnsi="Symbol" w:cs="Symbol" w:hint="default"/>
        <w:w w:val="100"/>
        <w:sz w:val="20"/>
        <w:szCs w:val="20"/>
        <w:lang w:val="en-GB" w:eastAsia="en-GB" w:bidi="en-GB"/>
      </w:rPr>
    </w:lvl>
    <w:lvl w:ilvl="3" w:tplc="493264C8">
      <w:numFmt w:val="bullet"/>
      <w:lvlText w:val="•"/>
      <w:lvlJc w:val="left"/>
      <w:pPr>
        <w:ind w:left="4391" w:hanging="360"/>
      </w:pPr>
      <w:rPr>
        <w:rFonts w:hint="default"/>
        <w:lang w:val="en-GB" w:eastAsia="en-GB" w:bidi="en-GB"/>
      </w:rPr>
    </w:lvl>
    <w:lvl w:ilvl="4" w:tplc="B7C4538A">
      <w:numFmt w:val="bullet"/>
      <w:lvlText w:val="•"/>
      <w:lvlJc w:val="left"/>
      <w:pPr>
        <w:ind w:left="5342" w:hanging="360"/>
      </w:pPr>
      <w:rPr>
        <w:rFonts w:hint="default"/>
        <w:lang w:val="en-GB" w:eastAsia="en-GB" w:bidi="en-GB"/>
      </w:rPr>
    </w:lvl>
    <w:lvl w:ilvl="5" w:tplc="5F663FD2">
      <w:numFmt w:val="bullet"/>
      <w:lvlText w:val="•"/>
      <w:lvlJc w:val="left"/>
      <w:pPr>
        <w:ind w:left="6293" w:hanging="360"/>
      </w:pPr>
      <w:rPr>
        <w:rFonts w:hint="default"/>
        <w:lang w:val="en-GB" w:eastAsia="en-GB" w:bidi="en-GB"/>
      </w:rPr>
    </w:lvl>
    <w:lvl w:ilvl="6" w:tplc="C7545A3C">
      <w:numFmt w:val="bullet"/>
      <w:lvlText w:val="•"/>
      <w:lvlJc w:val="left"/>
      <w:pPr>
        <w:ind w:left="7244" w:hanging="360"/>
      </w:pPr>
      <w:rPr>
        <w:rFonts w:hint="default"/>
        <w:lang w:val="en-GB" w:eastAsia="en-GB" w:bidi="en-GB"/>
      </w:rPr>
    </w:lvl>
    <w:lvl w:ilvl="7" w:tplc="434E5FEC">
      <w:numFmt w:val="bullet"/>
      <w:lvlText w:val="•"/>
      <w:lvlJc w:val="left"/>
      <w:pPr>
        <w:ind w:left="8195" w:hanging="360"/>
      </w:pPr>
      <w:rPr>
        <w:rFonts w:hint="default"/>
        <w:lang w:val="en-GB" w:eastAsia="en-GB" w:bidi="en-GB"/>
      </w:rPr>
    </w:lvl>
    <w:lvl w:ilvl="8" w:tplc="60A4DC40">
      <w:numFmt w:val="bullet"/>
      <w:lvlText w:val="•"/>
      <w:lvlJc w:val="left"/>
      <w:pPr>
        <w:ind w:left="9146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78D1301E"/>
    <w:multiLevelType w:val="hybridMultilevel"/>
    <w:tmpl w:val="5B3A2574"/>
    <w:lvl w:ilvl="0" w:tplc="1982D1B2">
      <w:numFmt w:val="bullet"/>
      <w:lvlText w:val=""/>
      <w:lvlJc w:val="left"/>
      <w:pPr>
        <w:ind w:left="2049" w:hanging="361"/>
      </w:pPr>
      <w:rPr>
        <w:rFonts w:ascii="Symbol" w:eastAsia="Symbol" w:hAnsi="Symbol" w:cs="Symbol" w:hint="default"/>
        <w:w w:val="100"/>
        <w:sz w:val="20"/>
        <w:szCs w:val="20"/>
        <w:lang w:val="en-GB" w:eastAsia="en-GB" w:bidi="en-GB"/>
      </w:rPr>
    </w:lvl>
    <w:lvl w:ilvl="1" w:tplc="49583264">
      <w:numFmt w:val="bullet"/>
      <w:lvlText w:val="•"/>
      <w:lvlJc w:val="left"/>
      <w:pPr>
        <w:ind w:left="2940" w:hanging="361"/>
      </w:pPr>
      <w:rPr>
        <w:rFonts w:hint="default"/>
        <w:lang w:val="en-GB" w:eastAsia="en-GB" w:bidi="en-GB"/>
      </w:rPr>
    </w:lvl>
    <w:lvl w:ilvl="2" w:tplc="881ADB50">
      <w:numFmt w:val="bullet"/>
      <w:lvlText w:val="•"/>
      <w:lvlJc w:val="left"/>
      <w:pPr>
        <w:ind w:left="3841" w:hanging="361"/>
      </w:pPr>
      <w:rPr>
        <w:rFonts w:hint="default"/>
        <w:lang w:val="en-GB" w:eastAsia="en-GB" w:bidi="en-GB"/>
      </w:rPr>
    </w:lvl>
    <w:lvl w:ilvl="3" w:tplc="3AF66D82">
      <w:numFmt w:val="bullet"/>
      <w:lvlText w:val="•"/>
      <w:lvlJc w:val="left"/>
      <w:pPr>
        <w:ind w:left="4742" w:hanging="361"/>
      </w:pPr>
      <w:rPr>
        <w:rFonts w:hint="default"/>
        <w:lang w:val="en-GB" w:eastAsia="en-GB" w:bidi="en-GB"/>
      </w:rPr>
    </w:lvl>
    <w:lvl w:ilvl="4" w:tplc="7C6C9E12">
      <w:numFmt w:val="bullet"/>
      <w:lvlText w:val="•"/>
      <w:lvlJc w:val="left"/>
      <w:pPr>
        <w:ind w:left="5643" w:hanging="361"/>
      </w:pPr>
      <w:rPr>
        <w:rFonts w:hint="default"/>
        <w:lang w:val="en-GB" w:eastAsia="en-GB" w:bidi="en-GB"/>
      </w:rPr>
    </w:lvl>
    <w:lvl w:ilvl="5" w:tplc="8078E6D4">
      <w:numFmt w:val="bullet"/>
      <w:lvlText w:val="•"/>
      <w:lvlJc w:val="left"/>
      <w:pPr>
        <w:ind w:left="6544" w:hanging="361"/>
      </w:pPr>
      <w:rPr>
        <w:rFonts w:hint="default"/>
        <w:lang w:val="en-GB" w:eastAsia="en-GB" w:bidi="en-GB"/>
      </w:rPr>
    </w:lvl>
    <w:lvl w:ilvl="6" w:tplc="1A72FEAC">
      <w:numFmt w:val="bullet"/>
      <w:lvlText w:val="•"/>
      <w:lvlJc w:val="left"/>
      <w:pPr>
        <w:ind w:left="7444" w:hanging="361"/>
      </w:pPr>
      <w:rPr>
        <w:rFonts w:hint="default"/>
        <w:lang w:val="en-GB" w:eastAsia="en-GB" w:bidi="en-GB"/>
      </w:rPr>
    </w:lvl>
    <w:lvl w:ilvl="7" w:tplc="CD443B44">
      <w:numFmt w:val="bullet"/>
      <w:lvlText w:val="•"/>
      <w:lvlJc w:val="left"/>
      <w:pPr>
        <w:ind w:left="8345" w:hanging="361"/>
      </w:pPr>
      <w:rPr>
        <w:rFonts w:hint="default"/>
        <w:lang w:val="en-GB" w:eastAsia="en-GB" w:bidi="en-GB"/>
      </w:rPr>
    </w:lvl>
    <w:lvl w:ilvl="8" w:tplc="FF144828">
      <w:numFmt w:val="bullet"/>
      <w:lvlText w:val="•"/>
      <w:lvlJc w:val="left"/>
      <w:pPr>
        <w:ind w:left="9246" w:hanging="361"/>
      </w:pPr>
      <w:rPr>
        <w:rFonts w:hint="default"/>
        <w:lang w:val="en-GB" w:eastAsia="en-GB" w:bidi="en-GB"/>
      </w:rPr>
    </w:lvl>
  </w:abstractNum>
  <w:abstractNum w:abstractNumId="2" w15:restartNumberingAfterBreak="0">
    <w:nsid w:val="7CDB2625"/>
    <w:multiLevelType w:val="hybridMultilevel"/>
    <w:tmpl w:val="293891E8"/>
    <w:lvl w:ilvl="0" w:tplc="1F5EB682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w w:val="100"/>
        <w:sz w:val="20"/>
        <w:szCs w:val="20"/>
        <w:lang w:val="en-GB" w:eastAsia="en-GB" w:bidi="en-GB"/>
      </w:rPr>
    </w:lvl>
    <w:lvl w:ilvl="1" w:tplc="2710E4A8">
      <w:numFmt w:val="bullet"/>
      <w:lvlText w:val="•"/>
      <w:lvlJc w:val="left"/>
      <w:pPr>
        <w:ind w:left="2868" w:hanging="360"/>
      </w:pPr>
      <w:rPr>
        <w:rFonts w:hint="default"/>
        <w:lang w:val="en-GB" w:eastAsia="en-GB" w:bidi="en-GB"/>
      </w:rPr>
    </w:lvl>
    <w:lvl w:ilvl="2" w:tplc="851A9C16">
      <w:numFmt w:val="bullet"/>
      <w:lvlText w:val="•"/>
      <w:lvlJc w:val="left"/>
      <w:pPr>
        <w:ind w:left="3777" w:hanging="360"/>
      </w:pPr>
      <w:rPr>
        <w:rFonts w:hint="default"/>
        <w:lang w:val="en-GB" w:eastAsia="en-GB" w:bidi="en-GB"/>
      </w:rPr>
    </w:lvl>
    <w:lvl w:ilvl="3" w:tplc="701A00FA">
      <w:numFmt w:val="bullet"/>
      <w:lvlText w:val="•"/>
      <w:lvlJc w:val="left"/>
      <w:pPr>
        <w:ind w:left="4686" w:hanging="360"/>
      </w:pPr>
      <w:rPr>
        <w:rFonts w:hint="default"/>
        <w:lang w:val="en-GB" w:eastAsia="en-GB" w:bidi="en-GB"/>
      </w:rPr>
    </w:lvl>
    <w:lvl w:ilvl="4" w:tplc="C7E2A61C">
      <w:numFmt w:val="bullet"/>
      <w:lvlText w:val="•"/>
      <w:lvlJc w:val="left"/>
      <w:pPr>
        <w:ind w:left="5595" w:hanging="360"/>
      </w:pPr>
      <w:rPr>
        <w:rFonts w:hint="default"/>
        <w:lang w:val="en-GB" w:eastAsia="en-GB" w:bidi="en-GB"/>
      </w:rPr>
    </w:lvl>
    <w:lvl w:ilvl="5" w:tplc="14DC7D40">
      <w:numFmt w:val="bullet"/>
      <w:lvlText w:val="•"/>
      <w:lvlJc w:val="left"/>
      <w:pPr>
        <w:ind w:left="6504" w:hanging="360"/>
      </w:pPr>
      <w:rPr>
        <w:rFonts w:hint="default"/>
        <w:lang w:val="en-GB" w:eastAsia="en-GB" w:bidi="en-GB"/>
      </w:rPr>
    </w:lvl>
    <w:lvl w:ilvl="6" w:tplc="81EA4CFA">
      <w:numFmt w:val="bullet"/>
      <w:lvlText w:val="•"/>
      <w:lvlJc w:val="left"/>
      <w:pPr>
        <w:ind w:left="7412" w:hanging="360"/>
      </w:pPr>
      <w:rPr>
        <w:rFonts w:hint="default"/>
        <w:lang w:val="en-GB" w:eastAsia="en-GB" w:bidi="en-GB"/>
      </w:rPr>
    </w:lvl>
    <w:lvl w:ilvl="7" w:tplc="8B6AE8F6">
      <w:numFmt w:val="bullet"/>
      <w:lvlText w:val="•"/>
      <w:lvlJc w:val="left"/>
      <w:pPr>
        <w:ind w:left="8321" w:hanging="360"/>
      </w:pPr>
      <w:rPr>
        <w:rFonts w:hint="default"/>
        <w:lang w:val="en-GB" w:eastAsia="en-GB" w:bidi="en-GB"/>
      </w:rPr>
    </w:lvl>
    <w:lvl w:ilvl="8" w:tplc="D52EEBDC">
      <w:numFmt w:val="bullet"/>
      <w:lvlText w:val="•"/>
      <w:lvlJc w:val="left"/>
      <w:pPr>
        <w:ind w:left="9230" w:hanging="360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7E"/>
    <w:rsid w:val="000132CC"/>
    <w:rsid w:val="00182941"/>
    <w:rsid w:val="0023627E"/>
    <w:rsid w:val="00542CD8"/>
    <w:rsid w:val="008C0417"/>
    <w:rsid w:val="00A85A9F"/>
    <w:rsid w:val="00AC2013"/>
    <w:rsid w:val="00D04C0E"/>
    <w:rsid w:val="00D4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041F2-5238-49A7-AB79-25BA2E14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Naslov1">
    <w:name w:val="heading 1"/>
    <w:basedOn w:val="Navaden"/>
    <w:uiPriority w:val="1"/>
    <w:qFormat/>
    <w:pPr>
      <w:spacing w:before="51"/>
      <w:ind w:left="1164" w:right="20"/>
      <w:jc w:val="center"/>
      <w:outlineLvl w:val="0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1680" w:hanging="361"/>
    </w:pPr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32C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32CC"/>
    <w:rPr>
      <w:rFonts w:ascii="Segoe UI" w:eastAsia="Calibr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docs.google.com/forms/d/12bFFPRwuRx_clKJJ8Q_wSCFZkV2oCSMJYgebqOptvnE/ed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uni-lj.s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f.uni-lj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c.raziskovalcev@ff.uni-lj.si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C3E0FDB-6C6D-434F-BF5C-1FB1FF4D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Blatnik, Saša</dc:creator>
  <cp:lastModifiedBy>Tit Neubauer</cp:lastModifiedBy>
  <cp:revision>2</cp:revision>
  <dcterms:created xsi:type="dcterms:W3CDTF">2020-11-04T09:33:00Z</dcterms:created>
  <dcterms:modified xsi:type="dcterms:W3CDTF">2020-11-04T09:33:00Z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2020-10-28T00:00:00Z</vt:filetime>
  </property>
</Properties>
</file>