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BE56B2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eastAsia="Calibri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D444124" wp14:editId="024C8317">
            <wp:simplePos x="0" y="0"/>
            <wp:positionH relativeFrom="margin">
              <wp:posOffset>3943350</wp:posOffset>
            </wp:positionH>
            <wp:positionV relativeFrom="page">
              <wp:posOffset>1753870</wp:posOffset>
            </wp:positionV>
            <wp:extent cx="1769745" cy="529590"/>
            <wp:effectExtent l="0" t="0" r="1905" b="3810"/>
            <wp:wrapSquare wrapText="bothSides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 Financira Evropska unija_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C7C" w:rsidRPr="00BE56B2" w:rsidRDefault="00BE56B2" w:rsidP="00BE56B2">
      <w:pPr>
        <w:spacing w:after="160" w:line="259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b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E1958D5" wp14:editId="17EB3523">
            <wp:simplePos x="0" y="0"/>
            <wp:positionH relativeFrom="column">
              <wp:posOffset>-130175</wp:posOffset>
            </wp:positionH>
            <wp:positionV relativeFrom="paragraph">
              <wp:posOffset>289560</wp:posOffset>
            </wp:positionV>
            <wp:extent cx="2019300" cy="327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ZS_s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6B2">
        <w:rPr>
          <w:rFonts w:ascii="Arial" w:hAnsi="Arial" w:cs="Arial"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04D21B4" wp14:editId="7A4D3A55">
            <wp:simplePos x="0" y="0"/>
            <wp:positionH relativeFrom="column">
              <wp:posOffset>2003425</wp:posOffset>
            </wp:positionH>
            <wp:positionV relativeFrom="paragraph">
              <wp:posOffset>278130</wp:posOffset>
            </wp:positionV>
            <wp:extent cx="1762125" cy="341630"/>
            <wp:effectExtent l="0" t="0" r="9525" b="127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tabs>
          <w:tab w:val="left" w:pos="5430"/>
        </w:tabs>
        <w:spacing w:after="160" w:line="259" w:lineRule="auto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tab/>
      </w: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t>Javni razpis</w:t>
      </w: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t xml:space="preserve"> »AKTIVNOSTI KREPITVE PROJEKTNIH PISARN JAVNIH RAZISKOVALNIH ORGANIZACIJ«</w:t>
      </w:r>
    </w:p>
    <w:p w:rsidR="00CE3C7C" w:rsidRPr="00BE56B2" w:rsidRDefault="00CE3C7C" w:rsidP="00CE3C7C">
      <w:pPr>
        <w:spacing w:after="160" w:line="259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t xml:space="preserve">Vrste upravičenih stroškov </w:t>
      </w:r>
      <w:r w:rsidR="00FA4BB0" w:rsidRPr="00BE56B2">
        <w:rPr>
          <w:rFonts w:ascii="Arial" w:hAnsi="Arial" w:cs="Arial"/>
          <w:b/>
          <w:color w:val="000000"/>
          <w:sz w:val="22"/>
          <w:szCs w:val="22"/>
        </w:rPr>
        <w:t>v okviru APP</w:t>
      </w:r>
    </w:p>
    <w:p w:rsidR="00CE3C7C" w:rsidRPr="00BE56B2" w:rsidRDefault="00CE3C7C">
      <w:pPr>
        <w:spacing w:after="160" w:line="259" w:lineRule="auto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77361E" w:rsidRPr="00BE56B2" w:rsidRDefault="00BA0FDF" w:rsidP="00777CDD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Vrste upravičenih stroškov v okviru </w:t>
      </w:r>
      <w:r w:rsidR="0077361E" w:rsidRPr="00BE56B2">
        <w:rPr>
          <w:rFonts w:ascii="Arial" w:hAnsi="Arial" w:cs="Arial"/>
          <w:b/>
          <w:color w:val="000000"/>
          <w:sz w:val="22"/>
          <w:szCs w:val="22"/>
        </w:rPr>
        <w:t>Javnega razpisa »AKTIVNOSTI KREPITVE PROJEKTNIH PISARN JAVNIH RAZISKOVALNIH ORGANIZACIJ«</w:t>
      </w:r>
      <w:r w:rsidRPr="00BE56B2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77361E" w:rsidRPr="00BE56B2" w:rsidRDefault="0077361E" w:rsidP="00777CDD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7361E" w:rsidRPr="00BE56B2" w:rsidRDefault="0077361E" w:rsidP="00777CD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t xml:space="preserve">Preglednica 1: Vrste stroškov, upravičenih stroškov in način uveljavitve </w:t>
      </w:r>
    </w:p>
    <w:p w:rsidR="00BA0FDF" w:rsidRPr="00BE56B2" w:rsidRDefault="00BA0FDF" w:rsidP="00777CDD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Style w:val="GridTable1Light-Accent5"/>
        <w:tblW w:w="9062" w:type="dxa"/>
        <w:tblLook w:val="04A0" w:firstRow="1" w:lastRow="0" w:firstColumn="1" w:lastColumn="0" w:noHBand="0" w:noVBand="1"/>
      </w:tblPr>
      <w:tblGrid>
        <w:gridCol w:w="332"/>
        <w:gridCol w:w="1860"/>
        <w:gridCol w:w="2425"/>
        <w:gridCol w:w="2268"/>
        <w:gridCol w:w="2177"/>
      </w:tblGrid>
      <w:tr w:rsidR="005F031C" w:rsidRPr="00BE56B2" w:rsidTr="005F0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F031C" w:rsidRPr="00BE56B2" w:rsidRDefault="005F031C" w:rsidP="00813E7D">
            <w:pPr>
              <w:spacing w:line="276" w:lineRule="auto"/>
              <w:rPr>
                <w:rFonts w:ascii="Arial" w:hAnsi="Arial" w:cs="Arial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F031C" w:rsidRPr="005F031C" w:rsidRDefault="005F031C" w:rsidP="005F031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5F031C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VRSTE STROŠKOV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F031C" w:rsidRPr="005F031C" w:rsidRDefault="005F031C" w:rsidP="00813E7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5F031C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VRSTA UPRAVIČENEGA STROŠKA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F031C" w:rsidRPr="005F031C" w:rsidRDefault="005F031C" w:rsidP="00813E7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5F031C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NAČIN UVELJAVLJANJA STROŠKA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F031C" w:rsidRPr="005F031C" w:rsidRDefault="005F031C" w:rsidP="00813E7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5F031C"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Tabele za izračun </w:t>
            </w:r>
          </w:p>
        </w:tc>
      </w:tr>
      <w:tr w:rsidR="005F031C" w:rsidRPr="00BE56B2" w:rsidTr="005F0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  <w:tcBorders>
              <w:top w:val="single" w:sz="4" w:space="0" w:color="auto"/>
            </w:tcBorders>
          </w:tcPr>
          <w:p w:rsidR="005F031C" w:rsidRPr="005F031C" w:rsidRDefault="005F031C" w:rsidP="00813E7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5F031C" w:rsidRPr="005F031C" w:rsidRDefault="005F031C" w:rsidP="00813E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Standardna lestvica stroška na enoto za stroške dela</w:t>
            </w:r>
            <w:r w:rsidRPr="005F031C" w:rsidDel="001C2B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– mesečni strošek</w:t>
            </w:r>
          </w:p>
          <w:p w:rsidR="005F031C" w:rsidRPr="005F031C" w:rsidRDefault="005F031C" w:rsidP="00813E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b/>
                <w:color w:val="000000"/>
                <w:sz w:val="18"/>
                <w:szCs w:val="18"/>
              </w:rPr>
              <w:t>(SSE)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5F031C" w:rsidRPr="005F031C" w:rsidRDefault="005F031C" w:rsidP="00307D13">
            <w:pPr>
              <w:tabs>
                <w:tab w:val="left" w:pos="176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Stroški dela zaposlenih v projektnih pisarnah, ki opravljajo delo  krepitve prijav in izvedbe centraliziranih programov EU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5F031C" w:rsidRPr="005F031C" w:rsidRDefault="005F031C" w:rsidP="00813E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Standardna lestvica stroška na enoto (SSE)</w:t>
            </w: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 xml:space="preserve"> izračunana na podlagi Obrazca SSE za izračun mesečne postavke plač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5F031C" w:rsidRPr="005F031C" w:rsidRDefault="005F031C" w:rsidP="00813E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Finančni obrazec/IZRAČ.Obrazec SSE</w:t>
            </w:r>
          </w:p>
        </w:tc>
      </w:tr>
      <w:tr w:rsidR="005F031C" w:rsidRPr="00BE56B2" w:rsidTr="005F031C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Financiranje po pavšalni stopnji v višini 15 %</w:t>
            </w:r>
            <w:r w:rsidRPr="005F031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upravičenih neposrednih stroškov osebja</w:t>
            </w:r>
            <w:r w:rsidRPr="005F031C" w:rsidDel="008166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F031C">
              <w:rPr>
                <w:rFonts w:ascii="Arial" w:hAnsi="Arial" w:cs="Arial"/>
                <w:b/>
                <w:color w:val="000000"/>
                <w:sz w:val="18"/>
                <w:szCs w:val="18"/>
              </w:rPr>
              <w:t>(Pavšalna stopnja 15%)</w:t>
            </w:r>
          </w:p>
        </w:tc>
        <w:tc>
          <w:tcPr>
            <w:tcW w:w="2674" w:type="dxa"/>
          </w:tcPr>
          <w:p w:rsidR="005F031C" w:rsidRPr="005F031C" w:rsidRDefault="005F031C" w:rsidP="00813E7D">
            <w:pPr>
              <w:tabs>
                <w:tab w:val="left" w:pos="176"/>
                <w:tab w:val="left" w:pos="779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Ostali stroški delovanja (npr. stroški materiala, goriva, vode, tekočega vzdrževanja, telefona, mobilnih telefonov itd.), ki so povezani z izvajanjem aktivnosti krepitve projektnih pisarn</w:t>
            </w:r>
          </w:p>
          <w:p w:rsidR="005F031C" w:rsidRPr="005F031C" w:rsidRDefault="005F031C" w:rsidP="00813E7D">
            <w:pPr>
              <w:tabs>
                <w:tab w:val="left" w:pos="176"/>
                <w:tab w:val="left" w:pos="779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15 % neposrednih stroškov dela  (SSE)</w:t>
            </w:r>
          </w:p>
        </w:tc>
        <w:tc>
          <w:tcPr>
            <w:tcW w:w="1557" w:type="dxa"/>
          </w:tcPr>
          <w:p w:rsidR="005F031C" w:rsidRPr="005F031C" w:rsidRDefault="005F031C" w:rsidP="005F031C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Finančni obrazec/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Sumarna tabela_Proracun</w:t>
            </w:r>
          </w:p>
        </w:tc>
      </w:tr>
      <w:tr w:rsidR="005F031C" w:rsidRPr="00BE56B2" w:rsidTr="005F031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8" w:type="dxa"/>
          </w:tcPr>
          <w:p w:rsidR="005F031C" w:rsidRPr="005F031C" w:rsidRDefault="005F031C" w:rsidP="00813E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Pavšalni zneski organizacije in izvedbe dogodkov ter mreženja</w:t>
            </w:r>
          </w:p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b/>
                <w:color w:val="000000"/>
                <w:sz w:val="18"/>
                <w:szCs w:val="18"/>
              </w:rPr>
              <w:t>(Pavšalni zneski dogodkov)</w:t>
            </w:r>
          </w:p>
        </w:tc>
        <w:tc>
          <w:tcPr>
            <w:tcW w:w="2674" w:type="dxa"/>
          </w:tcPr>
          <w:p w:rsidR="005F031C" w:rsidRPr="005F031C" w:rsidRDefault="005F031C" w:rsidP="00813E7D">
            <w:pPr>
              <w:tabs>
                <w:tab w:val="left" w:pos="176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Stroški organizacije in izvedbe dogodkov ter mreženja za potrebe projekta, skladno s tipom dogodka (mreženja različnih partnerjev, delavnice in seminarji za pripravo projektov, izvajanje projektov, predstavitve projektov, prenos dobrih praks iz tujine, pomoč in svetovanje pri pripravi in pisanju projektov ipd.)</w:t>
            </w:r>
          </w:p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b/>
                <w:color w:val="000000"/>
                <w:sz w:val="18"/>
                <w:szCs w:val="18"/>
              </w:rPr>
              <w:t>Pavšalni zneski organizacije in izvedbe dogodkov ter mreženja</w:t>
            </w: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 xml:space="preserve"> izračunanih na podlagi obrazca Pavšalni zneski dogodkov</w:t>
            </w:r>
          </w:p>
        </w:tc>
        <w:tc>
          <w:tcPr>
            <w:tcW w:w="1557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Finančni obrazec/</w:t>
            </w:r>
            <w:r w:rsidRPr="005F031C">
              <w:t xml:space="preserve"> </w:t>
            </w: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IZRAC. Pavsalni zneski dogodki</w:t>
            </w:r>
          </w:p>
        </w:tc>
      </w:tr>
      <w:tr w:rsidR="005F031C" w:rsidRPr="00BE56B2" w:rsidTr="005F031C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8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 xml:space="preserve">Davek na dodano vrednost </w:t>
            </w:r>
          </w:p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b/>
                <w:color w:val="000000"/>
                <w:sz w:val="18"/>
                <w:szCs w:val="18"/>
              </w:rPr>
              <w:t>(DDV)</w:t>
            </w:r>
          </w:p>
        </w:tc>
        <w:tc>
          <w:tcPr>
            <w:tcW w:w="2674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Strošek davka na dodano vrednost (v nadaljnjem besedilu: DDV), vezan na Pavšalne stroške organizacije in izvedbe dogodkov</w:t>
            </w:r>
          </w:p>
        </w:tc>
        <w:tc>
          <w:tcPr>
            <w:tcW w:w="2414" w:type="dxa"/>
          </w:tcPr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 xml:space="preserve">Povračilo zneska DDV opredeljenega pri izračunu </w:t>
            </w:r>
          </w:p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031C">
              <w:rPr>
                <w:rFonts w:ascii="Arial" w:hAnsi="Arial" w:cs="Arial"/>
                <w:color w:val="000000"/>
                <w:sz w:val="18"/>
                <w:szCs w:val="18"/>
              </w:rPr>
              <w:t>Pavšalnih stroškov organizacije in izvedbe dogodkov</w:t>
            </w:r>
          </w:p>
          <w:p w:rsidR="005F031C" w:rsidRPr="005F031C" w:rsidRDefault="005F031C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:rsidR="005F031C" w:rsidRDefault="00BB1B4A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4A">
              <w:rPr>
                <w:rFonts w:ascii="Arial" w:hAnsi="Arial" w:cs="Arial"/>
                <w:color w:val="000000"/>
                <w:sz w:val="18"/>
                <w:szCs w:val="18"/>
              </w:rPr>
              <w:t>Finančni obrazec/Sumarna tabela_proračun</w:t>
            </w:r>
          </w:p>
          <w:p w:rsidR="00BB1B4A" w:rsidRPr="005F031C" w:rsidRDefault="00BB1B4A" w:rsidP="00813E7D">
            <w:pPr>
              <w:tabs>
                <w:tab w:val="left" w:pos="7797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B4A">
              <w:rPr>
                <w:rFonts w:ascii="Arial" w:hAnsi="Arial" w:cs="Arial"/>
                <w:color w:val="000000"/>
                <w:sz w:val="18"/>
                <w:szCs w:val="18"/>
              </w:rPr>
              <w:t>Finančni obrazec/Sumarna partnerji</w:t>
            </w:r>
          </w:p>
        </w:tc>
      </w:tr>
    </w:tbl>
    <w:p w:rsidR="00BA0FDF" w:rsidRPr="00BE56B2" w:rsidRDefault="00BA0FDF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BA0FDF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BA0FDF" w:rsidP="00777CDD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Upravičene so navedene vrste stroškov vseh konzorcijskih partnerjev.</w:t>
      </w:r>
    </w:p>
    <w:p w:rsidR="00BA0FDF" w:rsidRPr="00BE56B2" w:rsidRDefault="00BA0FDF" w:rsidP="00777CDD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A0FDF" w:rsidRPr="00BE56B2" w:rsidRDefault="00BA0FDF" w:rsidP="00777CDD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Medsebojno opravljanje storitev ali podizvajalstvo med partnerji nista dovoljena.</w:t>
      </w:r>
    </w:p>
    <w:p w:rsidR="00BA0FDF" w:rsidRPr="00BE56B2" w:rsidRDefault="00BA0FDF" w:rsidP="00777CDD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A0FDF" w:rsidRDefault="005F031C" w:rsidP="005F031C">
      <w:pPr>
        <w:pStyle w:val="ListParagraph"/>
        <w:numPr>
          <w:ilvl w:val="0"/>
          <w:numId w:val="2"/>
        </w:numPr>
        <w:tabs>
          <w:tab w:val="left" w:pos="7797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31C">
        <w:rPr>
          <w:rFonts w:ascii="Arial" w:hAnsi="Arial" w:cs="Arial"/>
          <w:b/>
          <w:color w:val="000000"/>
          <w:sz w:val="22"/>
          <w:szCs w:val="22"/>
        </w:rPr>
        <w:t xml:space="preserve">Vrste stroškov </w:t>
      </w:r>
    </w:p>
    <w:p w:rsidR="005F031C" w:rsidRPr="005F031C" w:rsidRDefault="005F031C" w:rsidP="005F031C">
      <w:pPr>
        <w:tabs>
          <w:tab w:val="left" w:pos="7797"/>
        </w:tabs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A0FDF" w:rsidRPr="005F031C" w:rsidRDefault="00BA0FDF" w:rsidP="005F031C">
      <w:pPr>
        <w:pStyle w:val="ListParagraph"/>
        <w:numPr>
          <w:ilvl w:val="1"/>
          <w:numId w:val="2"/>
        </w:numPr>
        <w:tabs>
          <w:tab w:val="left" w:pos="7797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31C">
        <w:rPr>
          <w:rFonts w:ascii="Arial" w:hAnsi="Arial" w:cs="Arial"/>
          <w:b/>
          <w:color w:val="000000"/>
          <w:sz w:val="22"/>
          <w:szCs w:val="22"/>
        </w:rPr>
        <w:t>Standardna lestvica stroška na enoto za stroške dela</w:t>
      </w:r>
      <w:r w:rsidR="008052F6" w:rsidRPr="005F031C">
        <w:rPr>
          <w:rFonts w:ascii="Arial" w:hAnsi="Arial" w:cs="Arial"/>
          <w:b/>
          <w:color w:val="000000"/>
          <w:sz w:val="22"/>
          <w:szCs w:val="22"/>
        </w:rPr>
        <w:t xml:space="preserve"> – mesečni strošek</w:t>
      </w:r>
      <w:r w:rsidRPr="005F031C">
        <w:rPr>
          <w:rFonts w:ascii="Arial" w:hAnsi="Arial" w:cs="Arial"/>
          <w:b/>
          <w:color w:val="000000"/>
          <w:sz w:val="22"/>
          <w:szCs w:val="22"/>
        </w:rPr>
        <w:t xml:space="preserve"> (SSE)</w:t>
      </w:r>
    </w:p>
    <w:p w:rsidR="00BA0FDF" w:rsidRPr="00BE56B2" w:rsidRDefault="00BA0FDF" w:rsidP="00777CDD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82337" w:rsidRPr="00BE56B2" w:rsidRDefault="00BA0FDF" w:rsidP="00777CD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lastRenderedPageBreak/>
        <w:t xml:space="preserve">Standardna lestvica stroška na enoto za stroške dela se določi na podlagi </w:t>
      </w:r>
      <w:r w:rsidR="006F04EB" w:rsidRPr="00BE56B2">
        <w:rPr>
          <w:rFonts w:ascii="Arial" w:hAnsi="Arial" w:cs="Arial"/>
          <w:color w:val="000000"/>
          <w:sz w:val="22"/>
          <w:szCs w:val="22"/>
        </w:rPr>
        <w:t>Uredbe (EU, Euratom) 2018/1046</w:t>
      </w:r>
      <w:r w:rsidR="00307D13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3D3BB4" w:rsidRPr="00BE56B2">
        <w:rPr>
          <w:rFonts w:ascii="Arial" w:hAnsi="Arial" w:cs="Arial"/>
          <w:color w:val="000000"/>
          <w:sz w:val="22"/>
          <w:szCs w:val="22"/>
        </w:rPr>
        <w:t>in Finančnega priročnika NOO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B1FB2" w:rsidRPr="00BE56B2" w:rsidRDefault="000B1FB2" w:rsidP="00777CDD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B1FB2" w:rsidRPr="00BE56B2" w:rsidRDefault="000B1FB2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 xml:space="preserve">SSE  na </w:t>
      </w:r>
      <w:r w:rsidR="006B7DA8">
        <w:rPr>
          <w:rFonts w:ascii="Arial" w:hAnsi="Arial" w:cs="Arial"/>
          <w:sz w:val="22"/>
          <w:szCs w:val="22"/>
        </w:rPr>
        <w:t>projektu</w:t>
      </w:r>
      <w:r w:rsidR="006B7DA8" w:rsidRPr="00BE56B2">
        <w:rPr>
          <w:rFonts w:ascii="Arial" w:hAnsi="Arial" w:cs="Arial"/>
          <w:sz w:val="22"/>
          <w:szCs w:val="22"/>
        </w:rPr>
        <w:t xml:space="preserve"> </w:t>
      </w:r>
      <w:r w:rsidRPr="00BE56B2">
        <w:rPr>
          <w:rFonts w:ascii="Arial" w:hAnsi="Arial" w:cs="Arial"/>
          <w:sz w:val="22"/>
          <w:szCs w:val="22"/>
        </w:rPr>
        <w:t>predstavlja stroške osebe, zaposlene s polnim delovnim časom, na mesečni ravni. Strošek je določen na podlagi izračuna standardnega stroška na enoto (priloga JR –</w:t>
      </w:r>
      <w:r w:rsidR="001D0AAC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C13A24" w:rsidRPr="00BE56B2">
        <w:rPr>
          <w:rFonts w:ascii="Arial" w:hAnsi="Arial" w:cs="Arial"/>
          <w:color w:val="000000"/>
          <w:sz w:val="22"/>
          <w:szCs w:val="22"/>
        </w:rPr>
        <w:t>Finančni obrazec/IZRAČ.Obrazec SSE</w:t>
      </w:r>
      <w:r w:rsidRPr="00BE56B2">
        <w:rPr>
          <w:rFonts w:ascii="Arial" w:hAnsi="Arial" w:cs="Arial"/>
          <w:sz w:val="22"/>
          <w:szCs w:val="22"/>
        </w:rPr>
        <w:t xml:space="preserve">). </w:t>
      </w:r>
    </w:p>
    <w:p w:rsidR="000B1FB2" w:rsidRPr="00BE56B2" w:rsidRDefault="000B1FB2" w:rsidP="00777CDD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A0FDF" w:rsidRPr="00BE56B2" w:rsidRDefault="00BA0FDF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Za namene določanja stroškov za osebje, ki se nanašajo na izvajanje </w:t>
      </w:r>
      <w:r w:rsidR="000F117F" w:rsidRPr="00BE56B2">
        <w:rPr>
          <w:rFonts w:ascii="Arial" w:hAnsi="Arial" w:cs="Arial"/>
          <w:color w:val="000000"/>
          <w:sz w:val="22"/>
          <w:szCs w:val="22"/>
        </w:rPr>
        <w:t>projekta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, se mesečna postavka, ki se uporablja, izračuna tako, da se zadnji evidentirani polletni bruto stroški za zaposlene delijo s 6. </w:t>
      </w:r>
      <w:r w:rsidR="000B1FB2" w:rsidRPr="00BE56B2">
        <w:rPr>
          <w:rFonts w:ascii="Arial" w:hAnsi="Arial" w:cs="Arial"/>
          <w:color w:val="000000"/>
          <w:sz w:val="22"/>
          <w:szCs w:val="22"/>
        </w:rPr>
        <w:t xml:space="preserve">Izračune bo pripravil končni prejemnik, skladno z </w:t>
      </w:r>
      <w:r w:rsidR="00484967">
        <w:rPr>
          <w:rFonts w:ascii="Arial" w:hAnsi="Arial" w:cs="Arial"/>
          <w:sz w:val="22"/>
          <w:szCs w:val="22"/>
        </w:rPr>
        <w:t>prilogo</w:t>
      </w:r>
      <w:r w:rsidR="00484967" w:rsidRPr="00BE56B2">
        <w:rPr>
          <w:rFonts w:ascii="Arial" w:hAnsi="Arial" w:cs="Arial"/>
          <w:sz w:val="22"/>
          <w:szCs w:val="22"/>
        </w:rPr>
        <w:t xml:space="preserve"> JR –</w:t>
      </w:r>
      <w:r w:rsidR="00484967" w:rsidRPr="00BE56B2">
        <w:rPr>
          <w:rFonts w:ascii="Arial" w:hAnsi="Arial" w:cs="Arial"/>
          <w:color w:val="000000"/>
          <w:sz w:val="22"/>
          <w:szCs w:val="22"/>
        </w:rPr>
        <w:t xml:space="preserve"> Finančni obrazec/IZRAČ.Obrazec SSE</w:t>
      </w:r>
      <w:r w:rsidR="00484967">
        <w:rPr>
          <w:rFonts w:ascii="Arial" w:hAnsi="Arial" w:cs="Arial"/>
          <w:color w:val="000000"/>
          <w:sz w:val="22"/>
          <w:szCs w:val="22"/>
        </w:rPr>
        <w:t xml:space="preserve"> </w:t>
      </w:r>
      <w:r w:rsidR="000B1FB2" w:rsidRPr="00BE56B2">
        <w:rPr>
          <w:rFonts w:ascii="Arial" w:hAnsi="Arial" w:cs="Arial"/>
          <w:color w:val="000000"/>
          <w:sz w:val="22"/>
          <w:szCs w:val="22"/>
        </w:rPr>
        <w:t xml:space="preserve"> in </w:t>
      </w:r>
      <w:r w:rsidR="00484967">
        <w:rPr>
          <w:rFonts w:ascii="Arial" w:hAnsi="Arial" w:cs="Arial"/>
          <w:sz w:val="22"/>
          <w:szCs w:val="22"/>
        </w:rPr>
        <w:t>prilogo</w:t>
      </w:r>
      <w:r w:rsidR="00484967" w:rsidRPr="00BE56B2">
        <w:rPr>
          <w:rFonts w:ascii="Arial" w:hAnsi="Arial" w:cs="Arial"/>
          <w:sz w:val="22"/>
          <w:szCs w:val="22"/>
        </w:rPr>
        <w:t xml:space="preserve"> JR –</w:t>
      </w:r>
      <w:r w:rsidR="00484967" w:rsidRPr="00BE56B2">
        <w:rPr>
          <w:rFonts w:ascii="Arial" w:hAnsi="Arial" w:cs="Arial"/>
          <w:color w:val="000000"/>
          <w:sz w:val="22"/>
          <w:szCs w:val="22"/>
        </w:rPr>
        <w:t xml:space="preserve"> Finančni obrazec/</w:t>
      </w:r>
      <w:r w:rsidR="00484967">
        <w:rPr>
          <w:rFonts w:ascii="Arial" w:hAnsi="Arial" w:cs="Arial"/>
          <w:color w:val="000000"/>
          <w:sz w:val="22"/>
          <w:szCs w:val="22"/>
        </w:rPr>
        <w:t xml:space="preserve">Navodila SSE. </w:t>
      </w:r>
      <w:r w:rsidRPr="00BE56B2">
        <w:rPr>
          <w:rFonts w:ascii="Arial" w:hAnsi="Arial" w:cs="Arial"/>
          <w:color w:val="000000"/>
          <w:sz w:val="22"/>
          <w:szCs w:val="22"/>
        </w:rPr>
        <w:t>.</w:t>
      </w:r>
    </w:p>
    <w:p w:rsidR="00BA0FDF" w:rsidRPr="00BE56B2" w:rsidRDefault="00BA0FDF" w:rsidP="00777CD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182337" w:rsidRPr="00BE56B2" w:rsidRDefault="00182337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Preverjanje pravilnosti izračunov SSE se bo izvedlo pred podpisom pogodbe</w:t>
      </w:r>
      <w:r w:rsidR="00010FDA">
        <w:rPr>
          <w:rFonts w:ascii="Arial" w:hAnsi="Arial" w:cs="Arial"/>
          <w:sz w:val="22"/>
          <w:szCs w:val="22"/>
        </w:rPr>
        <w:t xml:space="preserve">. </w:t>
      </w:r>
      <w:r w:rsidR="000F117F" w:rsidRPr="00BE56B2">
        <w:rPr>
          <w:rFonts w:ascii="Arial" w:hAnsi="Arial" w:cs="Arial"/>
          <w:sz w:val="22"/>
          <w:szCs w:val="22"/>
        </w:rPr>
        <w:t xml:space="preserve">. </w:t>
      </w:r>
    </w:p>
    <w:p w:rsidR="00BA0FDF" w:rsidRPr="00BE56B2" w:rsidRDefault="00BA0FDF" w:rsidP="00777CD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BA0FDF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Stroški SSE so upravičeni le pod pogoji, da:</w:t>
      </w:r>
    </w:p>
    <w:p w:rsidR="00BA0FDF" w:rsidRPr="00BE56B2" w:rsidRDefault="00BA0FDF" w:rsidP="005F031C">
      <w:pPr>
        <w:pStyle w:val="CommentText"/>
        <w:ind w:left="284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-</w:t>
      </w:r>
      <w:r w:rsidRPr="00BE56B2">
        <w:rPr>
          <w:rFonts w:ascii="Arial" w:hAnsi="Arial" w:cs="Arial"/>
          <w:sz w:val="22"/>
          <w:szCs w:val="22"/>
        </w:rPr>
        <w:tab/>
        <w:t xml:space="preserve">je oseba </w:t>
      </w:r>
      <w:r w:rsidRPr="00BE56B2">
        <w:rPr>
          <w:rFonts w:ascii="Arial" w:hAnsi="Arial" w:cs="Arial"/>
          <w:b/>
          <w:sz w:val="22"/>
          <w:szCs w:val="22"/>
        </w:rPr>
        <w:t>zaposlena v javni raziskovani organizaciji</w:t>
      </w:r>
      <w:r w:rsidRPr="00BE56B2">
        <w:rPr>
          <w:rFonts w:ascii="Arial" w:hAnsi="Arial" w:cs="Arial"/>
          <w:sz w:val="22"/>
          <w:szCs w:val="22"/>
        </w:rPr>
        <w:t xml:space="preserve"> </w:t>
      </w:r>
      <w:r w:rsidRPr="00BE56B2">
        <w:rPr>
          <w:rFonts w:ascii="Arial" w:hAnsi="Arial" w:cs="Arial"/>
          <w:b/>
          <w:sz w:val="22"/>
          <w:szCs w:val="22"/>
        </w:rPr>
        <w:t>s polnim delovnim časom</w:t>
      </w:r>
      <w:r w:rsidRPr="00BE56B2">
        <w:rPr>
          <w:rFonts w:ascii="Arial" w:hAnsi="Arial" w:cs="Arial"/>
          <w:sz w:val="22"/>
          <w:szCs w:val="22"/>
        </w:rPr>
        <w:t xml:space="preserve"> pod</w:t>
      </w:r>
      <w:r w:rsidR="00BE56B2" w:rsidRPr="00BE56B2">
        <w:rPr>
          <w:rFonts w:ascii="Arial" w:hAnsi="Arial" w:cs="Arial"/>
          <w:sz w:val="22"/>
          <w:szCs w:val="22"/>
        </w:rPr>
        <w:t xml:space="preserve"> </w:t>
      </w:r>
      <w:r w:rsidRPr="00BE56B2">
        <w:rPr>
          <w:rFonts w:ascii="Arial" w:hAnsi="Arial" w:cs="Arial"/>
          <w:sz w:val="22"/>
          <w:szCs w:val="22"/>
        </w:rPr>
        <w:t xml:space="preserve">pogoji določenimi v </w:t>
      </w:r>
      <w:r w:rsidR="00777CDD" w:rsidRPr="00BE56B2">
        <w:rPr>
          <w:rFonts w:ascii="Arial" w:hAnsi="Arial" w:cs="Arial"/>
          <w:sz w:val="22"/>
          <w:szCs w:val="22"/>
        </w:rPr>
        <w:t xml:space="preserve">javnem </w:t>
      </w:r>
      <w:r w:rsidRPr="00BE56B2">
        <w:rPr>
          <w:rFonts w:ascii="Arial" w:hAnsi="Arial" w:cs="Arial"/>
          <w:sz w:val="22"/>
          <w:szCs w:val="22"/>
        </w:rPr>
        <w:t xml:space="preserve">razpisu, pri čemer mora </w:t>
      </w:r>
      <w:r w:rsidR="004B18F3" w:rsidRPr="00BE56B2">
        <w:rPr>
          <w:rFonts w:ascii="Arial" w:hAnsi="Arial" w:cs="Arial"/>
          <w:b/>
          <w:sz w:val="22"/>
          <w:szCs w:val="22"/>
        </w:rPr>
        <w:t>končni prejemnik</w:t>
      </w:r>
      <w:r w:rsidRPr="00BE56B2">
        <w:rPr>
          <w:rFonts w:ascii="Arial" w:hAnsi="Arial" w:cs="Arial"/>
          <w:b/>
          <w:sz w:val="22"/>
          <w:szCs w:val="22"/>
        </w:rPr>
        <w:t xml:space="preserve"> v roku 30 dni od sklenitve pogodbe</w:t>
      </w:r>
      <w:r w:rsidRPr="00BE56B2">
        <w:rPr>
          <w:rFonts w:ascii="Arial" w:hAnsi="Arial" w:cs="Arial"/>
          <w:sz w:val="22"/>
          <w:szCs w:val="22"/>
        </w:rPr>
        <w:t xml:space="preserve"> o zaposlitvi osebe kopijo pogodbe o zaposlitvi po elektronski pošti posredovati ministrstvu,</w:t>
      </w:r>
    </w:p>
    <w:p w:rsidR="00BA0FDF" w:rsidRPr="00BE56B2" w:rsidRDefault="00BA0FDF" w:rsidP="00777C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-</w:t>
      </w:r>
      <w:r w:rsidRPr="00BE56B2">
        <w:rPr>
          <w:rFonts w:ascii="Arial" w:hAnsi="Arial" w:cs="Arial"/>
          <w:sz w:val="22"/>
          <w:szCs w:val="22"/>
        </w:rPr>
        <w:tab/>
      </w:r>
      <w:r w:rsidRPr="006B3C15">
        <w:rPr>
          <w:rFonts w:ascii="Arial" w:hAnsi="Arial" w:cs="Arial"/>
          <w:sz w:val="22"/>
          <w:szCs w:val="22"/>
        </w:rPr>
        <w:t xml:space="preserve">je </w:t>
      </w:r>
      <w:r w:rsidR="000F117F" w:rsidRPr="006B3C15">
        <w:rPr>
          <w:rFonts w:ascii="Arial" w:hAnsi="Arial" w:cs="Arial"/>
          <w:sz w:val="22"/>
          <w:szCs w:val="22"/>
        </w:rPr>
        <w:t xml:space="preserve">bil ob prijavi </w:t>
      </w:r>
      <w:r w:rsidRPr="006B3C15">
        <w:rPr>
          <w:rFonts w:ascii="Arial" w:hAnsi="Arial" w:cs="Arial"/>
          <w:sz w:val="22"/>
          <w:szCs w:val="22"/>
        </w:rPr>
        <w:t xml:space="preserve">podan </w:t>
      </w:r>
      <w:r w:rsidRPr="006B3C15">
        <w:rPr>
          <w:rFonts w:ascii="Arial" w:hAnsi="Arial" w:cs="Arial"/>
          <w:b/>
          <w:sz w:val="22"/>
          <w:szCs w:val="22"/>
        </w:rPr>
        <w:t>pravilen izračun stroškov na podlagi metode izračuna</w:t>
      </w:r>
      <w:r w:rsidR="005F031C" w:rsidRPr="006B3C15">
        <w:rPr>
          <w:rFonts w:ascii="Arial" w:hAnsi="Arial" w:cs="Arial"/>
          <w:sz w:val="22"/>
          <w:szCs w:val="22"/>
        </w:rPr>
        <w:t xml:space="preserve">, </w:t>
      </w:r>
      <w:r w:rsidRPr="006B3C15">
        <w:rPr>
          <w:rFonts w:ascii="Arial" w:hAnsi="Arial" w:cs="Arial"/>
          <w:sz w:val="22"/>
          <w:szCs w:val="22"/>
        </w:rPr>
        <w:t xml:space="preserve">določene v </w:t>
      </w:r>
      <w:r w:rsidR="00777CDD" w:rsidRPr="006B3C15">
        <w:rPr>
          <w:rFonts w:ascii="Arial" w:hAnsi="Arial" w:cs="Arial"/>
          <w:sz w:val="22"/>
          <w:szCs w:val="22"/>
        </w:rPr>
        <w:t xml:space="preserve">javnem </w:t>
      </w:r>
      <w:r w:rsidRPr="006B3C15">
        <w:rPr>
          <w:rFonts w:ascii="Arial" w:hAnsi="Arial" w:cs="Arial"/>
          <w:sz w:val="22"/>
          <w:szCs w:val="22"/>
        </w:rPr>
        <w:t xml:space="preserve">razpisu. Ustreznost izračuna bo </w:t>
      </w:r>
      <w:r w:rsidRPr="006B3C15">
        <w:rPr>
          <w:rFonts w:ascii="Arial" w:hAnsi="Arial" w:cs="Arial"/>
          <w:b/>
          <w:sz w:val="22"/>
          <w:szCs w:val="22"/>
        </w:rPr>
        <w:t>ministrstvo preverjalo pred podpisom večstranske pogodbe</w:t>
      </w:r>
      <w:r w:rsidR="000F117F" w:rsidRPr="006B3C15">
        <w:rPr>
          <w:rFonts w:ascii="Arial" w:hAnsi="Arial" w:cs="Arial"/>
          <w:b/>
          <w:sz w:val="22"/>
          <w:szCs w:val="22"/>
        </w:rPr>
        <w:t xml:space="preserve"> </w:t>
      </w:r>
      <w:r w:rsidRPr="006B3C15">
        <w:rPr>
          <w:rFonts w:ascii="Arial" w:hAnsi="Arial" w:cs="Arial"/>
          <w:sz w:val="22"/>
          <w:szCs w:val="22"/>
        </w:rPr>
        <w:t>med ministrstvom in izbranim konzorcijem</w:t>
      </w:r>
      <w:r w:rsidR="008052F6" w:rsidRPr="006B3C15">
        <w:rPr>
          <w:rFonts w:ascii="Arial" w:hAnsi="Arial" w:cs="Arial"/>
          <w:sz w:val="22"/>
          <w:szCs w:val="22"/>
        </w:rPr>
        <w:t>. V primeru, da ministrstvo ugotovi nepravilnosti v  izračunih, se izračune popravi</w:t>
      </w:r>
      <w:r w:rsidRPr="006B3C15">
        <w:rPr>
          <w:rFonts w:ascii="Arial" w:hAnsi="Arial" w:cs="Arial"/>
          <w:sz w:val="22"/>
          <w:szCs w:val="22"/>
        </w:rPr>
        <w:t>,</w:t>
      </w:r>
      <w:r w:rsidRPr="00BE56B2">
        <w:rPr>
          <w:rFonts w:ascii="Arial" w:hAnsi="Arial" w:cs="Arial"/>
          <w:sz w:val="22"/>
          <w:szCs w:val="22"/>
        </w:rPr>
        <w:t xml:space="preserve"> </w:t>
      </w:r>
    </w:p>
    <w:p w:rsidR="00BA0FDF" w:rsidRPr="00BE56B2" w:rsidRDefault="00BA0FDF" w:rsidP="00777C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-</w:t>
      </w:r>
      <w:r w:rsidRPr="00BE56B2">
        <w:rPr>
          <w:rFonts w:ascii="Arial" w:hAnsi="Arial" w:cs="Arial"/>
          <w:sz w:val="22"/>
          <w:szCs w:val="22"/>
        </w:rPr>
        <w:tab/>
        <w:t>temeljijo na verodostojnih listinah in so izkazani</w:t>
      </w:r>
      <w:r w:rsidR="008052F6" w:rsidRPr="00BE56B2">
        <w:rPr>
          <w:rFonts w:ascii="Arial" w:hAnsi="Arial" w:cs="Arial"/>
          <w:sz w:val="22"/>
          <w:szCs w:val="22"/>
        </w:rPr>
        <w:t xml:space="preserve"> v obrazcu</w:t>
      </w:r>
      <w:r w:rsidRPr="00BE56B2">
        <w:rPr>
          <w:rFonts w:ascii="Arial" w:hAnsi="Arial" w:cs="Arial"/>
          <w:sz w:val="22"/>
          <w:szCs w:val="22"/>
        </w:rPr>
        <w:t xml:space="preserve"> </w:t>
      </w:r>
      <w:r w:rsidR="008052F6" w:rsidRPr="00BE56B2">
        <w:rPr>
          <w:rFonts w:ascii="Arial" w:hAnsi="Arial" w:cs="Arial"/>
          <w:sz w:val="22"/>
          <w:szCs w:val="22"/>
        </w:rPr>
        <w:t>A. Izračun SSE na zaposlenega</w:t>
      </w:r>
      <w:r w:rsidR="00484967">
        <w:rPr>
          <w:rFonts w:ascii="Arial" w:hAnsi="Arial" w:cs="Arial"/>
          <w:sz w:val="22"/>
          <w:szCs w:val="22"/>
        </w:rPr>
        <w:t xml:space="preserve"> (prilogo</w:t>
      </w:r>
      <w:r w:rsidR="00484967" w:rsidRPr="00BE56B2">
        <w:rPr>
          <w:rFonts w:ascii="Arial" w:hAnsi="Arial" w:cs="Arial"/>
          <w:sz w:val="22"/>
          <w:szCs w:val="22"/>
        </w:rPr>
        <w:t xml:space="preserve"> JR –</w:t>
      </w:r>
      <w:r w:rsidR="00484967" w:rsidRPr="00BE56B2">
        <w:rPr>
          <w:rFonts w:ascii="Arial" w:hAnsi="Arial" w:cs="Arial"/>
          <w:color w:val="000000"/>
          <w:sz w:val="22"/>
          <w:szCs w:val="22"/>
        </w:rPr>
        <w:t xml:space="preserve"> Finančni obrazec/IZRAČ.Obrazec SSE</w:t>
      </w:r>
      <w:r w:rsidR="00484967">
        <w:rPr>
          <w:rFonts w:ascii="Arial" w:hAnsi="Arial" w:cs="Arial"/>
          <w:sz w:val="22"/>
          <w:szCs w:val="22"/>
        </w:rPr>
        <w:t>)</w:t>
      </w:r>
      <w:r w:rsidR="009D3572">
        <w:rPr>
          <w:rFonts w:ascii="Arial" w:hAnsi="Arial" w:cs="Arial"/>
          <w:sz w:val="22"/>
          <w:szCs w:val="22"/>
        </w:rPr>
        <w:t>.</w:t>
      </w:r>
    </w:p>
    <w:p w:rsidR="004C1089" w:rsidRPr="00BE56B2" w:rsidRDefault="004C1089" w:rsidP="005F03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1089" w:rsidRPr="00BE56B2" w:rsidRDefault="004C1089" w:rsidP="004C108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 xml:space="preserve">V primeru, da zaposlitev ne traja polni mesec (zaposlitev na projektu kasnejša od 1. v mesecu, odpoved zaposlitve pred koncem meseca), se za posamezni mesec izjemoma lahko uveljavlja sorazmerni delež SSE. </w:t>
      </w:r>
    </w:p>
    <w:p w:rsidR="004C1089" w:rsidRPr="00BE56B2" w:rsidRDefault="004C1089" w:rsidP="00777CD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BA0FDF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 xml:space="preserve">Upravičenost stroškov </w:t>
      </w:r>
      <w:r w:rsidR="004B18F3" w:rsidRPr="00BE56B2">
        <w:rPr>
          <w:rFonts w:ascii="Arial" w:hAnsi="Arial" w:cs="Arial"/>
          <w:sz w:val="22"/>
          <w:szCs w:val="22"/>
        </w:rPr>
        <w:t xml:space="preserve">kočni </w:t>
      </w:r>
      <w:r w:rsidRPr="00BE56B2">
        <w:rPr>
          <w:rFonts w:ascii="Arial" w:hAnsi="Arial" w:cs="Arial"/>
          <w:sz w:val="22"/>
          <w:szCs w:val="22"/>
        </w:rPr>
        <w:t>prejemniki sredstev dokazujejo s predložitvijo</w:t>
      </w:r>
      <w:r w:rsidR="00A862D5">
        <w:rPr>
          <w:rFonts w:ascii="Arial" w:hAnsi="Arial" w:cs="Arial"/>
          <w:sz w:val="22"/>
          <w:szCs w:val="22"/>
        </w:rPr>
        <w:t xml:space="preserve"> vloge za izplačilo iz sklada NOO (vzorec se nahaja </w:t>
      </w:r>
      <w:r w:rsidR="00202E0D">
        <w:rPr>
          <w:rFonts w:ascii="Arial" w:hAnsi="Arial" w:cs="Arial"/>
          <w:sz w:val="22"/>
          <w:szCs w:val="22"/>
        </w:rPr>
        <w:t xml:space="preserve">v </w:t>
      </w:r>
      <w:r w:rsidR="00A862D5">
        <w:rPr>
          <w:rFonts w:ascii="Arial" w:hAnsi="Arial" w:cs="Arial"/>
          <w:sz w:val="22"/>
          <w:szCs w:val="22"/>
        </w:rPr>
        <w:t>Finančnem priročniku NOO)</w:t>
      </w:r>
      <w:r w:rsidRPr="00BE56B2">
        <w:rPr>
          <w:rFonts w:ascii="Arial" w:hAnsi="Arial" w:cs="Arial"/>
          <w:sz w:val="22"/>
          <w:szCs w:val="22"/>
        </w:rPr>
        <w:t>:</w:t>
      </w:r>
      <w:r w:rsidR="00B17F12" w:rsidRPr="00BE56B2">
        <w:rPr>
          <w:rFonts w:ascii="Arial" w:hAnsi="Arial" w:cs="Arial"/>
          <w:sz w:val="22"/>
          <w:szCs w:val="22"/>
        </w:rPr>
        <w:t xml:space="preserve"> </w:t>
      </w:r>
    </w:p>
    <w:p w:rsidR="00156DE0" w:rsidRPr="00156DE0" w:rsidRDefault="00156DE0" w:rsidP="00156D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DE0">
        <w:rPr>
          <w:rFonts w:ascii="Arial" w:hAnsi="Arial" w:cs="Arial"/>
          <w:sz w:val="22"/>
          <w:szCs w:val="22"/>
        </w:rPr>
        <w:t>predložitvijo obrazca:  VZI_Obrazec APP</w:t>
      </w:r>
      <w:r w:rsidR="00484967">
        <w:rPr>
          <w:rFonts w:ascii="Arial" w:hAnsi="Arial" w:cs="Arial"/>
          <w:sz w:val="22"/>
          <w:szCs w:val="22"/>
        </w:rPr>
        <w:t>/</w:t>
      </w:r>
      <w:r w:rsidRPr="00156DE0">
        <w:rPr>
          <w:rFonts w:ascii="Arial" w:hAnsi="Arial" w:cs="Arial"/>
          <w:sz w:val="22"/>
          <w:szCs w:val="22"/>
        </w:rPr>
        <w:t xml:space="preserve"> Obračun SSE</w:t>
      </w:r>
    </w:p>
    <w:p w:rsidR="00BA0FDF" w:rsidRPr="00156DE0" w:rsidRDefault="00156DE0" w:rsidP="00156DE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Izpolnitvijo polletnega poročila </w:t>
      </w:r>
      <w:r w:rsidR="00BA0FDF" w:rsidRPr="00156DE0">
        <w:rPr>
          <w:rFonts w:ascii="Arial" w:hAnsi="Arial" w:cs="Arial"/>
          <w:sz w:val="22"/>
          <w:szCs w:val="22"/>
        </w:rPr>
        <w:t xml:space="preserve">o izvajanju </w:t>
      </w:r>
      <w:r>
        <w:rPr>
          <w:rFonts w:ascii="Arial" w:hAnsi="Arial" w:cs="Arial"/>
          <w:sz w:val="22"/>
          <w:szCs w:val="22"/>
        </w:rPr>
        <w:t>projekta za zaposlenega</w:t>
      </w:r>
      <w:r w:rsidR="00BA0FDF" w:rsidRPr="00156DE0">
        <w:rPr>
          <w:rFonts w:ascii="Arial" w:hAnsi="Arial" w:cs="Arial"/>
          <w:sz w:val="22"/>
          <w:szCs w:val="22"/>
        </w:rPr>
        <w:t xml:space="preserve">, iz katerega je razvidna </w:t>
      </w:r>
      <w:r w:rsidR="002577D8" w:rsidRPr="00156DE0">
        <w:rPr>
          <w:rFonts w:ascii="Arial" w:hAnsi="Arial" w:cs="Arial"/>
          <w:sz w:val="22"/>
          <w:szCs w:val="22"/>
        </w:rPr>
        <w:t xml:space="preserve">mesečna </w:t>
      </w:r>
      <w:r w:rsidR="00BA0FDF" w:rsidRPr="00156DE0">
        <w:rPr>
          <w:rFonts w:ascii="Arial" w:hAnsi="Arial" w:cs="Arial"/>
          <w:sz w:val="22"/>
          <w:szCs w:val="22"/>
          <w:u w:val="single"/>
        </w:rPr>
        <w:t>vsebina in rezultati dela</w:t>
      </w:r>
      <w:r w:rsidR="00BA0FDF" w:rsidRPr="00156DE0">
        <w:rPr>
          <w:rFonts w:ascii="Arial" w:hAnsi="Arial" w:cs="Arial"/>
          <w:sz w:val="22"/>
          <w:szCs w:val="22"/>
        </w:rPr>
        <w:t xml:space="preserve"> osebe na javni raziskovalni organizaciji ter napredek pri doseganju rezultatov, mejnikov in ciljev </w:t>
      </w:r>
      <w:r>
        <w:rPr>
          <w:rFonts w:ascii="Arial" w:hAnsi="Arial" w:cs="Arial"/>
          <w:sz w:val="22"/>
          <w:szCs w:val="22"/>
        </w:rPr>
        <w:t>projekta (VZI_Obrazec APP</w:t>
      </w:r>
      <w:r w:rsidR="00484967">
        <w:rPr>
          <w:rFonts w:ascii="Arial" w:hAnsi="Arial" w:cs="Arial"/>
          <w:sz w:val="22"/>
          <w:szCs w:val="22"/>
        </w:rPr>
        <w:t>/</w:t>
      </w:r>
      <w:r w:rsidRPr="00366ED2">
        <w:rPr>
          <w:rFonts w:ascii="Arial" w:hAnsi="Arial" w:cs="Arial"/>
          <w:sz w:val="22"/>
          <w:szCs w:val="22"/>
        </w:rPr>
        <w:t>Poročilo zaposlenega SSE</w:t>
      </w:r>
      <w:r w:rsidR="00BA0FDF" w:rsidRPr="00156DE0">
        <w:rPr>
          <w:rFonts w:ascii="Arial" w:hAnsi="Arial" w:cs="Arial"/>
          <w:sz w:val="22"/>
          <w:szCs w:val="22"/>
        </w:rPr>
        <w:t xml:space="preserve">; </w:t>
      </w:r>
    </w:p>
    <w:p w:rsidR="00BA0FDF" w:rsidRPr="00BE56B2" w:rsidRDefault="00156DE0" w:rsidP="00777C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A0FDF" w:rsidRPr="00BE56B2">
        <w:rPr>
          <w:rFonts w:ascii="Arial" w:hAnsi="Arial" w:cs="Arial"/>
          <w:sz w:val="22"/>
          <w:szCs w:val="22"/>
        </w:rPr>
        <w:t>.</w:t>
      </w:r>
      <w:r w:rsidR="00BA0FDF" w:rsidRPr="00BE56B2">
        <w:rPr>
          <w:rFonts w:ascii="Arial" w:hAnsi="Arial" w:cs="Arial"/>
          <w:sz w:val="22"/>
          <w:szCs w:val="22"/>
        </w:rPr>
        <w:tab/>
        <w:t xml:space="preserve">ustreznih dokazil za upravičenost stroškov </w:t>
      </w:r>
      <w:r w:rsidR="006B7DA8">
        <w:rPr>
          <w:rFonts w:ascii="Arial" w:hAnsi="Arial" w:cs="Arial"/>
          <w:sz w:val="22"/>
          <w:szCs w:val="22"/>
        </w:rPr>
        <w:t>projekta</w:t>
      </w:r>
      <w:r w:rsidR="00BA0FDF" w:rsidRPr="00BE56B2">
        <w:rPr>
          <w:rFonts w:ascii="Arial" w:hAnsi="Arial" w:cs="Arial"/>
          <w:sz w:val="22"/>
          <w:szCs w:val="22"/>
        </w:rPr>
        <w:t>:</w:t>
      </w:r>
    </w:p>
    <w:p w:rsidR="00BA0FDF" w:rsidRPr="00BE56B2" w:rsidRDefault="00BA0FDF" w:rsidP="00777C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-</w:t>
      </w:r>
      <w:r w:rsidRPr="00BE56B2">
        <w:rPr>
          <w:rFonts w:ascii="Arial" w:hAnsi="Arial" w:cs="Arial"/>
          <w:sz w:val="22"/>
          <w:szCs w:val="22"/>
        </w:rPr>
        <w:tab/>
        <w:t>dokazilo prijavitelja</w:t>
      </w:r>
      <w:r w:rsidR="00B87660" w:rsidRPr="00BE56B2">
        <w:rPr>
          <w:rFonts w:ascii="Arial" w:hAnsi="Arial" w:cs="Arial"/>
          <w:sz w:val="22"/>
          <w:szCs w:val="22"/>
        </w:rPr>
        <w:t>/konzorcijskega partnerja</w:t>
      </w:r>
      <w:r w:rsidRPr="00BE56B2">
        <w:rPr>
          <w:rFonts w:ascii="Arial" w:hAnsi="Arial" w:cs="Arial"/>
          <w:sz w:val="22"/>
          <w:szCs w:val="22"/>
        </w:rPr>
        <w:t xml:space="preserve"> o zaposlitvi osebe za polni delovni čas (</w:t>
      </w:r>
      <w:r w:rsidR="00C13A24" w:rsidRPr="00BE56B2">
        <w:rPr>
          <w:rFonts w:ascii="Arial" w:hAnsi="Arial" w:cs="Arial"/>
          <w:sz w:val="22"/>
          <w:szCs w:val="22"/>
        </w:rPr>
        <w:t>pogodba</w:t>
      </w:r>
      <w:r w:rsidR="00BE56B2" w:rsidRPr="00BE56B2">
        <w:rPr>
          <w:rFonts w:ascii="Arial" w:hAnsi="Arial" w:cs="Arial"/>
          <w:sz w:val="22"/>
          <w:szCs w:val="22"/>
        </w:rPr>
        <w:t>,</w:t>
      </w:r>
      <w:r w:rsidR="00C13A24" w:rsidRPr="00BE56B2">
        <w:rPr>
          <w:rFonts w:ascii="Arial" w:hAnsi="Arial" w:cs="Arial"/>
          <w:sz w:val="22"/>
          <w:szCs w:val="22"/>
        </w:rPr>
        <w:t xml:space="preserve"> </w:t>
      </w:r>
      <w:r w:rsidR="00B87660" w:rsidRPr="00BE56B2">
        <w:rPr>
          <w:rFonts w:ascii="Arial" w:hAnsi="Arial" w:cs="Arial"/>
          <w:sz w:val="22"/>
          <w:szCs w:val="22"/>
        </w:rPr>
        <w:t>aneks ali drug pravni akt</w:t>
      </w:r>
      <w:r w:rsidRPr="00BE56B2">
        <w:rPr>
          <w:rFonts w:ascii="Arial" w:hAnsi="Arial" w:cs="Arial"/>
          <w:sz w:val="22"/>
          <w:szCs w:val="22"/>
        </w:rPr>
        <w:t xml:space="preserve">) </w:t>
      </w:r>
    </w:p>
    <w:p w:rsidR="00BA0FDF" w:rsidRPr="00BE56B2" w:rsidRDefault="00BA0FDF" w:rsidP="00777CD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A97464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SSE</w:t>
      </w:r>
      <w:r w:rsidR="00BA0FDF" w:rsidRPr="00BE56B2">
        <w:rPr>
          <w:rFonts w:ascii="Arial" w:hAnsi="Arial" w:cs="Arial"/>
          <w:sz w:val="22"/>
          <w:szCs w:val="22"/>
        </w:rPr>
        <w:t xml:space="preserve"> se določi na mesečni ravni in </w:t>
      </w:r>
      <w:r w:rsidR="00BA0FDF" w:rsidRPr="00BE56B2">
        <w:rPr>
          <w:rFonts w:ascii="Arial" w:hAnsi="Arial" w:cs="Arial"/>
          <w:sz w:val="22"/>
          <w:szCs w:val="22"/>
          <w:u w:val="single"/>
        </w:rPr>
        <w:t>ni upravičen</w:t>
      </w:r>
      <w:r w:rsidR="00777CDD" w:rsidRPr="00BE56B2">
        <w:rPr>
          <w:rFonts w:ascii="Arial" w:hAnsi="Arial" w:cs="Arial"/>
          <w:sz w:val="22"/>
          <w:szCs w:val="22"/>
          <w:u w:val="single"/>
        </w:rPr>
        <w:t>, če</w:t>
      </w:r>
      <w:r w:rsidR="00BA0FDF" w:rsidRPr="00BE56B2">
        <w:rPr>
          <w:rFonts w:ascii="Arial" w:hAnsi="Arial" w:cs="Arial"/>
          <w:sz w:val="22"/>
          <w:szCs w:val="22"/>
        </w:rPr>
        <w:t xml:space="preserve">: </w:t>
      </w:r>
    </w:p>
    <w:p w:rsidR="00BA0FDF" w:rsidRPr="00BE56B2" w:rsidRDefault="00777CDD" w:rsidP="00777CD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a)</w:t>
      </w:r>
      <w:r w:rsidRPr="00BE56B2">
        <w:rPr>
          <w:rFonts w:ascii="Arial" w:hAnsi="Arial" w:cs="Arial"/>
          <w:sz w:val="22"/>
          <w:szCs w:val="22"/>
        </w:rPr>
        <w:tab/>
      </w:r>
      <w:r w:rsidR="00BA0FDF" w:rsidRPr="00BE56B2">
        <w:rPr>
          <w:rFonts w:ascii="Arial" w:hAnsi="Arial" w:cs="Arial"/>
          <w:sz w:val="22"/>
          <w:szCs w:val="22"/>
        </w:rPr>
        <w:t xml:space="preserve">je strošek dela </w:t>
      </w:r>
      <w:r w:rsidR="00B17F12" w:rsidRPr="00BE56B2">
        <w:rPr>
          <w:rFonts w:ascii="Arial" w:hAnsi="Arial" w:cs="Arial"/>
          <w:sz w:val="22"/>
          <w:szCs w:val="22"/>
        </w:rPr>
        <w:t xml:space="preserve">zaposlenega </w:t>
      </w:r>
      <w:r w:rsidR="00BA0FDF" w:rsidRPr="00BE56B2">
        <w:rPr>
          <w:rFonts w:ascii="Arial" w:hAnsi="Arial" w:cs="Arial"/>
          <w:sz w:val="22"/>
          <w:szCs w:val="22"/>
        </w:rPr>
        <w:t xml:space="preserve">za celoten mesec </w:t>
      </w:r>
      <w:r w:rsidR="00BA0FDF" w:rsidRPr="00BE56B2">
        <w:rPr>
          <w:rFonts w:ascii="Arial" w:hAnsi="Arial" w:cs="Arial"/>
          <w:b/>
          <w:sz w:val="22"/>
          <w:szCs w:val="22"/>
        </w:rPr>
        <w:t>v breme drugega vira financiranja</w:t>
      </w:r>
      <w:r w:rsidR="00BA0FDF" w:rsidRPr="00BE56B2">
        <w:rPr>
          <w:rFonts w:ascii="Arial" w:hAnsi="Arial" w:cs="Arial"/>
          <w:sz w:val="22"/>
          <w:szCs w:val="22"/>
        </w:rPr>
        <w:t>,</w:t>
      </w:r>
    </w:p>
    <w:p w:rsidR="00BA0FDF" w:rsidRPr="00BE56B2" w:rsidRDefault="00BA0FDF" w:rsidP="00777CDD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b)</w:t>
      </w:r>
      <w:r w:rsidRPr="00BE56B2">
        <w:rPr>
          <w:rFonts w:ascii="Arial" w:hAnsi="Arial" w:cs="Arial"/>
          <w:sz w:val="22"/>
          <w:szCs w:val="22"/>
        </w:rPr>
        <w:tab/>
        <w:t xml:space="preserve">pri poročanju na polletni ravni </w:t>
      </w:r>
      <w:r w:rsidRPr="00BE56B2">
        <w:rPr>
          <w:rFonts w:ascii="Arial" w:hAnsi="Arial" w:cs="Arial"/>
          <w:b/>
          <w:sz w:val="22"/>
          <w:szCs w:val="22"/>
        </w:rPr>
        <w:t xml:space="preserve">ni izkazanega </w:t>
      </w:r>
      <w:r w:rsidR="00B17F12" w:rsidRPr="00BE56B2">
        <w:rPr>
          <w:rFonts w:ascii="Arial" w:hAnsi="Arial" w:cs="Arial"/>
          <w:b/>
          <w:sz w:val="22"/>
          <w:szCs w:val="22"/>
        </w:rPr>
        <w:t xml:space="preserve">mesečnega </w:t>
      </w:r>
      <w:r w:rsidRPr="00BE56B2">
        <w:rPr>
          <w:rFonts w:ascii="Arial" w:hAnsi="Arial" w:cs="Arial"/>
          <w:b/>
          <w:sz w:val="22"/>
          <w:szCs w:val="22"/>
        </w:rPr>
        <w:t xml:space="preserve">napredka pri doseganju rezultatov in ciljev </w:t>
      </w:r>
      <w:r w:rsidR="006B7DA8">
        <w:rPr>
          <w:rFonts w:ascii="Arial" w:hAnsi="Arial" w:cs="Arial"/>
          <w:b/>
          <w:sz w:val="22"/>
          <w:szCs w:val="22"/>
        </w:rPr>
        <w:t>projekta</w:t>
      </w:r>
      <w:r w:rsidRPr="00BE56B2">
        <w:rPr>
          <w:rFonts w:ascii="Arial" w:hAnsi="Arial" w:cs="Arial"/>
          <w:b/>
          <w:sz w:val="22"/>
          <w:szCs w:val="22"/>
        </w:rPr>
        <w:t>.</w:t>
      </w:r>
    </w:p>
    <w:p w:rsidR="00BA0FDF" w:rsidRPr="00BE56B2" w:rsidRDefault="00BA0FDF" w:rsidP="00777CD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BA0FDF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lastRenderedPageBreak/>
        <w:t xml:space="preserve">V primeru, ko končni prejemniki sredstev v roku ne predložijo ustreznih dokazil o upravičenosti stroškov, niso upravičeni do sredstev sofinanciranja na podlagi pogodbe o sofinanciranju </w:t>
      </w:r>
      <w:r w:rsidR="006B7DA8">
        <w:rPr>
          <w:rFonts w:ascii="Arial" w:hAnsi="Arial" w:cs="Arial"/>
          <w:sz w:val="22"/>
          <w:szCs w:val="22"/>
        </w:rPr>
        <w:t>projekta</w:t>
      </w:r>
      <w:r w:rsidRPr="00BE56B2">
        <w:rPr>
          <w:rFonts w:ascii="Arial" w:hAnsi="Arial" w:cs="Arial"/>
          <w:sz w:val="22"/>
          <w:szCs w:val="22"/>
        </w:rPr>
        <w:t>.</w:t>
      </w:r>
    </w:p>
    <w:p w:rsidR="00BA0FDF" w:rsidRPr="00BE56B2" w:rsidRDefault="00BA0FDF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6DB7" w:rsidRPr="00BE56B2" w:rsidRDefault="00D06DB7" w:rsidP="008B14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 xml:space="preserve">Na podlagi dejstva, da se projekti izvajajo čez večletno obdobje in iz razloga morebitnih rasti cen (inflacije) bo metodologija v času izvajanja projektov revidirana (predvidoma </w:t>
      </w:r>
      <w:r w:rsidR="00536B44">
        <w:rPr>
          <w:rFonts w:ascii="Arial" w:hAnsi="Arial" w:cs="Arial"/>
          <w:sz w:val="22"/>
          <w:szCs w:val="22"/>
        </w:rPr>
        <w:t>junija</w:t>
      </w:r>
      <w:r w:rsidR="00536B44" w:rsidRPr="00BE56B2">
        <w:rPr>
          <w:rFonts w:ascii="Arial" w:hAnsi="Arial" w:cs="Arial"/>
          <w:sz w:val="22"/>
          <w:szCs w:val="22"/>
        </w:rPr>
        <w:t xml:space="preserve"> </w:t>
      </w:r>
      <w:r w:rsidRPr="00BE56B2">
        <w:rPr>
          <w:rFonts w:ascii="Arial" w:hAnsi="Arial" w:cs="Arial"/>
          <w:sz w:val="22"/>
          <w:szCs w:val="22"/>
        </w:rPr>
        <w:t>202</w:t>
      </w:r>
      <w:r w:rsidR="00536B44">
        <w:rPr>
          <w:rFonts w:ascii="Arial" w:hAnsi="Arial" w:cs="Arial"/>
          <w:sz w:val="22"/>
          <w:szCs w:val="22"/>
        </w:rPr>
        <w:t>4</w:t>
      </w:r>
      <w:r w:rsidRPr="00BE56B2">
        <w:rPr>
          <w:rFonts w:ascii="Arial" w:hAnsi="Arial" w:cs="Arial"/>
          <w:sz w:val="22"/>
          <w:szCs w:val="22"/>
        </w:rPr>
        <w:t xml:space="preserve">) z namenom prilagoditve izračuna SEE skladno z zadnjimi letnimi bruto bruto stroški zaposlitev. </w:t>
      </w:r>
      <w:r w:rsidR="006F04EB" w:rsidRPr="00BE56B2">
        <w:rPr>
          <w:rFonts w:ascii="Arial" w:hAnsi="Arial" w:cs="Arial"/>
          <w:sz w:val="22"/>
          <w:szCs w:val="22"/>
        </w:rPr>
        <w:t>Revidirana metodologija bo določila novo višino SSE za izvedbo projekta in bo uporabljena z dnem 1.</w:t>
      </w:r>
      <w:r w:rsidR="00536B44">
        <w:rPr>
          <w:rFonts w:ascii="Arial" w:hAnsi="Arial" w:cs="Arial"/>
          <w:sz w:val="22"/>
          <w:szCs w:val="22"/>
        </w:rPr>
        <w:t>7</w:t>
      </w:r>
      <w:r w:rsidR="006F04EB" w:rsidRPr="00BE56B2">
        <w:rPr>
          <w:rFonts w:ascii="Arial" w:hAnsi="Arial" w:cs="Arial"/>
          <w:sz w:val="22"/>
          <w:szCs w:val="22"/>
        </w:rPr>
        <w:t xml:space="preserve">.2024. </w:t>
      </w:r>
      <w:r w:rsidRPr="00BE56B2">
        <w:rPr>
          <w:rFonts w:ascii="Arial" w:hAnsi="Arial" w:cs="Arial"/>
          <w:sz w:val="22"/>
          <w:szCs w:val="22"/>
        </w:rPr>
        <w:t xml:space="preserve"> </w:t>
      </w:r>
    </w:p>
    <w:p w:rsidR="008B14A5" w:rsidRPr="00BE56B2" w:rsidRDefault="008B14A5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0FDF" w:rsidRPr="005F031C" w:rsidRDefault="00B17F12" w:rsidP="005F031C">
      <w:pPr>
        <w:pStyle w:val="ListParagraph"/>
        <w:numPr>
          <w:ilvl w:val="1"/>
          <w:numId w:val="2"/>
        </w:numPr>
        <w:tabs>
          <w:tab w:val="left" w:pos="7797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31C">
        <w:rPr>
          <w:rFonts w:ascii="Arial" w:hAnsi="Arial" w:cs="Arial"/>
          <w:b/>
          <w:color w:val="000000"/>
          <w:sz w:val="22"/>
          <w:szCs w:val="22"/>
        </w:rPr>
        <w:t>Financiranje po pavšalni stopnji v višini 15 % upravičenih neposrednih stroškov osebja</w:t>
      </w:r>
      <w:r w:rsidRPr="005F031C" w:rsidDel="008166A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F031C">
        <w:rPr>
          <w:rFonts w:ascii="Arial" w:hAnsi="Arial" w:cs="Arial"/>
          <w:b/>
          <w:color w:val="000000"/>
          <w:sz w:val="22"/>
          <w:szCs w:val="22"/>
        </w:rPr>
        <w:t>(Pavšalna stopnja 15%)</w:t>
      </w:r>
      <w:r w:rsidR="00BA0FDF" w:rsidRPr="005F031C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BA0FDF" w:rsidRPr="00BE56B2" w:rsidRDefault="00BA0FDF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B17F12" w:rsidP="00777CD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b/>
          <w:color w:val="000000"/>
          <w:sz w:val="22"/>
          <w:szCs w:val="22"/>
        </w:rPr>
        <w:t>Financiranje po pavšalni stopnji v višini 15 % upravičenih neposrednih stroškov osebja</w:t>
      </w:r>
      <w:r w:rsidRPr="00BE56B2" w:rsidDel="008166A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se opredeli skladno s členom </w:t>
      </w:r>
      <w:r w:rsidR="006F04EB" w:rsidRPr="00BE56B2">
        <w:rPr>
          <w:rFonts w:ascii="Arial" w:hAnsi="Arial" w:cs="Arial"/>
          <w:color w:val="000000"/>
          <w:sz w:val="22"/>
          <w:szCs w:val="22"/>
        </w:rPr>
        <w:t xml:space="preserve">53 in 54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6F04EB" w:rsidRPr="00BE56B2">
        <w:rPr>
          <w:rFonts w:ascii="Arial" w:hAnsi="Arial" w:cs="Arial"/>
          <w:color w:val="000000"/>
          <w:sz w:val="22"/>
          <w:szCs w:val="22"/>
        </w:rPr>
        <w:t xml:space="preserve">uredbe </w:t>
      </w:r>
      <w:r w:rsidR="006F04EB" w:rsidRPr="00BE56B2">
        <w:rPr>
          <w:rFonts w:ascii="Arial" w:hAnsi="Arial" w:cs="Arial"/>
          <w:sz w:val="22"/>
          <w:szCs w:val="22"/>
        </w:rPr>
        <w:t>(EU) 2021/1060</w:t>
      </w:r>
      <w:r w:rsidR="005F031C">
        <w:rPr>
          <w:rFonts w:ascii="Arial" w:hAnsi="Arial" w:cs="Arial"/>
          <w:sz w:val="22"/>
          <w:szCs w:val="22"/>
        </w:rPr>
        <w:t xml:space="preserve">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>na podlagi pavšalne stopnje upravičen</w:t>
      </w:r>
      <w:r w:rsidR="00777CDD" w:rsidRPr="00BE56B2">
        <w:rPr>
          <w:rFonts w:ascii="Arial" w:hAnsi="Arial" w:cs="Arial"/>
          <w:color w:val="000000"/>
          <w:sz w:val="22"/>
          <w:szCs w:val="22"/>
        </w:rPr>
        <w:t xml:space="preserve">ih neposrednih stroškov osebja oziroma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>upravičenih neposrednih stroškov plač, pri čemer metodologija ni potrebna.</w:t>
      </w:r>
    </w:p>
    <w:p w:rsidR="00BA0FDF" w:rsidRPr="00BE56B2" w:rsidRDefault="00BA0FDF" w:rsidP="00777CDD">
      <w:pPr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A0FDF" w:rsidRPr="00BE56B2" w:rsidRDefault="006F04EB" w:rsidP="00777CD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Financiranje po pavšalni stopnji se uporablja za določitev p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>osredni</w:t>
      </w:r>
      <w:r w:rsidRPr="00BE56B2">
        <w:rPr>
          <w:rFonts w:ascii="Arial" w:hAnsi="Arial" w:cs="Arial"/>
          <w:color w:val="000000"/>
          <w:sz w:val="22"/>
          <w:szCs w:val="22"/>
        </w:rPr>
        <w:t>h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strošk</w:t>
      </w:r>
      <w:r w:rsidRPr="00BE56B2">
        <w:rPr>
          <w:rFonts w:ascii="Arial" w:hAnsi="Arial" w:cs="Arial"/>
          <w:color w:val="000000"/>
          <w:sz w:val="22"/>
          <w:szCs w:val="22"/>
        </w:rPr>
        <w:t>ov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projekta, ki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>vsebinsko obsegajo ostale stroške delovanja</w:t>
      </w:r>
      <w:r w:rsidR="008B14A5" w:rsidRPr="00BE56B2">
        <w:rPr>
          <w:rFonts w:ascii="Arial" w:hAnsi="Arial" w:cs="Arial"/>
          <w:color w:val="000000"/>
          <w:sz w:val="22"/>
          <w:szCs w:val="22"/>
        </w:rPr>
        <w:t>,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8B14A5" w:rsidRPr="00BE56B2">
        <w:rPr>
          <w:rFonts w:ascii="Arial" w:hAnsi="Arial" w:cs="Arial"/>
          <w:color w:val="000000"/>
          <w:sz w:val="22"/>
          <w:szCs w:val="22"/>
        </w:rPr>
        <w:t>vezane</w:t>
      </w:r>
      <w:r w:rsidR="00B17F12" w:rsidRPr="00BE56B2">
        <w:rPr>
          <w:rFonts w:ascii="Arial" w:hAnsi="Arial" w:cs="Arial"/>
          <w:color w:val="000000"/>
          <w:sz w:val="22"/>
          <w:szCs w:val="22"/>
        </w:rPr>
        <w:t xml:space="preserve"> na stroške zaposlenih v projektnih pisarnah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>(npr. stroški materiala, goriva, vode, tekočega vzdrževanja, telefona, mobilnih telefonov</w:t>
      </w:r>
      <w:r w:rsidR="00B17F12" w:rsidRPr="00BE56B2">
        <w:rPr>
          <w:rFonts w:ascii="Arial" w:hAnsi="Arial" w:cs="Arial"/>
          <w:color w:val="000000"/>
          <w:sz w:val="22"/>
          <w:szCs w:val="22"/>
        </w:rPr>
        <w:t xml:space="preserve">, pisarniški material,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itd.), ki so nastali neposredno kot posledica izvajanja dejavnosti </w:t>
      </w:r>
      <w:r w:rsidR="00777CDD" w:rsidRPr="00BE56B2">
        <w:rPr>
          <w:rFonts w:ascii="Arial" w:hAnsi="Arial" w:cs="Arial"/>
          <w:color w:val="000000"/>
          <w:sz w:val="22"/>
          <w:szCs w:val="22"/>
        </w:rPr>
        <w:t>projektnih pisarn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v partnerskih organizacijah in se uveljavljajo v obliki 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pavšalne stopnje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v </w:t>
      </w:r>
      <w:r w:rsidR="00BA0FDF" w:rsidRPr="00BE56B2">
        <w:rPr>
          <w:rFonts w:ascii="Arial" w:hAnsi="Arial" w:cs="Arial"/>
          <w:b/>
          <w:color w:val="000000"/>
          <w:sz w:val="22"/>
          <w:szCs w:val="22"/>
        </w:rPr>
        <w:t>višini 15 % standardne lestvice stroška na enoto za stroške dela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>.</w:t>
      </w:r>
    </w:p>
    <w:p w:rsidR="00BA0FDF" w:rsidRPr="00BE56B2" w:rsidRDefault="00BA0FDF" w:rsidP="00777CDD">
      <w:pPr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A0FDF" w:rsidRPr="00BE56B2" w:rsidRDefault="008B14A5" w:rsidP="00777CD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Strošek se uveljavlja na podlagi 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izstavljen</w:t>
      </w:r>
      <w:r w:rsidRPr="00BE56B2">
        <w:rPr>
          <w:rFonts w:ascii="Arial" w:hAnsi="Arial" w:cs="Arial"/>
          <w:color w:val="000000"/>
          <w:sz w:val="22"/>
          <w:szCs w:val="22"/>
        </w:rPr>
        <w:t>e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in podpisan</w:t>
      </w:r>
      <w:r w:rsidRPr="00BE56B2">
        <w:rPr>
          <w:rFonts w:ascii="Arial" w:hAnsi="Arial" w:cs="Arial"/>
          <w:color w:val="000000"/>
          <w:sz w:val="22"/>
          <w:szCs w:val="22"/>
        </w:rPr>
        <w:t>e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listin</w:t>
      </w:r>
      <w:r w:rsidRPr="00BE56B2">
        <w:rPr>
          <w:rFonts w:ascii="Arial" w:hAnsi="Arial" w:cs="Arial"/>
          <w:color w:val="000000"/>
          <w:sz w:val="22"/>
          <w:szCs w:val="22"/>
        </w:rPr>
        <w:t>e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 za obračun </w:t>
      </w:r>
      <w:r w:rsidRPr="00BE56B2">
        <w:rPr>
          <w:rFonts w:ascii="Arial" w:hAnsi="Arial" w:cs="Arial"/>
          <w:b/>
          <w:color w:val="000000"/>
          <w:sz w:val="22"/>
          <w:szCs w:val="22"/>
        </w:rPr>
        <w:t>financiranja po pavšalni stopnji v višini 15 % upravičenih neposrednih stroškov osebja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 xml:space="preserve">, ki se izrazi v deležu na upravičene stroške dela v obliki standardne lestvice stroška na enoto, ki so nastali pri izvajanju </w:t>
      </w:r>
      <w:r w:rsidR="006B7DA8">
        <w:rPr>
          <w:rFonts w:ascii="Arial" w:hAnsi="Arial" w:cs="Arial"/>
          <w:color w:val="000000"/>
          <w:sz w:val="22"/>
          <w:szCs w:val="22"/>
        </w:rPr>
        <w:t>projekta</w:t>
      </w:r>
      <w:r w:rsidR="00BA0FDF" w:rsidRPr="00BE56B2">
        <w:rPr>
          <w:rFonts w:ascii="Arial" w:hAnsi="Arial" w:cs="Arial"/>
          <w:color w:val="000000"/>
          <w:sz w:val="22"/>
          <w:szCs w:val="22"/>
        </w:rPr>
        <w:t>, upoštevajoč določila iz prejšnjega odstavka.</w:t>
      </w:r>
    </w:p>
    <w:p w:rsidR="00747E57" w:rsidRPr="00BE56B2" w:rsidRDefault="00747E57" w:rsidP="00777CDD">
      <w:pPr>
        <w:spacing w:line="276" w:lineRule="auto"/>
        <w:rPr>
          <w:rFonts w:ascii="Arial" w:hAnsi="Arial" w:cs="Arial"/>
          <w:sz w:val="22"/>
          <w:szCs w:val="22"/>
        </w:rPr>
      </w:pPr>
    </w:p>
    <w:p w:rsidR="00BA0FDF" w:rsidRPr="00BE56B2" w:rsidRDefault="00BA0FDF" w:rsidP="00777CDD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BA0FDF" w:rsidRPr="005F031C" w:rsidRDefault="006B1199" w:rsidP="005F031C">
      <w:pPr>
        <w:pStyle w:val="ListParagraph"/>
        <w:numPr>
          <w:ilvl w:val="1"/>
          <w:numId w:val="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31C">
        <w:rPr>
          <w:rFonts w:ascii="Arial" w:hAnsi="Arial" w:cs="Arial"/>
          <w:b/>
          <w:color w:val="000000"/>
          <w:sz w:val="22"/>
          <w:szCs w:val="22"/>
        </w:rPr>
        <w:t xml:space="preserve">Pavšalni </w:t>
      </w:r>
      <w:r w:rsidR="0056448F" w:rsidRPr="005F031C">
        <w:rPr>
          <w:rFonts w:ascii="Arial" w:hAnsi="Arial" w:cs="Arial"/>
          <w:b/>
          <w:color w:val="000000"/>
          <w:sz w:val="22"/>
          <w:szCs w:val="22"/>
        </w:rPr>
        <w:t>zneski</w:t>
      </w:r>
      <w:r w:rsidR="00DA4829" w:rsidRPr="005F031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F031C">
        <w:rPr>
          <w:rFonts w:ascii="Arial" w:hAnsi="Arial" w:cs="Arial"/>
          <w:b/>
          <w:color w:val="000000"/>
          <w:sz w:val="22"/>
          <w:szCs w:val="22"/>
        </w:rPr>
        <w:t>organizacije in izvedbe dogodkov</w:t>
      </w:r>
      <w:r w:rsidR="00DA4829" w:rsidRPr="005F031C">
        <w:rPr>
          <w:rFonts w:ascii="Arial" w:hAnsi="Arial" w:cs="Arial"/>
          <w:b/>
          <w:color w:val="000000"/>
          <w:sz w:val="22"/>
          <w:szCs w:val="22"/>
        </w:rPr>
        <w:t xml:space="preserve"> ter mreženj</w:t>
      </w:r>
      <w:r w:rsidR="004A1023" w:rsidRPr="005F031C">
        <w:rPr>
          <w:rFonts w:ascii="Arial" w:hAnsi="Arial" w:cs="Arial"/>
          <w:b/>
          <w:color w:val="000000"/>
          <w:sz w:val="22"/>
          <w:szCs w:val="22"/>
        </w:rPr>
        <w:t>a</w:t>
      </w:r>
      <w:r w:rsidR="0056448F" w:rsidRPr="005F031C">
        <w:rPr>
          <w:rFonts w:ascii="Arial" w:hAnsi="Arial" w:cs="Arial"/>
          <w:b/>
          <w:color w:val="000000"/>
          <w:sz w:val="22"/>
          <w:szCs w:val="22"/>
        </w:rPr>
        <w:t xml:space="preserve"> (Pavšalni zneski dogodkov)</w:t>
      </w:r>
    </w:p>
    <w:p w:rsidR="0077361E" w:rsidRPr="00BE56B2" w:rsidRDefault="0077361E" w:rsidP="00777CDD">
      <w:pPr>
        <w:pStyle w:val="ListParagraph"/>
        <w:tabs>
          <w:tab w:val="left" w:pos="709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77CDD" w:rsidRPr="00BE56B2" w:rsidRDefault="0056448F" w:rsidP="00777CD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Pavšalni zneski dogodkov se opredelijo skladno z </w:t>
      </w:r>
      <w:r w:rsidR="00BE56B2">
        <w:rPr>
          <w:rFonts w:ascii="Arial" w:hAnsi="Arial" w:cs="Arial"/>
          <w:color w:val="000000"/>
          <w:sz w:val="22"/>
          <w:szCs w:val="22"/>
        </w:rPr>
        <w:t>Uredbo (EU, Euratom) 2018/1046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 in Finančnim priročnik</w:t>
      </w:r>
      <w:r w:rsidR="00C16503" w:rsidRPr="00BE56B2">
        <w:rPr>
          <w:rFonts w:ascii="Arial" w:hAnsi="Arial" w:cs="Arial"/>
          <w:color w:val="000000"/>
          <w:sz w:val="22"/>
          <w:szCs w:val="22"/>
        </w:rPr>
        <w:t>om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 NOO. </w:t>
      </w:r>
      <w:r w:rsidR="00777CDD" w:rsidRPr="00BE56B2">
        <w:rPr>
          <w:rFonts w:ascii="Arial" w:hAnsi="Arial" w:cs="Arial"/>
          <w:color w:val="000000"/>
          <w:sz w:val="22"/>
          <w:szCs w:val="22"/>
        </w:rPr>
        <w:t>V okviru javnega razpisa je potrebno zasledovati rezultate, vezane na organizacijo in izvedbo dogodkov</w:t>
      </w:r>
      <w:r w:rsidR="006F04EB" w:rsidRPr="00BE56B2">
        <w:rPr>
          <w:rFonts w:ascii="Arial" w:hAnsi="Arial" w:cs="Arial"/>
          <w:color w:val="000000"/>
          <w:sz w:val="22"/>
          <w:szCs w:val="22"/>
        </w:rPr>
        <w:t>, ki so opredeljeni v poglavju 2.2 besedila javnega razpisa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>.</w:t>
      </w:r>
      <w:r w:rsidR="006F04EB" w:rsidRPr="00BE56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77CDD" w:rsidRPr="00BE56B2" w:rsidRDefault="00777CDD" w:rsidP="00777CDD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1199" w:rsidRPr="00BE56B2" w:rsidRDefault="006B1199" w:rsidP="00777CD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S pomočjo priloge</w:t>
      </w:r>
      <w:r w:rsidR="00A262B3">
        <w:rPr>
          <w:rFonts w:ascii="Arial" w:hAnsi="Arial" w:cs="Arial"/>
          <w:sz w:val="22"/>
          <w:szCs w:val="22"/>
        </w:rPr>
        <w:t xml:space="preserve"> </w:t>
      </w:r>
      <w:r w:rsidR="00A262B3" w:rsidRPr="00A262B3">
        <w:rPr>
          <w:rFonts w:ascii="Arial" w:hAnsi="Arial" w:cs="Arial"/>
          <w:sz w:val="22"/>
          <w:szCs w:val="22"/>
        </w:rPr>
        <w:t>Financni obrazec</w:t>
      </w:r>
      <w:r w:rsidR="00827E7C">
        <w:rPr>
          <w:rFonts w:ascii="Arial" w:hAnsi="Arial" w:cs="Arial"/>
          <w:sz w:val="22"/>
          <w:szCs w:val="22"/>
        </w:rPr>
        <w:t>/</w:t>
      </w:r>
      <w:r w:rsidR="0051641D" w:rsidRPr="00BE56B2">
        <w:rPr>
          <w:rFonts w:ascii="Arial" w:hAnsi="Arial" w:cs="Arial"/>
          <w:sz w:val="22"/>
          <w:szCs w:val="22"/>
        </w:rPr>
        <w:t>IZRAC. Pavsalni zneski dogodk</w:t>
      </w:r>
      <w:r w:rsidR="00827E7C">
        <w:rPr>
          <w:rFonts w:ascii="Arial" w:hAnsi="Arial" w:cs="Arial"/>
          <w:sz w:val="22"/>
          <w:szCs w:val="22"/>
        </w:rPr>
        <w:t>ov</w:t>
      </w:r>
      <w:r w:rsidR="00CE3C7C" w:rsidRPr="00BE56B2">
        <w:rPr>
          <w:rFonts w:ascii="Arial" w:hAnsi="Arial" w:cs="Arial"/>
          <w:sz w:val="22"/>
          <w:szCs w:val="22"/>
        </w:rPr>
        <w:t xml:space="preserve"> 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>prijavitelj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 pripravi </w:t>
      </w:r>
      <w:r w:rsidR="00DA4829" w:rsidRPr="00BE56B2">
        <w:rPr>
          <w:rFonts w:ascii="Arial" w:hAnsi="Arial" w:cs="Arial"/>
          <w:color w:val="000000"/>
          <w:sz w:val="22"/>
          <w:szCs w:val="22"/>
        </w:rPr>
        <w:t xml:space="preserve">proračun </w:t>
      </w:r>
      <w:r w:rsidR="00C91B8D" w:rsidRPr="00BE56B2">
        <w:rPr>
          <w:rFonts w:ascii="Arial" w:hAnsi="Arial" w:cs="Arial"/>
          <w:color w:val="000000"/>
          <w:sz w:val="22"/>
          <w:szCs w:val="22"/>
        </w:rPr>
        <w:t>pavšalnih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DA4829" w:rsidRPr="00BE56B2">
        <w:rPr>
          <w:rFonts w:ascii="Arial" w:hAnsi="Arial" w:cs="Arial"/>
          <w:color w:val="000000"/>
          <w:sz w:val="22"/>
          <w:szCs w:val="22"/>
        </w:rPr>
        <w:t xml:space="preserve">zneskov 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dogodkov v obliki 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>t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ipov </w:t>
      </w:r>
      <w:r w:rsidR="00C91B8D" w:rsidRPr="00BE56B2">
        <w:rPr>
          <w:rFonts w:ascii="Arial" w:hAnsi="Arial" w:cs="Arial"/>
          <w:color w:val="000000"/>
          <w:sz w:val="22"/>
          <w:szCs w:val="22"/>
        </w:rPr>
        <w:t>dogodkov</w:t>
      </w:r>
      <w:r w:rsidR="00740E0F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740E0F" w:rsidRPr="00BE56B2">
        <w:rPr>
          <w:rFonts w:ascii="Arial" w:hAnsi="Arial" w:cs="Arial"/>
          <w:color w:val="000000"/>
          <w:sz w:val="22"/>
          <w:szCs w:val="22"/>
          <w:u w:val="single"/>
        </w:rPr>
        <w:t>za celoten konzorcij</w:t>
      </w:r>
      <w:r w:rsidR="00A262B3">
        <w:rPr>
          <w:rFonts w:ascii="Arial" w:hAnsi="Arial" w:cs="Arial"/>
          <w:color w:val="000000"/>
          <w:sz w:val="22"/>
          <w:szCs w:val="22"/>
          <w:u w:val="single"/>
        </w:rPr>
        <w:t xml:space="preserve"> (zavihek Načrt dogodkov)</w:t>
      </w:r>
      <w:r w:rsidRPr="00BE56B2">
        <w:rPr>
          <w:rFonts w:ascii="Arial" w:hAnsi="Arial" w:cs="Arial"/>
          <w:color w:val="000000"/>
          <w:sz w:val="22"/>
          <w:szCs w:val="22"/>
        </w:rPr>
        <w:t>.</w:t>
      </w:r>
      <w:r w:rsidR="00C91B8D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4A1023" w:rsidRPr="00536B44">
        <w:rPr>
          <w:rFonts w:ascii="Arial" w:hAnsi="Arial" w:cs="Arial"/>
          <w:color w:val="000000"/>
          <w:sz w:val="22"/>
          <w:szCs w:val="22"/>
        </w:rPr>
        <w:t xml:space="preserve">Prijavitelj naj </w:t>
      </w:r>
      <w:r w:rsidR="00CE3C7C" w:rsidRPr="00536B44">
        <w:rPr>
          <w:rFonts w:ascii="Arial" w:hAnsi="Arial" w:cs="Arial"/>
          <w:color w:val="000000"/>
          <w:sz w:val="22"/>
          <w:szCs w:val="22"/>
        </w:rPr>
        <w:t>načrt natančno opredel</w:t>
      </w:r>
      <w:r w:rsidR="004A1023" w:rsidRPr="00536B44">
        <w:rPr>
          <w:rFonts w:ascii="Arial" w:hAnsi="Arial" w:cs="Arial"/>
          <w:color w:val="000000"/>
          <w:sz w:val="22"/>
          <w:szCs w:val="22"/>
        </w:rPr>
        <w:t xml:space="preserve">i </w:t>
      </w:r>
      <w:r w:rsidR="00CE3C7C" w:rsidRPr="00536B44">
        <w:rPr>
          <w:rFonts w:ascii="Arial" w:hAnsi="Arial" w:cs="Arial"/>
          <w:color w:val="000000"/>
          <w:sz w:val="22"/>
          <w:szCs w:val="22"/>
        </w:rPr>
        <w:t xml:space="preserve">in </w:t>
      </w:r>
      <w:r w:rsidR="004A1023" w:rsidRPr="00536B44">
        <w:rPr>
          <w:rFonts w:ascii="Arial" w:hAnsi="Arial" w:cs="Arial"/>
          <w:color w:val="000000"/>
          <w:sz w:val="22"/>
          <w:szCs w:val="22"/>
        </w:rPr>
        <w:t xml:space="preserve">prikaže </w:t>
      </w:r>
      <w:r w:rsidR="00CE3C7C" w:rsidRPr="00536B44">
        <w:rPr>
          <w:rFonts w:ascii="Arial" w:hAnsi="Arial" w:cs="Arial"/>
          <w:color w:val="000000"/>
          <w:sz w:val="22"/>
          <w:szCs w:val="22"/>
        </w:rPr>
        <w:t>natančn</w:t>
      </w:r>
      <w:r w:rsidR="00827E7C" w:rsidRPr="00536B44">
        <w:rPr>
          <w:rFonts w:ascii="Arial" w:hAnsi="Arial" w:cs="Arial"/>
          <w:color w:val="000000"/>
          <w:sz w:val="22"/>
          <w:szCs w:val="22"/>
        </w:rPr>
        <w:t>e</w:t>
      </w:r>
      <w:r w:rsidR="00CE3C7C" w:rsidRPr="00536B44">
        <w:rPr>
          <w:rFonts w:ascii="Arial" w:hAnsi="Arial" w:cs="Arial"/>
          <w:color w:val="000000"/>
          <w:sz w:val="22"/>
          <w:szCs w:val="22"/>
        </w:rPr>
        <w:t xml:space="preserve"> izračun</w:t>
      </w:r>
      <w:r w:rsidR="00827E7C" w:rsidRPr="00536B44">
        <w:rPr>
          <w:rFonts w:ascii="Arial" w:hAnsi="Arial" w:cs="Arial"/>
          <w:color w:val="000000"/>
          <w:sz w:val="22"/>
          <w:szCs w:val="22"/>
        </w:rPr>
        <w:t>e</w:t>
      </w:r>
      <w:r w:rsidR="004A1023" w:rsidRPr="00536B44">
        <w:rPr>
          <w:rFonts w:ascii="Arial" w:hAnsi="Arial" w:cs="Arial"/>
          <w:color w:val="000000"/>
          <w:sz w:val="22"/>
          <w:szCs w:val="22"/>
        </w:rPr>
        <w:t xml:space="preserve"> za celotno trajanje projekta v okviru predvidenih s</w:t>
      </w:r>
      <w:r w:rsidR="00580E7F" w:rsidRPr="00536B44">
        <w:rPr>
          <w:rFonts w:ascii="Arial" w:hAnsi="Arial" w:cs="Arial"/>
          <w:color w:val="000000"/>
          <w:sz w:val="22"/>
          <w:szCs w:val="22"/>
        </w:rPr>
        <w:t xml:space="preserve">redstev, rezultatov in učinkov. </w:t>
      </w:r>
      <w:r w:rsidR="00DA4829" w:rsidRPr="00536B44">
        <w:rPr>
          <w:rFonts w:ascii="Arial" w:hAnsi="Arial" w:cs="Arial"/>
          <w:color w:val="000000"/>
          <w:sz w:val="22"/>
          <w:szCs w:val="22"/>
        </w:rPr>
        <w:t>Izračun</w:t>
      </w:r>
      <w:r w:rsidR="00DA4829" w:rsidRPr="00BE56B2">
        <w:rPr>
          <w:rFonts w:ascii="Arial" w:hAnsi="Arial" w:cs="Arial"/>
          <w:color w:val="000000"/>
          <w:sz w:val="22"/>
          <w:szCs w:val="22"/>
        </w:rPr>
        <w:t xml:space="preserve"> proračuna mora izkazovati, da je pripravljen pošteno in pravično</w:t>
      </w:r>
      <w:r w:rsidR="009C5C09" w:rsidRPr="00BE56B2">
        <w:rPr>
          <w:rFonts w:ascii="Arial" w:hAnsi="Arial" w:cs="Arial"/>
          <w:color w:val="000000"/>
          <w:sz w:val="22"/>
          <w:szCs w:val="22"/>
        </w:rPr>
        <w:t>. V</w:t>
      </w:r>
      <w:r w:rsidR="00DA4829" w:rsidRPr="00BE56B2">
        <w:rPr>
          <w:rFonts w:ascii="Arial" w:hAnsi="Arial" w:cs="Arial"/>
          <w:color w:val="000000"/>
          <w:sz w:val="22"/>
          <w:szCs w:val="22"/>
        </w:rPr>
        <w:t>si pripravljeni izračuni morajo biti preverljivi.</w:t>
      </w:r>
      <w:r w:rsidR="0046067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448F" w:rsidRPr="00BE56B2" w:rsidRDefault="0056448F" w:rsidP="00777CDD">
      <w:pPr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91B8D" w:rsidRPr="00BE56B2" w:rsidRDefault="0051641D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Primeri t</w:t>
      </w:r>
      <w:r w:rsidR="00C91B8D" w:rsidRPr="00BE56B2">
        <w:rPr>
          <w:rFonts w:ascii="Arial" w:hAnsi="Arial" w:cs="Arial"/>
          <w:sz w:val="22"/>
          <w:szCs w:val="22"/>
        </w:rPr>
        <w:t>ipov dogodkov (niso obvezujoči):</w:t>
      </w:r>
    </w:p>
    <w:p w:rsidR="009E1D99" w:rsidRPr="00BE56B2" w:rsidRDefault="009E1D99" w:rsidP="00777CDD">
      <w:p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>N</w:t>
      </w:r>
      <w:r w:rsidRPr="00BE56B2">
        <w:rPr>
          <w:rFonts w:ascii="Arial" w:hAnsi="Arial" w:cs="Arial"/>
          <w:color w:val="000000"/>
          <w:sz w:val="22"/>
          <w:szCs w:val="22"/>
        </w:rPr>
        <w:t>acionalni dogodek</w:t>
      </w:r>
      <w:r w:rsidR="00087B33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 xml:space="preserve">informativne narave </w:t>
      </w:r>
    </w:p>
    <w:p w:rsidR="009E1D99" w:rsidRPr="00BE56B2" w:rsidRDefault="009E1D99" w:rsidP="00BE56B2">
      <w:p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- 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>M</w:t>
      </w:r>
      <w:r w:rsidRPr="00BE56B2">
        <w:rPr>
          <w:rFonts w:ascii="Arial" w:hAnsi="Arial" w:cs="Arial"/>
          <w:color w:val="000000"/>
          <w:sz w:val="22"/>
          <w:szCs w:val="22"/>
        </w:rPr>
        <w:t>ednarodni dogodek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 xml:space="preserve"> informativne narave </w:t>
      </w:r>
    </w:p>
    <w:p w:rsidR="004A1023" w:rsidRPr="00BE56B2" w:rsidRDefault="009E1D99" w:rsidP="00777CDD">
      <w:p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- Usposabljanje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 xml:space="preserve"> z nacionalnimi predavatelji </w:t>
      </w:r>
    </w:p>
    <w:p w:rsidR="009E1D99" w:rsidRDefault="004A1023" w:rsidP="00777CDD">
      <w:p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- Usposabljanje z mednarodnimi predavateljevi </w:t>
      </w:r>
    </w:p>
    <w:p w:rsidR="00BE56B2" w:rsidRPr="00BE56B2" w:rsidRDefault="00BE56B2" w:rsidP="00777CDD">
      <w:p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BE56B2">
        <w:rPr>
          <w:rFonts w:ascii="Arial" w:hAnsi="Arial" w:cs="Arial"/>
          <w:color w:val="000000"/>
          <w:sz w:val="22"/>
          <w:szCs w:val="22"/>
        </w:rPr>
        <w:t>Svetovanje</w:t>
      </w:r>
    </w:p>
    <w:p w:rsidR="004A1023" w:rsidRPr="00BE56B2" w:rsidRDefault="004A1023" w:rsidP="00777CDD">
      <w:p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- Mreženje </w:t>
      </w:r>
    </w:p>
    <w:p w:rsidR="00A62C92" w:rsidRPr="00BE56B2" w:rsidRDefault="00A62C92" w:rsidP="00777CDD">
      <w:p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- …</w:t>
      </w:r>
    </w:p>
    <w:p w:rsidR="006B1199" w:rsidRPr="00BE56B2" w:rsidRDefault="006B1199" w:rsidP="00777CDD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6B1199" w:rsidRPr="00BE56B2" w:rsidRDefault="00274973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 xml:space="preserve">Primeri </w:t>
      </w:r>
      <w:r w:rsidR="00C91B8D" w:rsidRPr="00BE56B2">
        <w:rPr>
          <w:rFonts w:ascii="Arial" w:hAnsi="Arial" w:cs="Arial"/>
          <w:sz w:val="22"/>
          <w:szCs w:val="22"/>
        </w:rPr>
        <w:t xml:space="preserve">Upravičeni stroški v okviru </w:t>
      </w:r>
      <w:r w:rsidR="00C91B8D" w:rsidRPr="00BE56B2">
        <w:rPr>
          <w:rFonts w:ascii="Arial" w:hAnsi="Arial" w:cs="Arial"/>
          <w:color w:val="000000"/>
          <w:sz w:val="22"/>
          <w:szCs w:val="22"/>
        </w:rPr>
        <w:t>Pavšalni stroški organizacije in izvedbe dogodkov</w:t>
      </w:r>
      <w:r w:rsidRPr="00BE56B2">
        <w:rPr>
          <w:rFonts w:ascii="Arial" w:hAnsi="Arial" w:cs="Arial"/>
          <w:color w:val="000000"/>
          <w:sz w:val="22"/>
          <w:szCs w:val="22"/>
        </w:rPr>
        <w:t>:</w:t>
      </w:r>
    </w:p>
    <w:p w:rsidR="00274973" w:rsidRPr="00BE56B2" w:rsidRDefault="00274973" w:rsidP="00777CDD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- najem prostora</w:t>
      </w:r>
    </w:p>
    <w:p w:rsidR="00274973" w:rsidRPr="00BE56B2" w:rsidRDefault="00274973" w:rsidP="00777CDD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- najem IKT opreme</w:t>
      </w:r>
    </w:p>
    <w:p w:rsidR="00274973" w:rsidRPr="00BE56B2" w:rsidRDefault="00274973" w:rsidP="00777CDD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- 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 xml:space="preserve">plačilo </w:t>
      </w:r>
      <w:r w:rsidRPr="00BE56B2">
        <w:rPr>
          <w:rFonts w:ascii="Arial" w:hAnsi="Arial" w:cs="Arial"/>
          <w:color w:val="000000"/>
          <w:sz w:val="22"/>
          <w:szCs w:val="22"/>
        </w:rPr>
        <w:t>predavatelja</w:t>
      </w:r>
    </w:p>
    <w:p w:rsidR="00274973" w:rsidRPr="00BE56B2" w:rsidRDefault="00274973" w:rsidP="00777CDD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>- pogostitev na dogodku</w:t>
      </w:r>
    </w:p>
    <w:p w:rsidR="00A62C92" w:rsidRPr="00BE56B2" w:rsidRDefault="00A62C92" w:rsidP="00777CDD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- </w:t>
      </w:r>
      <w:r w:rsidR="00587941" w:rsidRPr="00BE56B2">
        <w:rPr>
          <w:rFonts w:ascii="Arial" w:hAnsi="Arial" w:cs="Arial"/>
          <w:color w:val="000000"/>
          <w:sz w:val="22"/>
          <w:szCs w:val="22"/>
        </w:rPr>
        <w:t>promocijski material</w:t>
      </w:r>
      <w:r w:rsidR="004A1023" w:rsidRPr="00BE56B2">
        <w:rPr>
          <w:rFonts w:ascii="Arial" w:hAnsi="Arial" w:cs="Arial"/>
          <w:color w:val="000000"/>
          <w:sz w:val="22"/>
          <w:szCs w:val="22"/>
        </w:rPr>
        <w:t xml:space="preserve"> za dogodek</w:t>
      </w:r>
      <w:r w:rsidRPr="00BE56B2">
        <w:rPr>
          <w:rFonts w:ascii="Arial" w:hAnsi="Arial" w:cs="Arial"/>
          <w:color w:val="000000"/>
          <w:sz w:val="22"/>
          <w:szCs w:val="22"/>
        </w:rPr>
        <w:t>…</w:t>
      </w:r>
    </w:p>
    <w:p w:rsidR="006B1199" w:rsidRPr="00BE56B2" w:rsidRDefault="006B1199" w:rsidP="00777CDD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4A1023" w:rsidRPr="00BE56B2" w:rsidRDefault="004A1023" w:rsidP="004A10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3C15">
        <w:rPr>
          <w:rFonts w:ascii="Arial" w:hAnsi="Arial" w:cs="Arial"/>
          <w:sz w:val="22"/>
          <w:szCs w:val="22"/>
        </w:rPr>
        <w:t xml:space="preserve">Na podlagi dejstva, da se projekti izvajajo čez večletno obdobje in iz razloga morebitnih rasti cen na trgu (inflacije) </w:t>
      </w:r>
      <w:r w:rsidRPr="006B3C15">
        <w:rPr>
          <w:rFonts w:ascii="Arial" w:hAnsi="Arial" w:cs="Arial"/>
          <w:b/>
          <w:sz w:val="22"/>
          <w:szCs w:val="22"/>
        </w:rPr>
        <w:t xml:space="preserve">bo metodologija v času izvajanja projektov revidirana (predvidoma </w:t>
      </w:r>
      <w:r w:rsidR="00536B44">
        <w:rPr>
          <w:rFonts w:ascii="Arial" w:hAnsi="Arial" w:cs="Arial"/>
          <w:b/>
          <w:sz w:val="22"/>
          <w:szCs w:val="22"/>
        </w:rPr>
        <w:t>junija</w:t>
      </w:r>
      <w:r w:rsidR="00536B44" w:rsidRPr="006B3C15">
        <w:rPr>
          <w:rFonts w:ascii="Arial" w:hAnsi="Arial" w:cs="Arial"/>
          <w:b/>
          <w:sz w:val="22"/>
          <w:szCs w:val="22"/>
        </w:rPr>
        <w:t xml:space="preserve"> </w:t>
      </w:r>
      <w:r w:rsidRPr="006B3C15">
        <w:rPr>
          <w:rFonts w:ascii="Arial" w:hAnsi="Arial" w:cs="Arial"/>
          <w:b/>
          <w:sz w:val="22"/>
          <w:szCs w:val="22"/>
        </w:rPr>
        <w:t>202</w:t>
      </w:r>
      <w:r w:rsidR="00536B44">
        <w:rPr>
          <w:rFonts w:ascii="Arial" w:hAnsi="Arial" w:cs="Arial"/>
          <w:b/>
          <w:sz w:val="22"/>
          <w:szCs w:val="22"/>
        </w:rPr>
        <w:t>4</w:t>
      </w:r>
      <w:r w:rsidRPr="006B3C15">
        <w:rPr>
          <w:rFonts w:ascii="Arial" w:hAnsi="Arial" w:cs="Arial"/>
          <w:b/>
          <w:sz w:val="22"/>
          <w:szCs w:val="22"/>
        </w:rPr>
        <w:t>)</w:t>
      </w:r>
      <w:r w:rsidRPr="006B3C15">
        <w:rPr>
          <w:rFonts w:ascii="Arial" w:hAnsi="Arial" w:cs="Arial"/>
          <w:sz w:val="22"/>
          <w:szCs w:val="22"/>
        </w:rPr>
        <w:t xml:space="preserve"> z namenom prilagoditve izračuna Pavšalnega zneska dogodkov, skladno z zadnjimi letnimi stroški organizacije in izvedbe oziroma na podlagi aktualnih cen na trgu (posodobljena analiza trga</w:t>
      </w:r>
      <w:r w:rsidR="00EF2628" w:rsidRPr="006B3C15">
        <w:rPr>
          <w:rFonts w:ascii="Arial" w:hAnsi="Arial" w:cs="Arial"/>
          <w:sz w:val="22"/>
          <w:szCs w:val="22"/>
        </w:rPr>
        <w:t xml:space="preserve"> v obliki posodobljenih obrazcev: ZRAC.</w:t>
      </w:r>
      <w:r w:rsidR="00827E7C">
        <w:rPr>
          <w:rFonts w:ascii="Arial" w:hAnsi="Arial" w:cs="Arial"/>
          <w:sz w:val="22"/>
          <w:szCs w:val="22"/>
        </w:rPr>
        <w:t xml:space="preserve"> </w:t>
      </w:r>
      <w:r w:rsidR="00EF2628" w:rsidRPr="006B3C15">
        <w:rPr>
          <w:rFonts w:ascii="Arial" w:hAnsi="Arial" w:cs="Arial"/>
          <w:sz w:val="22"/>
          <w:szCs w:val="22"/>
        </w:rPr>
        <w:t>Pavsalni znesi dogodk</w:t>
      </w:r>
      <w:r w:rsidR="00827E7C">
        <w:rPr>
          <w:rFonts w:ascii="Arial" w:hAnsi="Arial" w:cs="Arial"/>
          <w:sz w:val="22"/>
          <w:szCs w:val="22"/>
        </w:rPr>
        <w:t>ov</w:t>
      </w:r>
      <w:r w:rsidR="00EF2628" w:rsidRPr="006B3C15">
        <w:rPr>
          <w:rFonts w:ascii="Arial" w:hAnsi="Arial" w:cs="Arial"/>
          <w:sz w:val="22"/>
          <w:szCs w:val="22"/>
        </w:rPr>
        <w:t xml:space="preserve"> in Načrt dogodkov</w:t>
      </w:r>
      <w:r w:rsidRPr="006B3C15">
        <w:rPr>
          <w:rFonts w:ascii="Arial" w:hAnsi="Arial" w:cs="Arial"/>
          <w:sz w:val="22"/>
          <w:szCs w:val="22"/>
        </w:rPr>
        <w:t>). Revidirana metodologija bo določila novo višino Pavšalnega zneska dogodkov za izvedbo projekta in bo uporabljena z dnem 1.</w:t>
      </w:r>
      <w:r w:rsidR="00536B44">
        <w:rPr>
          <w:rFonts w:ascii="Arial" w:hAnsi="Arial" w:cs="Arial"/>
          <w:sz w:val="22"/>
          <w:szCs w:val="22"/>
        </w:rPr>
        <w:t>7</w:t>
      </w:r>
      <w:r w:rsidRPr="006B3C15">
        <w:rPr>
          <w:rFonts w:ascii="Arial" w:hAnsi="Arial" w:cs="Arial"/>
          <w:sz w:val="22"/>
          <w:szCs w:val="22"/>
        </w:rPr>
        <w:t>.2024.</w:t>
      </w:r>
      <w:r w:rsidRPr="00BE56B2">
        <w:rPr>
          <w:rFonts w:ascii="Arial" w:hAnsi="Arial" w:cs="Arial"/>
          <w:sz w:val="22"/>
          <w:szCs w:val="22"/>
        </w:rPr>
        <w:t xml:space="preserve">  </w:t>
      </w:r>
    </w:p>
    <w:p w:rsidR="00122A47" w:rsidRPr="00BE56B2" w:rsidRDefault="00122A47" w:rsidP="00BE56B2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62C92" w:rsidRDefault="00274973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Tipi dogodkov in upravičeni stroški moraj biti gospodarno</w:t>
      </w:r>
      <w:r w:rsidR="0051641D" w:rsidRPr="00BE56B2">
        <w:rPr>
          <w:rFonts w:ascii="Arial" w:hAnsi="Arial" w:cs="Arial"/>
          <w:sz w:val="22"/>
          <w:szCs w:val="22"/>
        </w:rPr>
        <w:t xml:space="preserve"> načrtovani in dobro utemeljeni ter jasno vezani na projektne aktivnosti.</w:t>
      </w:r>
      <w:r w:rsidRPr="00BE56B2">
        <w:rPr>
          <w:rFonts w:ascii="Arial" w:hAnsi="Arial" w:cs="Arial"/>
          <w:sz w:val="22"/>
          <w:szCs w:val="22"/>
        </w:rPr>
        <w:t xml:space="preserve"> </w:t>
      </w:r>
      <w:r w:rsidR="00A62C92" w:rsidRPr="00BE56B2">
        <w:rPr>
          <w:rFonts w:ascii="Arial" w:hAnsi="Arial" w:cs="Arial"/>
          <w:sz w:val="22"/>
          <w:szCs w:val="22"/>
        </w:rPr>
        <w:t>Priloženo naj bo pojasnilo na podlagi katerih podatkov</w:t>
      </w:r>
      <w:r w:rsidR="00454B02" w:rsidRPr="00BE56B2">
        <w:rPr>
          <w:rFonts w:ascii="Arial" w:hAnsi="Arial" w:cs="Arial"/>
          <w:sz w:val="22"/>
          <w:szCs w:val="22"/>
        </w:rPr>
        <w:t xml:space="preserve"> (razpoložljiva dokazila)</w:t>
      </w:r>
      <w:r w:rsidR="0051641D" w:rsidRPr="00BE56B2">
        <w:rPr>
          <w:rFonts w:ascii="Arial" w:hAnsi="Arial" w:cs="Arial"/>
          <w:sz w:val="22"/>
          <w:szCs w:val="22"/>
        </w:rPr>
        <w:t xml:space="preserve"> </w:t>
      </w:r>
      <w:r w:rsidR="00580E7F">
        <w:rPr>
          <w:rFonts w:ascii="Arial" w:hAnsi="Arial" w:cs="Arial"/>
          <w:sz w:val="22"/>
          <w:szCs w:val="22"/>
        </w:rPr>
        <w:t>je bila izračunana vrednost posameznega</w:t>
      </w:r>
      <w:r w:rsidR="0051641D" w:rsidRPr="00BE56B2">
        <w:rPr>
          <w:rFonts w:ascii="Arial" w:hAnsi="Arial" w:cs="Arial"/>
          <w:sz w:val="22"/>
          <w:szCs w:val="22"/>
        </w:rPr>
        <w:t xml:space="preserve"> t</w:t>
      </w:r>
      <w:r w:rsidR="00A62C92" w:rsidRPr="00BE56B2">
        <w:rPr>
          <w:rFonts w:ascii="Arial" w:hAnsi="Arial" w:cs="Arial"/>
          <w:sz w:val="22"/>
          <w:szCs w:val="22"/>
        </w:rPr>
        <w:t>ip</w:t>
      </w:r>
      <w:r w:rsidR="00580E7F">
        <w:rPr>
          <w:rFonts w:ascii="Arial" w:hAnsi="Arial" w:cs="Arial"/>
          <w:sz w:val="22"/>
          <w:szCs w:val="22"/>
        </w:rPr>
        <w:t>a</w:t>
      </w:r>
      <w:r w:rsidR="00A62C92" w:rsidRPr="00BE56B2">
        <w:rPr>
          <w:rFonts w:ascii="Arial" w:hAnsi="Arial" w:cs="Arial"/>
          <w:sz w:val="22"/>
          <w:szCs w:val="22"/>
        </w:rPr>
        <w:t xml:space="preserve"> dogodka (ali so to zgodovinski podatki, statistični podatki, povpraševanje v času </w:t>
      </w:r>
      <w:r w:rsidR="00BE56B2" w:rsidRPr="00BE56B2">
        <w:rPr>
          <w:rFonts w:ascii="Arial" w:hAnsi="Arial" w:cs="Arial"/>
          <w:sz w:val="22"/>
          <w:szCs w:val="22"/>
        </w:rPr>
        <w:t>javnega razpisa</w:t>
      </w:r>
      <w:r w:rsidR="00A62C92" w:rsidRPr="00BE56B2">
        <w:rPr>
          <w:rFonts w:ascii="Arial" w:hAnsi="Arial" w:cs="Arial"/>
          <w:sz w:val="22"/>
          <w:szCs w:val="22"/>
        </w:rPr>
        <w:t>, ipd.)</w:t>
      </w:r>
      <w:r w:rsidR="00454B02" w:rsidRPr="00BE56B2">
        <w:rPr>
          <w:rFonts w:ascii="Arial" w:hAnsi="Arial" w:cs="Arial"/>
          <w:sz w:val="22"/>
          <w:szCs w:val="22"/>
        </w:rPr>
        <w:t xml:space="preserve"> in v kašni obliki in kje se dokazilo nahaja (dokazila pri končnem prejemniku, </w:t>
      </w:r>
      <w:r w:rsidR="00BE56B2" w:rsidRPr="00BE56B2">
        <w:rPr>
          <w:rFonts w:ascii="Arial" w:hAnsi="Arial" w:cs="Arial"/>
          <w:sz w:val="22"/>
          <w:szCs w:val="22"/>
        </w:rPr>
        <w:t>povezave</w:t>
      </w:r>
      <w:r w:rsidR="00454B02" w:rsidRPr="00BE56B2">
        <w:rPr>
          <w:rFonts w:ascii="Arial" w:hAnsi="Arial" w:cs="Arial"/>
          <w:sz w:val="22"/>
          <w:szCs w:val="22"/>
        </w:rPr>
        <w:t>, ..).</w:t>
      </w:r>
    </w:p>
    <w:p w:rsidR="00156DE0" w:rsidRDefault="00156DE0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27E7C" w:rsidRDefault="00156DE0" w:rsidP="00156DE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>Upravičenost stroškov kočni prejemniki sredstev dokazujejo s predložitvijo</w:t>
      </w:r>
      <w:r>
        <w:rPr>
          <w:rFonts w:ascii="Arial" w:hAnsi="Arial" w:cs="Arial"/>
          <w:sz w:val="22"/>
          <w:szCs w:val="22"/>
        </w:rPr>
        <w:t xml:space="preserve"> vloge za izplačilo (VZI) iz sklada NOO (priloga)</w:t>
      </w:r>
      <w:r w:rsidRPr="00BE56B2">
        <w:rPr>
          <w:rFonts w:ascii="Arial" w:hAnsi="Arial" w:cs="Arial"/>
          <w:sz w:val="22"/>
          <w:szCs w:val="22"/>
        </w:rPr>
        <w:t>:</w:t>
      </w:r>
    </w:p>
    <w:p w:rsidR="00156DE0" w:rsidRDefault="00156DE0" w:rsidP="00156DE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E56B2">
        <w:rPr>
          <w:rFonts w:ascii="Arial" w:hAnsi="Arial" w:cs="Arial"/>
          <w:sz w:val="22"/>
          <w:szCs w:val="22"/>
        </w:rPr>
        <w:t xml:space="preserve">pravilno </w:t>
      </w:r>
      <w:r>
        <w:rPr>
          <w:rFonts w:ascii="Arial" w:hAnsi="Arial" w:cs="Arial"/>
          <w:sz w:val="22"/>
          <w:szCs w:val="22"/>
        </w:rPr>
        <w:t>izpolnjeni obrazci VZI_Obrazec APP</w:t>
      </w:r>
      <w:r w:rsidR="00827E7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47400A">
        <w:rPr>
          <w:rFonts w:ascii="Arial" w:hAnsi="Arial" w:cs="Arial"/>
          <w:sz w:val="22"/>
          <w:szCs w:val="22"/>
        </w:rPr>
        <w:t xml:space="preserve">Obračun PavšalniZneskiDOGODKI </w:t>
      </w:r>
    </w:p>
    <w:p w:rsidR="00156DE0" w:rsidRDefault="00156DE0" w:rsidP="00156DE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dokazilo o izvedenem dogodku (za javne dogodke priložite link o najavi/izvedbi dogodka, če dogodek ni javen priložite interno vabilo in interni dokument, ki je nastal po dogodku) </w:t>
      </w:r>
      <w:r w:rsidRPr="00BE56B2">
        <w:rPr>
          <w:rFonts w:ascii="Arial" w:hAnsi="Arial" w:cs="Arial"/>
          <w:sz w:val="22"/>
          <w:szCs w:val="22"/>
        </w:rPr>
        <w:t>s prilogami</w:t>
      </w:r>
      <w:r>
        <w:rPr>
          <w:rFonts w:ascii="Arial" w:hAnsi="Arial" w:cs="Arial"/>
          <w:sz w:val="22"/>
          <w:szCs w:val="22"/>
        </w:rPr>
        <w:t xml:space="preserve">, ki izkazujejo, da je bil navedeni dogodek izveden </w:t>
      </w:r>
    </w:p>
    <w:p w:rsidR="00156DE0" w:rsidRDefault="00156DE0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2628" w:rsidRPr="00BE56B2" w:rsidRDefault="00EF2628" w:rsidP="00EF26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6B2">
        <w:rPr>
          <w:rFonts w:ascii="Arial" w:hAnsi="Arial" w:cs="Arial"/>
          <w:sz w:val="22"/>
          <w:szCs w:val="22"/>
        </w:rPr>
        <w:t xml:space="preserve">Preverjanje </w:t>
      </w:r>
      <w:r w:rsidRPr="00BE56B2">
        <w:rPr>
          <w:rFonts w:ascii="Arial" w:hAnsi="Arial" w:cs="Arial"/>
          <w:b/>
          <w:sz w:val="22"/>
          <w:szCs w:val="22"/>
        </w:rPr>
        <w:t xml:space="preserve">pravilnosti izračunov </w:t>
      </w:r>
      <w:r w:rsidRPr="00BE56B2">
        <w:rPr>
          <w:rFonts w:ascii="Arial" w:hAnsi="Arial" w:cs="Arial"/>
          <w:b/>
          <w:color w:val="000000"/>
          <w:sz w:val="22"/>
          <w:szCs w:val="22"/>
        </w:rPr>
        <w:t>Pavšalnih zneskov dogodkov</w:t>
      </w:r>
      <w:r w:rsidRPr="00BE56B2">
        <w:rPr>
          <w:rFonts w:ascii="Arial" w:hAnsi="Arial" w:cs="Arial"/>
          <w:sz w:val="22"/>
          <w:szCs w:val="22"/>
        </w:rPr>
        <w:t xml:space="preserve"> se bo izvedlo </w:t>
      </w:r>
      <w:r w:rsidRPr="00BE56B2">
        <w:rPr>
          <w:rFonts w:ascii="Arial" w:hAnsi="Arial" w:cs="Arial"/>
          <w:b/>
          <w:sz w:val="22"/>
          <w:szCs w:val="22"/>
        </w:rPr>
        <w:t>pred podpisom večstranske pogodbe</w:t>
      </w:r>
      <w:r w:rsidRPr="00BE56B2">
        <w:rPr>
          <w:rFonts w:ascii="Arial" w:hAnsi="Arial" w:cs="Arial"/>
          <w:sz w:val="22"/>
          <w:szCs w:val="22"/>
        </w:rPr>
        <w:t xml:space="preserve"> med ministrstvom in izbranim konzorcijem ter ob </w:t>
      </w:r>
      <w:r>
        <w:rPr>
          <w:rFonts w:ascii="Arial" w:hAnsi="Arial" w:cs="Arial"/>
          <w:sz w:val="22"/>
          <w:szCs w:val="22"/>
        </w:rPr>
        <w:t xml:space="preserve">načrtovani reviziji stroškov </w:t>
      </w:r>
      <w:r w:rsidRPr="00BE56B2">
        <w:rPr>
          <w:rFonts w:ascii="Arial" w:hAnsi="Arial" w:cs="Arial"/>
          <w:sz w:val="22"/>
          <w:szCs w:val="22"/>
        </w:rPr>
        <w:t>v decembru 2023.</w:t>
      </w:r>
    </w:p>
    <w:p w:rsidR="00EF2628" w:rsidRPr="00BE56B2" w:rsidRDefault="00EF2628" w:rsidP="00EF2628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2628" w:rsidRPr="00BE56B2" w:rsidRDefault="00EF2628" w:rsidP="00EF262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Ministrstvo in izbrani prijavitelj (konzorcij) bosta s večstransko pogodbo o sofinanciranju podrobneje dogovorila obseg in dinamiko sofinanciranja projekta na osnovi načrtovanih aktivnosti, podanih v vlogi na javni razpis. </w:t>
      </w:r>
    </w:p>
    <w:p w:rsidR="00EF2628" w:rsidRDefault="00EF2628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B2221" w:rsidRDefault="00DB222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F031C" w:rsidRDefault="005F031C" w:rsidP="00777CD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031C" w:rsidRPr="005F031C" w:rsidRDefault="005F031C" w:rsidP="005F031C">
      <w:pPr>
        <w:pStyle w:val="ListParagraph"/>
        <w:numPr>
          <w:ilvl w:val="1"/>
          <w:numId w:val="2"/>
        </w:numPr>
        <w:tabs>
          <w:tab w:val="left" w:pos="7797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F031C">
        <w:rPr>
          <w:rFonts w:ascii="Arial" w:hAnsi="Arial" w:cs="Arial"/>
          <w:b/>
          <w:color w:val="000000"/>
          <w:sz w:val="22"/>
          <w:szCs w:val="22"/>
        </w:rPr>
        <w:t>Davek na dodano vrednost (DDV):</w:t>
      </w:r>
    </w:p>
    <w:p w:rsidR="005F031C" w:rsidRPr="00BE56B2" w:rsidRDefault="005F031C" w:rsidP="005F031C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F031C" w:rsidRPr="00BE56B2" w:rsidRDefault="005F031C" w:rsidP="005F031C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Pripadajoči stroški DDV niso upravičeni do financiranja iz Načrta za okrevanje in odpornost (NOO), temveč se financirajo iz integralnih postavk proračuna Republike Slovenije. Končni uporabnik bo vrednost DDV opredelil v prilogi  Finančni obrazec/Sumarna tabela_proračun ter v Preglednici 3.1 (Finančni obrazec/Sumarna partnerji). </w:t>
      </w:r>
    </w:p>
    <w:p w:rsidR="006B3C15" w:rsidRDefault="006B3C15" w:rsidP="005F031C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F031C" w:rsidRPr="00BE56B2" w:rsidRDefault="005F031C" w:rsidP="005F031C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E56B2">
        <w:rPr>
          <w:rFonts w:ascii="Arial" w:hAnsi="Arial" w:cs="Arial"/>
          <w:color w:val="000000"/>
          <w:sz w:val="22"/>
          <w:szCs w:val="22"/>
        </w:rPr>
        <w:t xml:space="preserve">DDV se lahko vključi v finančni načrt kot upravičen strošek </w:t>
      </w:r>
      <w:r w:rsidRPr="00BE56B2">
        <w:rPr>
          <w:rFonts w:ascii="Arial" w:hAnsi="Arial" w:cs="Arial"/>
          <w:b/>
          <w:color w:val="000000"/>
          <w:sz w:val="22"/>
          <w:szCs w:val="22"/>
        </w:rPr>
        <w:t xml:space="preserve">le v delu, za katerega </w:t>
      </w:r>
      <w:r w:rsidR="006B7DA8">
        <w:rPr>
          <w:rFonts w:ascii="Arial" w:hAnsi="Arial" w:cs="Arial"/>
          <w:b/>
          <w:color w:val="000000"/>
          <w:sz w:val="22"/>
          <w:szCs w:val="22"/>
        </w:rPr>
        <w:t>končni prejemniki</w:t>
      </w:r>
      <w:r w:rsidR="006B7DA8" w:rsidRPr="00BE56B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E56B2">
        <w:rPr>
          <w:rFonts w:ascii="Arial" w:hAnsi="Arial" w:cs="Arial"/>
          <w:b/>
          <w:color w:val="000000"/>
          <w:sz w:val="22"/>
          <w:szCs w:val="22"/>
        </w:rPr>
        <w:t>nima</w:t>
      </w:r>
      <w:r w:rsidR="006B7DA8">
        <w:rPr>
          <w:rFonts w:ascii="Arial" w:hAnsi="Arial" w:cs="Arial"/>
          <w:b/>
          <w:color w:val="000000"/>
          <w:sz w:val="22"/>
          <w:szCs w:val="22"/>
        </w:rPr>
        <w:t>jo</w:t>
      </w:r>
      <w:r w:rsidRPr="00BE56B2">
        <w:rPr>
          <w:rFonts w:ascii="Arial" w:hAnsi="Arial" w:cs="Arial"/>
          <w:b/>
          <w:color w:val="000000"/>
          <w:sz w:val="22"/>
          <w:szCs w:val="22"/>
        </w:rPr>
        <w:t xml:space="preserve"> pravice do odbitka</w:t>
      </w:r>
      <w:r w:rsidRPr="00BE56B2">
        <w:rPr>
          <w:rFonts w:ascii="Arial" w:hAnsi="Arial" w:cs="Arial"/>
          <w:color w:val="000000"/>
          <w:sz w:val="22"/>
          <w:szCs w:val="22"/>
        </w:rPr>
        <w:t xml:space="preserve">. Obračunani DDV tudi ni upravičen strošek, če </w:t>
      </w:r>
      <w:r w:rsidR="006B7DA8">
        <w:rPr>
          <w:rFonts w:ascii="Arial" w:hAnsi="Arial" w:cs="Arial"/>
          <w:color w:val="000000"/>
          <w:sz w:val="22"/>
          <w:szCs w:val="22"/>
        </w:rPr>
        <w:t>končni prejemniki</w:t>
      </w:r>
      <w:r w:rsidR="006B7DA8" w:rsidRPr="00BE56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56B2">
        <w:rPr>
          <w:rFonts w:ascii="Arial" w:hAnsi="Arial" w:cs="Arial"/>
          <w:color w:val="000000"/>
          <w:sz w:val="22"/>
          <w:szCs w:val="22"/>
        </w:rPr>
        <w:t>ne uveljavi pravice do odbitka DDV.</w:t>
      </w:r>
    </w:p>
    <w:p w:rsidR="005F031C" w:rsidRPr="00BE56B2" w:rsidRDefault="005F031C" w:rsidP="005F031C">
      <w:pPr>
        <w:tabs>
          <w:tab w:val="left" w:pos="779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F031C" w:rsidRDefault="005F031C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031C" w:rsidRDefault="005F031C" w:rsidP="00777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0FDF" w:rsidRPr="00BE56B2" w:rsidRDefault="00BA0FDF" w:rsidP="00777CDD">
      <w:pPr>
        <w:spacing w:line="276" w:lineRule="auto"/>
        <w:rPr>
          <w:rFonts w:ascii="Arial" w:hAnsi="Arial" w:cs="Arial"/>
          <w:sz w:val="22"/>
          <w:szCs w:val="22"/>
        </w:rPr>
      </w:pPr>
    </w:p>
    <w:p w:rsidR="00122A47" w:rsidRPr="00BE56B2" w:rsidRDefault="00122A47" w:rsidP="00777CD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122A47" w:rsidRPr="00BE56B2" w:rsidSect="00CE3C7C">
      <w:headerReference w:type="default" r:id="rId11"/>
      <w:footerReference w:type="default" r:id="rId12"/>
      <w:pgSz w:w="11906" w:h="16838"/>
      <w:pgMar w:top="167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CA" w:rsidRDefault="00D71ECA" w:rsidP="00BA0FDF">
      <w:r>
        <w:separator/>
      </w:r>
    </w:p>
  </w:endnote>
  <w:endnote w:type="continuationSeparator" w:id="0">
    <w:p w:rsidR="00D71ECA" w:rsidRDefault="00D71ECA" w:rsidP="00BA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43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3C7C" w:rsidRDefault="00CE3C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2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3C7C" w:rsidRDefault="00CE3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CA" w:rsidRDefault="00D71ECA" w:rsidP="00BA0FDF">
      <w:r>
        <w:separator/>
      </w:r>
    </w:p>
  </w:footnote>
  <w:footnote w:type="continuationSeparator" w:id="0">
    <w:p w:rsidR="00D71ECA" w:rsidRDefault="00D71ECA" w:rsidP="00BA0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7" w:rsidRDefault="002C5696">
    <w:pPr>
      <w:pStyle w:val="Header"/>
    </w:pPr>
    <w:r w:rsidRPr="00AF0E51">
      <w:rPr>
        <w:rFonts w:ascii="Calibri" w:eastAsia="Calibri" w:hAnsi="Calibri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4211A93" wp14:editId="64F829EA">
          <wp:simplePos x="0" y="0"/>
          <wp:positionH relativeFrom="margin">
            <wp:posOffset>3983355</wp:posOffset>
          </wp:positionH>
          <wp:positionV relativeFrom="page">
            <wp:posOffset>364490</wp:posOffset>
          </wp:positionV>
          <wp:extent cx="1769745" cy="529590"/>
          <wp:effectExtent l="0" t="0" r="1905" b="3810"/>
          <wp:wrapSquare wrapText="bothSides"/>
          <wp:docPr id="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2"/>
        <w:szCs w:val="22"/>
        <w:lang w:val="en-GB" w:eastAsia="en-GB"/>
      </w:rPr>
      <w:drawing>
        <wp:anchor distT="0" distB="0" distL="114300" distR="114300" simplePos="0" relativeHeight="251661312" behindDoc="1" locked="0" layoutInCell="1" allowOverlap="1" wp14:anchorId="7C42FDA6" wp14:editId="7B74DF7B">
          <wp:simplePos x="0" y="0"/>
          <wp:positionH relativeFrom="column">
            <wp:posOffset>2159635</wp:posOffset>
          </wp:positionH>
          <wp:positionV relativeFrom="paragraph">
            <wp:posOffset>0</wp:posOffset>
          </wp:positionV>
          <wp:extent cx="1762125" cy="341630"/>
          <wp:effectExtent l="0" t="0" r="9525" b="1270"/>
          <wp:wrapNone/>
          <wp:docPr id="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5F01EDE" wp14:editId="01F3411B">
          <wp:simplePos x="0" y="0"/>
          <wp:positionH relativeFrom="column">
            <wp:posOffset>-130175</wp:posOffset>
          </wp:positionH>
          <wp:positionV relativeFrom="paragraph">
            <wp:posOffset>0</wp:posOffset>
          </wp:positionV>
          <wp:extent cx="2186940" cy="353046"/>
          <wp:effectExtent l="0" t="0" r="3810" b="9525"/>
          <wp:wrapNone/>
          <wp:docPr id="5" name="Slika 25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35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7DB4"/>
    <w:multiLevelType w:val="hybridMultilevel"/>
    <w:tmpl w:val="2AA45F74"/>
    <w:lvl w:ilvl="0" w:tplc="9970F96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435C4C"/>
    <w:multiLevelType w:val="hybridMultilevel"/>
    <w:tmpl w:val="05609686"/>
    <w:lvl w:ilvl="0" w:tplc="5C9E6B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4D79"/>
    <w:multiLevelType w:val="hybridMultilevel"/>
    <w:tmpl w:val="6AE097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6E04"/>
    <w:multiLevelType w:val="multilevel"/>
    <w:tmpl w:val="A35C9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2FA6BE6"/>
    <w:multiLevelType w:val="hybridMultilevel"/>
    <w:tmpl w:val="85384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75523"/>
    <w:multiLevelType w:val="hybridMultilevel"/>
    <w:tmpl w:val="B8EA8B5C"/>
    <w:lvl w:ilvl="0" w:tplc="21DC3B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55"/>
    <w:rsid w:val="00006B0F"/>
    <w:rsid w:val="00010FDA"/>
    <w:rsid w:val="000770A4"/>
    <w:rsid w:val="00087B33"/>
    <w:rsid w:val="000B1FB2"/>
    <w:rsid w:val="000E0102"/>
    <w:rsid w:val="000F117F"/>
    <w:rsid w:val="000F1B83"/>
    <w:rsid w:val="00122A47"/>
    <w:rsid w:val="00156DE0"/>
    <w:rsid w:val="00182337"/>
    <w:rsid w:val="00192D47"/>
    <w:rsid w:val="001C463A"/>
    <w:rsid w:val="001D0AAC"/>
    <w:rsid w:val="001F2687"/>
    <w:rsid w:val="002027A4"/>
    <w:rsid w:val="00202E0D"/>
    <w:rsid w:val="002577D8"/>
    <w:rsid w:val="00262ED3"/>
    <w:rsid w:val="00274973"/>
    <w:rsid w:val="002A0680"/>
    <w:rsid w:val="002C5696"/>
    <w:rsid w:val="002D136A"/>
    <w:rsid w:val="00307D13"/>
    <w:rsid w:val="003111CD"/>
    <w:rsid w:val="00340FFD"/>
    <w:rsid w:val="003A19AC"/>
    <w:rsid w:val="003B2F1C"/>
    <w:rsid w:val="003D3184"/>
    <w:rsid w:val="003D3BB4"/>
    <w:rsid w:val="00406DBD"/>
    <w:rsid w:val="00443A66"/>
    <w:rsid w:val="00450B5A"/>
    <w:rsid w:val="00452CEA"/>
    <w:rsid w:val="00452E34"/>
    <w:rsid w:val="00454B02"/>
    <w:rsid w:val="00460678"/>
    <w:rsid w:val="00484967"/>
    <w:rsid w:val="00496EB3"/>
    <w:rsid w:val="004A1023"/>
    <w:rsid w:val="004B18F3"/>
    <w:rsid w:val="004C1089"/>
    <w:rsid w:val="0051641D"/>
    <w:rsid w:val="005205F5"/>
    <w:rsid w:val="00532526"/>
    <w:rsid w:val="00536B44"/>
    <w:rsid w:val="00536FDD"/>
    <w:rsid w:val="0056448F"/>
    <w:rsid w:val="00580E7F"/>
    <w:rsid w:val="00587941"/>
    <w:rsid w:val="00591720"/>
    <w:rsid w:val="005A2E0C"/>
    <w:rsid w:val="005B15D5"/>
    <w:rsid w:val="005B2254"/>
    <w:rsid w:val="005D476B"/>
    <w:rsid w:val="005F031C"/>
    <w:rsid w:val="005F5081"/>
    <w:rsid w:val="00616F33"/>
    <w:rsid w:val="00625EB0"/>
    <w:rsid w:val="00673A61"/>
    <w:rsid w:val="006B1199"/>
    <w:rsid w:val="006B3C15"/>
    <w:rsid w:val="006B7DA8"/>
    <w:rsid w:val="006C14A0"/>
    <w:rsid w:val="006F04EB"/>
    <w:rsid w:val="006F4EC8"/>
    <w:rsid w:val="00716BCB"/>
    <w:rsid w:val="00740E0F"/>
    <w:rsid w:val="00747E57"/>
    <w:rsid w:val="00753613"/>
    <w:rsid w:val="007578C0"/>
    <w:rsid w:val="00772C11"/>
    <w:rsid w:val="0077361E"/>
    <w:rsid w:val="00777CDD"/>
    <w:rsid w:val="00795293"/>
    <w:rsid w:val="007B3A8E"/>
    <w:rsid w:val="007D3555"/>
    <w:rsid w:val="007F2956"/>
    <w:rsid w:val="008052F6"/>
    <w:rsid w:val="00824794"/>
    <w:rsid w:val="00827E7C"/>
    <w:rsid w:val="0083478F"/>
    <w:rsid w:val="0084032C"/>
    <w:rsid w:val="0089229F"/>
    <w:rsid w:val="008B14A5"/>
    <w:rsid w:val="008D0038"/>
    <w:rsid w:val="009459F0"/>
    <w:rsid w:val="00945BB5"/>
    <w:rsid w:val="00980D9B"/>
    <w:rsid w:val="00995D48"/>
    <w:rsid w:val="009C5C09"/>
    <w:rsid w:val="009D3572"/>
    <w:rsid w:val="009E1D99"/>
    <w:rsid w:val="009E548B"/>
    <w:rsid w:val="009F0F2E"/>
    <w:rsid w:val="00A052C1"/>
    <w:rsid w:val="00A17D26"/>
    <w:rsid w:val="00A262B3"/>
    <w:rsid w:val="00A35A6B"/>
    <w:rsid w:val="00A35F96"/>
    <w:rsid w:val="00A62C92"/>
    <w:rsid w:val="00A7524E"/>
    <w:rsid w:val="00A862D5"/>
    <w:rsid w:val="00A97464"/>
    <w:rsid w:val="00AB6E34"/>
    <w:rsid w:val="00AC2826"/>
    <w:rsid w:val="00AE317F"/>
    <w:rsid w:val="00B17F12"/>
    <w:rsid w:val="00B277AB"/>
    <w:rsid w:val="00B44F3C"/>
    <w:rsid w:val="00B535B5"/>
    <w:rsid w:val="00B87660"/>
    <w:rsid w:val="00B90337"/>
    <w:rsid w:val="00BA0FDF"/>
    <w:rsid w:val="00BB1B4A"/>
    <w:rsid w:val="00BD0666"/>
    <w:rsid w:val="00BD5FE4"/>
    <w:rsid w:val="00BE1AC3"/>
    <w:rsid w:val="00BE56B2"/>
    <w:rsid w:val="00BF3A34"/>
    <w:rsid w:val="00C13A24"/>
    <w:rsid w:val="00C16503"/>
    <w:rsid w:val="00C658E4"/>
    <w:rsid w:val="00C91B8D"/>
    <w:rsid w:val="00CE3C7C"/>
    <w:rsid w:val="00D06DB7"/>
    <w:rsid w:val="00D31490"/>
    <w:rsid w:val="00D56D08"/>
    <w:rsid w:val="00D71ECA"/>
    <w:rsid w:val="00D848EC"/>
    <w:rsid w:val="00D87FEE"/>
    <w:rsid w:val="00DA2A7E"/>
    <w:rsid w:val="00DA4829"/>
    <w:rsid w:val="00DB2221"/>
    <w:rsid w:val="00DC4535"/>
    <w:rsid w:val="00DD542E"/>
    <w:rsid w:val="00DE1C14"/>
    <w:rsid w:val="00E566F9"/>
    <w:rsid w:val="00E65B18"/>
    <w:rsid w:val="00EB041D"/>
    <w:rsid w:val="00EF2628"/>
    <w:rsid w:val="00EF4AE7"/>
    <w:rsid w:val="00F35061"/>
    <w:rsid w:val="00F65885"/>
    <w:rsid w:val="00F90060"/>
    <w:rsid w:val="00F92405"/>
    <w:rsid w:val="00FA4BB0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A8596-66C5-489A-8115-13023CB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FD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CommentReference">
    <w:name w:val="annotation reference"/>
    <w:semiHidden/>
    <w:rsid w:val="00BA0FDF"/>
    <w:rPr>
      <w:i/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BA0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0FD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noteText">
    <w:name w:val="footnote text"/>
    <w:basedOn w:val="Normal"/>
    <w:link w:val="FootnoteTextChar"/>
    <w:rsid w:val="00BA0F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0FD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qFormat/>
    <w:rsid w:val="00BA0FDF"/>
    <w:rPr>
      <w:vertAlign w:val="superscript"/>
    </w:rPr>
  </w:style>
  <w:style w:type="paragraph" w:customStyle="1" w:styleId="Default">
    <w:name w:val="Default"/>
    <w:rsid w:val="00BA0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DF"/>
    <w:rPr>
      <w:rFonts w:ascii="Segoe UI" w:eastAsia="Times New Roman" w:hAnsi="Segoe UI" w:cs="Segoe UI"/>
      <w:sz w:val="18"/>
      <w:szCs w:val="18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A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ListParagraph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ormal"/>
    <w:link w:val="ListParagraphChar"/>
    <w:uiPriority w:val="34"/>
    <w:qFormat/>
    <w:rsid w:val="006B1199"/>
    <w:pPr>
      <w:ind w:left="720"/>
      <w:contextualSpacing/>
    </w:pPr>
  </w:style>
  <w:style w:type="character" w:customStyle="1" w:styleId="ListParagraphChar">
    <w:name w:val="List Paragraph Char"/>
    <w:aliases w:val="naslov 1 Char,Bullet 1 Char,Bullet Points Char,Bullet layer Char,Colorful List - Accent 11 Char,Dot pt Char,F5 List Paragraph Char,Indicator Text Char,Issue Action POC Char,List Paragraph Char Char Char Char,List Paragraph1 Char"/>
    <w:link w:val="ListParagraph"/>
    <w:uiPriority w:val="34"/>
    <w:qFormat/>
    <w:locked/>
    <w:rsid w:val="006B119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747E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E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Spacing">
    <w:name w:val="No Spacing"/>
    <w:uiPriority w:val="1"/>
    <w:qFormat/>
    <w:rsid w:val="009E1D99"/>
    <w:pPr>
      <w:spacing w:after="0" w:line="240" w:lineRule="auto"/>
    </w:pPr>
  </w:style>
  <w:style w:type="table" w:styleId="GridTable5Dark-Accent1">
    <w:name w:val="Grid Table 5 Dark Accent 1"/>
    <w:basedOn w:val="TableNormal"/>
    <w:uiPriority w:val="50"/>
    <w:rsid w:val="007736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56D08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5F031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472A5E-85E8-42AC-8F11-72527C2C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 Kink</dc:creator>
  <cp:keywords/>
  <dc:description/>
  <cp:lastModifiedBy>Tit Neubauer</cp:lastModifiedBy>
  <cp:revision>2</cp:revision>
  <cp:lastPrinted>2022-09-07T10:14:00Z</cp:lastPrinted>
  <dcterms:created xsi:type="dcterms:W3CDTF">2022-09-28T14:01:00Z</dcterms:created>
  <dcterms:modified xsi:type="dcterms:W3CDTF">2022-09-28T14:01:00Z</dcterms:modified>
</cp:coreProperties>
</file>