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2.5.0 -->
  <w:body>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pStyle w:val="SredinskoOdebeljeno"/>
        <w:spacing w:after="0" w:line="260" w:lineRule="auto"/>
      </w:pPr>
      <w:r>
        <w:t>ZAKON O SPREMEMBAH IN DOPOLNITVI ZAKONA O SPREMEMBAH IN DOPOLNITVAH ZAKONA O ZNANSTVENORAZISKOVALNI IN INOVACIJSKI DEJAVNOSTI</w:t>
      </w:r>
    </w:p>
    <w:p>
      <w:pPr>
        <w:spacing w:after="0" w:line="260" w:lineRule="auto"/>
        <w:rPr>
          <w:rFonts w:ascii="Arial" w:hAnsi="Arial" w:cs="Arial"/>
        </w:rPr>
      </w:pPr>
    </w:p>
    <w:p>
      <w:pPr>
        <w:pStyle w:val="Sredinsko"/>
        <w:spacing w:after="0" w:line="260" w:lineRule="auto"/>
      </w:pPr>
      <w:r>
        <w:t>PREDLOG</w:t>
      </w:r>
    </w:p>
    <w:p>
      <w:pPr>
        <w:spacing w:after="0" w:line="260" w:lineRule="auto"/>
        <w:rPr>
          <w:rFonts w:ascii="Arial" w:hAnsi="Arial" w:cs="Arial"/>
        </w:rPr>
      </w:pPr>
    </w:p>
    <w:p>
      <w:pPr>
        <w:spacing w:after="0" w:line="260" w:lineRule="auto"/>
        <w:rPr>
          <w:rFonts w:ascii="Arial" w:hAnsi="Arial" w:cs="Arial"/>
        </w:rPr>
      </w:pPr>
    </w:p>
    <w:p>
      <w:pPr>
        <w:pStyle w:val="Sredinsko"/>
        <w:spacing w:after="0" w:line="260" w:lineRule="auto"/>
      </w:pPr>
      <w:r>
        <w:t>EVA: 2026-3370-0007</w:t>
      </w:r>
    </w:p>
    <w:p>
      <w:pPr>
        <w:spacing w:after="0" w:line="260" w:lineRule="auto"/>
        <w:rPr>
          <w:rFonts w:ascii="Arial" w:hAnsi="Arial" w:cs="Arial"/>
        </w:rPr>
      </w:pPr>
    </w:p>
    <w:p>
      <w:r>
        <w:br w:type="page"/>
      </w:r>
    </w:p>
    <w:p>
      <w:pPr>
        <w:pStyle w:val="Odebeljeno"/>
        <w:spacing w:after="0" w:line="260" w:lineRule="auto"/>
      </w:pPr>
      <w:r>
        <w:t>I.</w:t>
      </w:r>
      <w:r>
        <w:tab/>
      </w:r>
      <w:r>
        <w:t>UVOD</w:t>
      </w:r>
    </w:p>
    <w:p>
      <w:pPr>
        <w:pStyle w:val="Odebeljeno"/>
        <w:spacing w:after="0" w:line="260" w:lineRule="auto"/>
      </w:pPr>
      <w:r>
        <w:t>1.</w:t>
      </w:r>
      <w:r>
        <w:tab/>
      </w:r>
      <w:r>
        <w:t>Ocena stanja in razlogi za sprejetje predloga zakona</w:t>
      </w:r>
    </w:p>
    <w:p>
      <w:pPr>
        <w:spacing w:after="0" w:line="260" w:lineRule="auto"/>
        <w:rPr>
          <w:rFonts w:ascii="Arial" w:hAnsi="Arial" w:cs="Arial"/>
        </w:rPr>
      </w:pPr>
    </w:p>
    <w:p>
      <w:pPr>
        <w:spacing w:after="0" w:line="240" w:lineRule="auto"/>
        <w:jc w:val="both"/>
      </w:pPr>
      <w:r>
        <w:t>Zakon o znanstvenoraziskovalni in inovacijski dejavnosti (Uradni list RS št. 186/21, 40/23, 102/24 in 40/25) (v nadaljnjem besedilu: ZZrID) je krovni zakon, ki podaja okvir delovanja znanstvenoraziskovalne in inovacijske dejavnosti in med drugim natančno določa tudi način proračunskega načrtovanja in namene dodeljevanja sredstev državnega proračuna, glede na različne inštrumente podpore.</w:t>
      </w:r>
    </w:p>
    <w:p>
      <w:pPr>
        <w:spacing w:after="0" w:line="240" w:lineRule="auto"/>
        <w:jc w:val="both"/>
      </w:pPr>
      <w:r>
        <w:t xml:space="preserve"> </w:t>
      </w:r>
    </w:p>
    <w:p>
      <w:pPr>
        <w:spacing w:after="0" w:line="240" w:lineRule="auto"/>
        <w:jc w:val="both"/>
      </w:pPr>
      <w:r>
        <w:t>Resolucija o znanstvenoraziskovalni in inovacijski strategiji Slovenije 2030 (Uradni list RS št. 49/22) (v nadaljnjem besedilu: ReZRIS30), kot osrednja strategija za področji znanstvenoraziskovalne in inovacijske dejavnosti, med drugim opredeljuje tudi naslednja ključna cilja:</w:t>
      </w:r>
    </w:p>
    <w:p>
      <w:pPr>
        <w:spacing w:after="0" w:line="240" w:lineRule="auto"/>
        <w:jc w:val="both"/>
      </w:pPr>
      <w:r>
        <w:t>1. Slovenija se bo do leta 2030 razvila v uspešno na znanju in inovacijah temelječo družbo in se uvrstila v skupino držav vodilnih inovatork na lestvici evropskega inovacijskega indeksa.</w:t>
      </w:r>
    </w:p>
    <w:p>
      <w:pPr>
        <w:spacing w:after="0" w:line="240" w:lineRule="auto"/>
        <w:jc w:val="both"/>
      </w:pPr>
      <w:r>
        <w:t>2. Javna vlaganja v znanstvenoraziskovalno in inovacijsko dejavnost bodo do leta 2030 znašala 1,25 % BDP, pri čemer je že v letu 2027 predviden obseg javnih vlaganj 1 % BDP, celotna vlaganja v znanstvenoraziskovalno, razvojno in inovacijsko dejavnost pa bodo do leta 2030 obsegala 3,5 % BDP.</w:t>
      </w:r>
    </w:p>
    <w:p>
      <w:pPr>
        <w:spacing w:after="0" w:line="240" w:lineRule="auto"/>
        <w:jc w:val="both"/>
      </w:pPr>
      <w:r>
        <w:t xml:space="preserve"> </w:t>
      </w:r>
    </w:p>
    <w:p>
      <w:pPr>
        <w:spacing w:after="0" w:line="240" w:lineRule="auto"/>
        <w:jc w:val="both"/>
      </w:pPr>
      <w:r>
        <w:t>Republika Slovenija v Evropskem inovacijskem indeksu 2026 dosega 87,2 odstotka povprečne inovacijske uspešnosti EU in se uvršča na 17. mesto med 27 državami članicami. Ostaja v skupini zmernih inovatork, njen rezultat pa je nekoliko višji od povprečja te skupine, ki znaša 86,4 odstotka povprečja EU. Razkorak do povprečja EU se ne zmanjšuje, ne glede na to, da so se sredstva za znanstvenoraziskovalno dejavnost bistveno povečala. Iz tega sledi, da bo za izboljšanje stanja na lestvici Evropskega inovacijskega indeksa potrebno uveljaviti tudi druge strukturne reforme in ukrepe. Pomembni segment izboljševanja znanstvenoraziskovalne in inovacijske učinkovitosti predstavlja tudi stabilnost in predvidljivost financiranja, vključno z vključevanjem različnih nosilcev in financerjev v financiranje znanstvenoraziskovalne in inovacijske dejavnosti, koordinacija politik med različnimi resorji, dolgoročna stabilnost podpornih mehanizmov in pravil dodeljevanja finančnih spodbud in podpor.</w:t>
      </w:r>
    </w:p>
    <w:p>
      <w:pPr>
        <w:spacing w:after="0" w:line="240" w:lineRule="auto"/>
        <w:jc w:val="both"/>
      </w:pPr>
      <w:r>
        <w:t xml:space="preserve"> </w:t>
      </w:r>
    </w:p>
    <w:p>
      <w:pPr>
        <w:spacing w:after="0" w:line="240" w:lineRule="auto"/>
        <w:jc w:val="both"/>
      </w:pPr>
      <w:r>
        <w:t>Na podlagi ciljev ReZRIS30 ter ob upoštevanju stanja ter razvojnih vrzeli predlagana novela Zakona o spremembah in dopolnitvah Zakona o znanstvenoraziskovalni in inovacijski dejavnosti (Uradni list RS št. 40/25) ohranja temeljno usmeritev ZZrID, ki vključuje nadaljnjo integracijo in povezovanje znanstvenoraziskovalne in inovacijske dejavnosti ter spodbujanju inovacijske dejavnosti, ki mora vključevati  povezovanje virov financiranja, namenjenih za znanstvenoraziskovalno in inovacijsko dejavnost v okviru BDP.</w:t>
      </w:r>
    </w:p>
    <w:p>
      <w:pPr>
        <w:spacing w:after="0" w:line="240" w:lineRule="auto"/>
        <w:jc w:val="both"/>
      </w:pPr>
      <w:r>
        <w:t xml:space="preserve"> </w:t>
      </w:r>
    </w:p>
    <w:p>
      <w:pPr>
        <w:spacing w:after="0" w:line="240" w:lineRule="auto"/>
        <w:jc w:val="both"/>
      </w:pPr>
      <w:r>
        <w:t>Na podlagi veljavnega ZZrID se bo v načrtovanje sredstev na področju znanstvenoraziskovalne in inovacijske dejavnosti vključevalo različne vire sredstev različnih neposrednih proračunskih uporabnikov, ne samo sredstev državnega financiranja znanstvenoraziskovalne in inovacijske dejavnosti. V skladu s predhodnimi določbami ZZrID (tj. 62. člena Zakona o spremembah in dopolnitvah Zakona o znanstvenoraziskovalni in inovacijski dejavnosti (Uradni list RS št. 40/25)) pa se do vzpostavitve ustrezne metodologije, sredstva še načrtujejo v okviru sredstev državnega financiranja znanstvenoraziskovalne in inovacijske dejavnosti, kar pomeni, da so sredstva načrtovana v  finančnem načrtu ministrstva, pristojnega za znanost oziroma inovacije. Glede na proračunske omejitve v obdobju 2026 do 2028 je na takšen način nemogoče načrtovati sredstva za znanstvenoraziskovalno oziroma inovacijsko dejavnost, saj to pomeni, da bi bilo pri načrtovanju proračuna sredstva za celotno rast potrebno zagotoviti v okviru ministrstva, pristojnega za znanost oziroma inovacije, kar bi ob neidentificiranih ali ne celostno identificiranih sredstvih ostalih resorjev pomenilo bistveno višje financiranje. Predlog zakona tako znižuje višino rasti sredstev za znanstvenoraziskovalno in inovacijsko dejavnost v letih 2026 do 2028 na raven, ki jo lahko zagotovimo v okviru finančnega načrta Ministrstva za izobraževanje, znanost in mladino, kar je v skladu z načelom predvidljivosti in transparentnosti.</w:t>
      </w:r>
    </w:p>
    <w:p>
      <w:pPr>
        <w:spacing w:after="0" w:line="260" w:lineRule="auto"/>
        <w:rPr>
          <w:rFonts w:ascii="Arial" w:hAnsi="Arial" w:cs="Arial"/>
        </w:rPr>
      </w:pPr>
    </w:p>
    <w:p>
      <w:pPr>
        <w:pStyle w:val="Odebeljeno"/>
        <w:spacing w:after="0" w:line="260" w:lineRule="auto"/>
      </w:pPr>
      <w:r>
        <w:t>2.</w:t>
      </w:r>
      <w:r>
        <w:tab/>
      </w:r>
      <w:r>
        <w:t>CILJI, NAČELA IN POGLAVITNE REŠITVE PREDLOGA ZAKONA</w:t>
      </w:r>
    </w:p>
    <w:p>
      <w:pPr>
        <w:pStyle w:val="Odebeljeno"/>
        <w:spacing w:after="0" w:line="260" w:lineRule="auto"/>
      </w:pPr>
      <w:r>
        <w:t>2.1</w:t>
      </w:r>
      <w:r>
        <w:tab/>
      </w:r>
      <w:r>
        <w:t>Cilji</w:t>
      </w:r>
    </w:p>
    <w:p>
      <w:pPr>
        <w:spacing w:after="0" w:line="260" w:lineRule="auto"/>
        <w:rPr>
          <w:rFonts w:ascii="Arial" w:hAnsi="Arial" w:cs="Arial"/>
        </w:rPr>
      </w:pPr>
    </w:p>
    <w:p>
      <w:pPr>
        <w:spacing w:after="0" w:line="240" w:lineRule="auto"/>
        <w:jc w:val="both"/>
      </w:pPr>
      <w:r>
        <w:t>Splošnih in specifičnih ciljev, določenih v ZZrID, ta zakon ne spreminja.</w:t>
      </w:r>
    </w:p>
    <w:p>
      <w:pPr>
        <w:spacing w:after="0" w:line="240" w:lineRule="auto"/>
        <w:jc w:val="both"/>
      </w:pPr>
      <w:r>
        <w:t xml:space="preserve"> </w:t>
      </w:r>
    </w:p>
    <w:p>
      <w:pPr>
        <w:spacing w:after="0" w:line="240" w:lineRule="auto"/>
        <w:jc w:val="both"/>
      </w:pPr>
      <w:r>
        <w:t>Cilj predloga zakona je uskladiti izvajanje zakonskih obveznosti na področju znanstvenoraziskovalne in inovacijske dejavnosti z zahtevami odgovornega javnofinančnega upravljanja ter zagotoviti predvidljivo in finančno vzdržno izvajanje sistema financiranja znanstvenoraziskovalne in inovacijske dejavnosti.</w:t>
      </w:r>
    </w:p>
    <w:p>
      <w:pPr>
        <w:spacing w:after="0" w:line="240" w:lineRule="auto"/>
      </w:pPr>
      <w:r>
        <w:t xml:space="preserve"> </w:t>
      </w:r>
    </w:p>
    <w:p>
      <w:pPr>
        <w:spacing w:after="0" w:line="260" w:lineRule="auto"/>
        <w:rPr>
          <w:rFonts w:ascii="Arial" w:hAnsi="Arial" w:cs="Arial"/>
        </w:rPr>
      </w:pPr>
    </w:p>
    <w:p>
      <w:pPr>
        <w:spacing w:after="0" w:line="240" w:lineRule="auto"/>
      </w:pPr>
      <w:r>
        <w:t>Kazalnik za spremljanje doseganje cilja: spremljanje % BDP za znanstvenoraziskovalno in inovacijsko dejavnost.</w:t>
      </w:r>
    </w:p>
    <w:p>
      <w:pPr>
        <w:spacing w:after="0" w:line="260" w:lineRule="auto"/>
        <w:rPr>
          <w:rFonts w:ascii="Arial" w:hAnsi="Arial" w:cs="Arial"/>
        </w:rPr>
      </w:pPr>
    </w:p>
    <w:p>
      <w:pPr>
        <w:pStyle w:val="Odebeljeno"/>
        <w:spacing w:after="0" w:line="260" w:lineRule="auto"/>
      </w:pPr>
      <w:r>
        <w:t>2.2</w:t>
      </w:r>
      <w:r>
        <w:tab/>
      </w:r>
      <w:r>
        <w:t>Načela</w:t>
      </w:r>
    </w:p>
    <w:p>
      <w:pPr>
        <w:spacing w:after="0" w:line="260" w:lineRule="auto"/>
        <w:rPr>
          <w:rFonts w:ascii="Arial" w:hAnsi="Arial" w:cs="Arial"/>
        </w:rPr>
      </w:pPr>
    </w:p>
    <w:p>
      <w:pPr>
        <w:spacing w:after="0" w:line="240" w:lineRule="auto"/>
      </w:pPr>
      <w:r>
        <w:t>Predlog zakona sledi načelom:</w:t>
      </w:r>
    </w:p>
    <w:p>
      <w:pPr>
        <w:spacing w:after="0" w:line="240" w:lineRule="auto"/>
        <w:ind w:left="454"/>
      </w:pPr>
      <w:r>
        <w:t>- načelu transparentnosti</w:t>
      </w:r>
    </w:p>
    <w:p>
      <w:pPr>
        <w:spacing w:after="0" w:line="240" w:lineRule="auto"/>
        <w:ind w:left="454"/>
      </w:pPr>
      <w:r>
        <w:t>- načelu zakonitosti ter</w:t>
      </w:r>
    </w:p>
    <w:p>
      <w:pPr>
        <w:spacing w:after="0" w:line="240" w:lineRule="auto"/>
        <w:ind w:left="454"/>
      </w:pPr>
      <w:r>
        <w:t>- načelu predvidljivosti.</w:t>
      </w:r>
    </w:p>
    <w:p>
      <w:pPr>
        <w:spacing w:after="0" w:line="260" w:lineRule="auto"/>
        <w:rPr>
          <w:rFonts w:ascii="Arial" w:hAnsi="Arial" w:cs="Arial"/>
        </w:rPr>
      </w:pPr>
    </w:p>
    <w:p>
      <w:pPr>
        <w:pStyle w:val="Odebeljeno"/>
        <w:spacing w:after="0" w:line="260" w:lineRule="auto"/>
      </w:pPr>
      <w:r>
        <w:t>2.3</w:t>
      </w:r>
      <w:r>
        <w:tab/>
      </w:r>
      <w:r>
        <w:t>Poglavitne rešitve</w:t>
      </w:r>
    </w:p>
    <w:p>
      <w:pPr>
        <w:spacing w:after="0" w:line="260" w:lineRule="auto"/>
        <w:rPr>
          <w:rFonts w:ascii="Arial" w:hAnsi="Arial" w:cs="Arial"/>
        </w:rPr>
      </w:pPr>
    </w:p>
    <w:p>
      <w:pPr>
        <w:spacing w:after="0" w:line="240" w:lineRule="auto"/>
        <w:jc w:val="both"/>
      </w:pPr>
      <w:r>
        <w:t>Predlog zakona ureja zmanjšanje odstotka letne rasti sredstev državnega financiranja znanstvenoraziskovalne in inovacijske dejavnosti v letih 2027 in 2028 na način, da se mora zagotoviti sredstva za rast v višini najmanj 0,0533 odstotne točke, za leto 2026 pa določa, da se sredstva, namenjena za financiranje znanstvenoraziskovalne in inovacijske dejavnosti, načrtujejo v okviru sredstev državnega financiranja znanstvenoraziskovalne dejavnosti in državnega financiranja inovacijske dejavnosti, ter zagotavljajo v finančnem načrtu ministrstva, pristojnega za znanost in inovacije, najmanj v višini 423.383.562,07 evra. Na ta način bo zakonska norma bolje odražala realne javnofinančne zmožnosti ter absorpcijsko sposobnost sistema, da učinkovito uporabi razpoložljiva sredstva za odlično znanost, sodelovanje z gospodarstvom, razvoj infrastrukture in druge z ZZrID določene namene financiranja.</w:t>
      </w:r>
    </w:p>
    <w:p>
      <w:pPr>
        <w:spacing w:after="0" w:line="260" w:lineRule="auto"/>
        <w:rPr>
          <w:rFonts w:ascii="Arial" w:hAnsi="Arial" w:cs="Arial"/>
        </w:rPr>
      </w:pPr>
    </w:p>
    <w:p>
      <w:pPr>
        <w:pStyle w:val="Odebeljeno"/>
        <w:spacing w:after="0" w:line="260" w:lineRule="auto"/>
      </w:pPr>
      <w:r>
        <w:t>3.</w:t>
      </w:r>
      <w:r>
        <w:tab/>
      </w:r>
      <w:r>
        <w:t>Ocena finančnih posledic predloga zakona za državni proračun in druga javna finančna sredstva</w:t>
      </w:r>
    </w:p>
    <w:p>
      <w:pPr>
        <w:spacing w:after="0" w:line="260" w:lineRule="auto"/>
        <w:rPr>
          <w:rFonts w:ascii="Arial" w:hAnsi="Arial" w:cs="Arial"/>
        </w:rPr>
      </w:pPr>
    </w:p>
    <w:p>
      <w:pPr>
        <w:pStyle w:val="Odebeljeno"/>
        <w:spacing w:after="0" w:line="260" w:lineRule="auto"/>
        <w:ind w:left="360" w:hanging="360"/>
      </w:pPr>
      <w:r>
        <w:tab/>
      </w:r>
      <w:r>
        <w:t>Predpis ima posledice za državni proračun in druga javnofinančna sredstva.</w:t>
      </w:r>
    </w:p>
    <w:p>
      <w:pPr>
        <w:spacing w:after="0" w:line="260" w:lineRule="auto"/>
        <w:rPr>
          <w:rFonts w:ascii="Arial" w:hAnsi="Arial" w:cs="Arial"/>
        </w:rPr>
      </w:pPr>
    </w:p>
    <w:p>
      <w:pPr>
        <w:pStyle w:val="Odebeljeno"/>
        <w:spacing w:after="0" w:line="260" w:lineRule="auto"/>
        <w:ind w:left="720" w:hanging="360"/>
      </w:pPr>
      <w:r>
        <w:t>–</w:t>
      </w:r>
      <w:r>
        <w:tab/>
      </w:r>
      <w:r>
        <w:t>Predpis ima posledice za blagajne javnega financiranja (državni proračun, občinski proračuni ter pokojninska in zdravstvena blagajna).</w:t>
      </w:r>
    </w:p>
    <w:p>
      <w:pPr>
        <w:spacing w:after="0" w:line="260" w:lineRule="auto"/>
        <w:rPr>
          <w:rFonts w:ascii="Arial" w:hAnsi="Arial" w:cs="Arial"/>
        </w:rPr>
      </w:pPr>
    </w:p>
    <w:p>
      <w:pPr>
        <w:spacing w:after="0" w:line="260" w:lineRule="auto"/>
        <w:ind w:left="1080" w:hanging="360"/>
      </w:pPr>
      <w:r>
        <w:t>–</w:t>
      </w:r>
      <w:r>
        <w:tab/>
      </w:r>
      <w:r>
        <w:t>Predpis ima na blagajne javnega financiranja učinek v vrednosti nad 40.000 eur.</w:t>
      </w:r>
    </w:p>
    <w:p>
      <w:pPr>
        <w:spacing w:after="0" w:line="260" w:lineRule="auto"/>
        <w:rPr>
          <w:rFonts w:ascii="Arial" w:hAnsi="Arial" w:cs="Arial"/>
        </w:rPr>
      </w:pPr>
    </w:p>
    <w:p>
      <w:pPr>
        <w:spacing w:after="0" w:line="240" w:lineRule="auto"/>
        <w:jc w:val="both"/>
      </w:pPr>
      <w:r>
        <w:t>Predlog zakona ima posledice za državni proračun in druga javnofinančna sredstva.</w:t>
      </w:r>
    </w:p>
    <w:p>
      <w:pPr>
        <w:spacing w:after="0" w:line="240" w:lineRule="auto"/>
        <w:jc w:val="both"/>
      </w:pPr>
      <w:r>
        <w:br/>
      </w:r>
      <w:r>
        <w:t>Neposredni javnofinančni učinek predlaganega zakona bo pozitiven. Glede na trenutno veljavno stopnjo rasti deleža sredstev za znanstvenoraziskovalno in inovacijsko dejavnost, ki je z ZZrID določena na 0,08 % BDP, se bo le-ta v letih 2027 in 2028 zmanjšala na način, da se bo zagotovilo rast v višini najmanj 0,0533 odstotne točke, za leto 2026 pa določa, da se sredstva, namenjena za financiranje znanstvenoraziskovalne in inovacijske dejavnosti, načrtujejo v okviru sredstev državnega financiranja znanstvenoraziskovalne dejavnosti in državnega financiranja inovacijske dejavnosti, ter zagotavljajo v finančnem načrtu ministrstva, pristojnega za znanost in inovacije, najmanj v višini 423.383.562,07 eurov. Ne glede na upočasnjeno rast, se bodo sredstva v letih 2027 in 2028 nominalno povečevala.</w:t>
      </w:r>
    </w:p>
    <w:p>
      <w:pPr>
        <w:spacing w:after="0" w:line="240" w:lineRule="auto"/>
        <w:jc w:val="both"/>
      </w:pPr>
      <w:r>
        <w:t xml:space="preserve"> </w:t>
      </w:r>
    </w:p>
    <w:p>
      <w:pPr>
        <w:spacing w:after="0" w:line="240" w:lineRule="auto"/>
        <w:jc w:val="both"/>
      </w:pPr>
      <w:r>
        <w:t xml:space="preserve"> </w:t>
      </w:r>
    </w:p>
    <w:p>
      <w:pPr>
        <w:spacing w:after="0" w:line="240" w:lineRule="auto"/>
        <w:jc w:val="both"/>
      </w:pPr>
      <w:r>
        <w:t xml:space="preserve"> </w:t>
      </w:r>
    </w:p>
    <w:p>
      <w:pPr>
        <w:spacing w:after="0" w:line="240" w:lineRule="auto"/>
        <w:ind w:left="1080" w:firstLine="0"/>
      </w:pPr>
    </w:p>
    <w:p>
      <w:pPr>
        <w:spacing w:after="0" w:line="260" w:lineRule="auto"/>
        <w:rPr>
          <w:rFonts w:ascii="Arial" w:hAnsi="Arial" w:cs="Arial"/>
        </w:rPr>
      </w:pPr>
    </w:p>
    <w:p>
      <w:pPr>
        <w:pStyle w:val="Odebeljeno"/>
        <w:spacing w:after="0" w:line="260" w:lineRule="auto"/>
      </w:pPr>
      <w:r>
        <w:t>4.</w:t>
      </w:r>
      <w:r>
        <w:tab/>
      </w:r>
      <w:r>
        <w:t>Navedba, da so sredstva za izvajanje zakona v državnem proračunu zagotovljena, če predlog zakona predvideva porabo proračunskih sredstev v obdobju, za katero je bil državni proračun že sprejet</w:t>
      </w:r>
    </w:p>
    <w:p>
      <w:pPr>
        <w:spacing w:after="0" w:line="260" w:lineRule="auto"/>
        <w:rPr>
          <w:rFonts w:ascii="Arial" w:hAnsi="Arial" w:cs="Arial"/>
        </w:rPr>
      </w:pPr>
    </w:p>
    <w:p>
      <w:pPr>
        <w:spacing w:after="0" w:line="240" w:lineRule="auto"/>
        <w:jc w:val="both"/>
      </w:pPr>
      <w:r>
        <w:t>Pravice porabe za izvedbo predlaganih rešitev za leto 2026 so načrtovane v proračunu RS za leto 2026 pri Ministrstvu za izobraževanje, znanost in mladino, za leto 2027 in 2028 pa bodo vključene v pripravo sprememb proračuna RS za leto 2027 in pripravo proračuna RS za leto 2028.</w:t>
      </w:r>
    </w:p>
    <w:p>
      <w:pPr>
        <w:spacing w:after="0" w:line="260" w:lineRule="auto"/>
      </w:pPr>
    </w:p>
    <w:p>
      <w:pPr>
        <w:spacing w:after="0" w:line="260" w:lineRule="auto"/>
        <w:rPr>
          <w:rFonts w:ascii="Arial" w:hAnsi="Arial" w:cs="Arial"/>
        </w:rPr>
      </w:pPr>
    </w:p>
    <w:p>
      <w:pPr>
        <w:pStyle w:val="Odebeljeno"/>
        <w:spacing w:after="0" w:line="260" w:lineRule="auto"/>
      </w:pPr>
      <w:r>
        <w:t>5.</w:t>
      </w:r>
      <w:r>
        <w:tab/>
      </w:r>
      <w:r>
        <w:t>Prikaz ureditve v drugih pravnih sistemih in prilagojenosti predlagane ureditve pravu Evropske unije</w:t>
      </w:r>
    </w:p>
    <w:p>
      <w:pPr>
        <w:spacing w:after="0" w:line="260" w:lineRule="auto"/>
        <w:rPr>
          <w:rFonts w:ascii="Arial" w:hAnsi="Arial" w:cs="Arial"/>
        </w:rPr>
      </w:pPr>
    </w:p>
    <w:p>
      <w:pPr>
        <w:pStyle w:val="Odebeljeno"/>
        <w:spacing w:after="0" w:line="260" w:lineRule="auto"/>
      </w:pPr>
      <w:r>
        <w:t>5.1</w:t>
      </w:r>
      <w:r>
        <w:tab/>
      </w:r>
      <w:r>
        <w:t>Prikaz ureditve v drugih pravnih sistemih</w:t>
      </w:r>
    </w:p>
    <w:p>
      <w:pPr>
        <w:spacing w:after="0" w:line="260" w:lineRule="auto"/>
        <w:rPr>
          <w:rFonts w:ascii="Arial" w:hAnsi="Arial" w:cs="Arial"/>
        </w:rPr>
      </w:pPr>
    </w:p>
    <w:p>
      <w:pPr>
        <w:spacing w:after="0" w:line="260" w:lineRule="auto"/>
      </w:pPr>
      <w:r>
        <w:t>/</w:t>
      </w:r>
    </w:p>
    <w:p>
      <w:pPr>
        <w:spacing w:after="0" w:line="260" w:lineRule="auto"/>
        <w:rPr>
          <w:rFonts w:ascii="Arial" w:hAnsi="Arial" w:cs="Arial"/>
        </w:rPr>
      </w:pPr>
    </w:p>
    <w:p>
      <w:pPr>
        <w:pStyle w:val="Odebeljeno"/>
        <w:spacing w:after="0" w:line="260" w:lineRule="auto"/>
      </w:pPr>
      <w:r>
        <w:t>5.2</w:t>
      </w:r>
      <w:r>
        <w:tab/>
      </w:r>
      <w:r>
        <w:t>Prikaz ureditve v pravnem redu Evropske unije</w:t>
      </w:r>
    </w:p>
    <w:p>
      <w:pPr>
        <w:spacing w:after="0" w:line="260" w:lineRule="auto"/>
        <w:rPr>
          <w:rFonts w:ascii="Arial" w:hAnsi="Arial" w:cs="Arial"/>
        </w:rPr>
      </w:pPr>
    </w:p>
    <w:p>
      <w:pPr>
        <w:spacing w:after="0" w:line="260" w:lineRule="auto"/>
      </w:pPr>
      <w:r>
        <w:t>Predlog ni predmet usklajevanja s pravnim redom EU.</w:t>
      </w:r>
    </w:p>
    <w:p>
      <w:pPr>
        <w:spacing w:after="0" w:line="260" w:lineRule="auto"/>
        <w:rPr>
          <w:rFonts w:ascii="Arial" w:hAnsi="Arial" w:cs="Arial"/>
        </w:rPr>
      </w:pPr>
    </w:p>
    <w:p>
      <w:pPr>
        <w:pStyle w:val="SrajckaNaslovZamik"/>
        <w:spacing w:after="0" w:line="260" w:lineRule="auto"/>
      </w:pPr>
      <w:r>
        <w:t>5.3</w:t>
      </w:r>
      <w:r>
        <w:tab/>
      </w:r>
      <w:r>
        <w:t>Prikaz ureditve v posameznih državah članicah Evropske unije</w:t>
      </w:r>
    </w:p>
    <w:p>
      <w:pPr>
        <w:spacing w:after="0" w:line="260" w:lineRule="auto"/>
        <w:rPr>
          <w:rFonts w:ascii="Arial" w:hAnsi="Arial" w:cs="Arial"/>
        </w:rPr>
      </w:pPr>
    </w:p>
    <w:p>
      <w:pPr>
        <w:spacing w:after="0" w:line="260" w:lineRule="auto"/>
      </w:pPr>
      <w:r>
        <w:t>Estonija</w:t>
      </w:r>
    </w:p>
    <w:p>
      <w:pPr>
        <w:spacing w:after="0" w:line="260" w:lineRule="auto"/>
        <w:rPr>
          <w:rFonts w:ascii="Arial" w:hAnsi="Arial" w:cs="Arial"/>
        </w:rPr>
      </w:pPr>
    </w:p>
    <w:p>
      <w:pPr>
        <w:spacing w:after="0" w:line="240" w:lineRule="auto"/>
        <w:jc w:val="both"/>
      </w:pPr>
      <w:r>
        <w:t>Estonija je smiselna primerjava, saj gre za manjšo evropsko državo, ki se je osamosvojila v  istem obdobju kot Slovenija in se v istem času kot Slovenija pridružila EU. Hkrati je ena od najuspešnejših držav, ki se hitro vzpenja po Evropskem inovacijskem indeksu in uvrščena v skupino močnih inovatork, iz katere je Slovenija izpadla.</w:t>
      </w:r>
    </w:p>
    <w:p>
      <w:pPr>
        <w:spacing w:after="0" w:line="240" w:lineRule="auto"/>
        <w:jc w:val="both"/>
      </w:pPr>
      <w:r>
        <w:t xml:space="preserve"> </w:t>
      </w:r>
    </w:p>
    <w:p>
      <w:pPr>
        <w:spacing w:after="0" w:line="240" w:lineRule="auto"/>
        <w:jc w:val="both"/>
      </w:pPr>
      <w:r>
        <w:t xml:space="preserve">Financiranje raziskav, razvoja in inovacij v Estoniji temelji na celoviti državni strategiji </w:t>
      </w:r>
      <w:r>
        <w:rPr>
          <w:i/>
        </w:rPr>
        <w:t>Research, Development, Innovation and Entrepreneurship Strategy 2021–2035</w:t>
      </w:r>
      <w:r>
        <w:t xml:space="preserve"> (RDIE 2021–2035), ki sta jo pripravili Ministrstvo za izobraževanje in raziskovanje ter Ministrstvo za gospodarstvo in komunikacije. Strategija združuje raziskave, razvoj, inovacije in podjetništvo v enoten okvir z namenom povečanja blaginje estonske družbe in produktivnosti gospodarstva.</w:t>
      </w:r>
    </w:p>
    <w:p>
      <w:pPr>
        <w:spacing w:after="0" w:line="240" w:lineRule="auto"/>
        <w:jc w:val="both"/>
      </w:pPr>
      <w:r>
        <w:t xml:space="preserve"> </w:t>
      </w:r>
    </w:p>
    <w:p>
      <w:pPr>
        <w:spacing w:after="0" w:line="240" w:lineRule="auto"/>
        <w:jc w:val="both"/>
      </w:pPr>
      <w:r>
        <w:t>Strategija je strukturirana okoli treh stebrov: (1) visoko kakovosten, učinkovit in raznolik raziskovalni sistem, (2) prenos znanja, ki temelji na raziskovalnih in inovacijskih rešitvah, ter (3) podjetniško okolje, ki spodbuja nastanek in rast na znanju temelječih podjetij. Med prednostnimi ukrepi so zagotavljanje razvoja raziskovalnih institucij in raziskovalne infrastrukture, krepitev mednarodnega raziskovalnega sodelovanja, povečanje prenosa znanja med raziskovalnimi organizacijami in podjetji ter podpora tehnološko intenzivnemu podjetništvu.</w:t>
      </w:r>
    </w:p>
    <w:p>
      <w:pPr>
        <w:spacing w:after="0" w:line="240" w:lineRule="auto"/>
        <w:jc w:val="both"/>
      </w:pPr>
      <w:r>
        <w:t xml:space="preserve"> </w:t>
      </w:r>
    </w:p>
    <w:p>
      <w:pPr>
        <w:spacing w:after="0" w:line="240" w:lineRule="auto"/>
        <w:jc w:val="both"/>
      </w:pPr>
      <w:r>
        <w:t>Finančno je izvajanje strategije vključeno v državno proračunsko načrtovanje. Uradni proračunski dokumenti estonske vlade za obdobje 2026–2029 izkazujejo poseben programski okvir za raziskave, razvoj in podjetništvo, v katerem sodelujeta Ministrstvo za izobraževanje in raziskovanje ter Ministrstvo za gospodarstvo in komunikacije. Kot ključni razvojni cilj je opredeljeno povečanje javnih vlaganj v raziskave in razvoj ter krepitev zasebnih vlaganj v raziskovalno-razvojno dejavnost.</w:t>
      </w:r>
    </w:p>
    <w:p>
      <w:pPr>
        <w:spacing w:after="0" w:line="240" w:lineRule="auto"/>
        <w:jc w:val="both"/>
      </w:pPr>
      <w:r>
        <w:t xml:space="preserve"> </w:t>
      </w:r>
    </w:p>
    <w:p>
      <w:pPr>
        <w:spacing w:after="0" w:line="240" w:lineRule="auto"/>
        <w:jc w:val="both"/>
      </w:pPr>
      <w:r>
        <w:t xml:space="preserve">V </w:t>
      </w:r>
      <w:r>
        <w:rPr>
          <w:i/>
        </w:rPr>
        <w:t>European Innovation Scoreboard</w:t>
      </w:r>
      <w:r>
        <w:t xml:space="preserve"> 2026 je Estonija uvrščena v skupino »</w:t>
      </w:r>
      <w:r>
        <w:rPr>
          <w:i/>
        </w:rPr>
        <w:t>Strong Innovator</w:t>
      </w:r>
      <w:r>
        <w:t>«. Dosega 108,6 % povprečja EU in zaseda 11. mesto med državami članicami EU. Evropska komisija med njene najmočnejše kazalnike uvršča izdatke tveganega kapitala, javno-zasebne znanstvene objave in uvajanje produktnih inovacij v malih in srednje velikih podjetjih.</w:t>
      </w:r>
    </w:p>
    <w:p>
      <w:pPr>
        <w:spacing w:after="0" w:line="260" w:lineRule="auto"/>
        <w:rPr>
          <w:rFonts w:ascii="Arial" w:hAnsi="Arial" w:cs="Arial"/>
        </w:rPr>
      </w:pPr>
    </w:p>
    <w:p>
      <w:pPr>
        <w:spacing w:after="0" w:line="260" w:lineRule="auto"/>
      </w:pPr>
      <w:r>
        <w:t>Portugalska</w:t>
      </w:r>
    </w:p>
    <w:p>
      <w:pPr>
        <w:spacing w:after="0" w:line="260" w:lineRule="auto"/>
        <w:rPr>
          <w:rFonts w:ascii="Arial" w:hAnsi="Arial" w:cs="Arial"/>
        </w:rPr>
      </w:pPr>
    </w:p>
    <w:p>
      <w:pPr>
        <w:spacing w:after="0" w:line="240" w:lineRule="auto"/>
        <w:jc w:val="both"/>
      </w:pPr>
      <w:r>
        <w:t>Primerjalno je zanimiva tudi Portugalska, kjer sta za raziskovalno in inovacijsko politiko pristojna Ministrstvo za znanost, tehnologijo in visoko šolstvo (MCTES) ter Ministrstvo za gospodarstvo (ME).</w:t>
      </w:r>
    </w:p>
    <w:p>
      <w:pPr>
        <w:spacing w:after="0" w:line="240" w:lineRule="auto"/>
        <w:jc w:val="both"/>
      </w:pPr>
      <w:r>
        <w:t xml:space="preserve"> </w:t>
      </w:r>
    </w:p>
    <w:p>
      <w:pPr>
        <w:spacing w:after="0" w:line="240" w:lineRule="auto"/>
        <w:jc w:val="both"/>
      </w:pPr>
      <w:r>
        <w:t xml:space="preserve">Portugalski sistem financiranja znanosti temelji predvsem na delovanju javne agencije </w:t>
      </w:r>
      <w:r>
        <w:rPr>
          <w:i/>
        </w:rPr>
        <w:t xml:space="preserve">Fundação para a Ciência e a Tecnologia </w:t>
      </w:r>
      <w:r>
        <w:t>(FCT), ki je osrednja nacionalna institucija za financiranje raziskovalne dejavnosti. FCT izvaja nacionalne razpise za raziskovalne projekte, doktorske in podoktorske štipendije, raziskovalno infrastrukturo ter mednarodno znanstveno sodelovanje.</w:t>
      </w:r>
    </w:p>
    <w:p>
      <w:pPr>
        <w:spacing w:after="0" w:line="240" w:lineRule="auto"/>
        <w:jc w:val="both"/>
      </w:pPr>
      <w:r>
        <w:t xml:space="preserve"> </w:t>
      </w:r>
    </w:p>
    <w:p>
      <w:pPr>
        <w:spacing w:after="0" w:line="240" w:lineRule="auto"/>
        <w:jc w:val="both"/>
      </w:pPr>
      <w:r>
        <w:t>FCT predstavlja osrednji izvedbeni mehanizem portugalske raziskovalne politike in upravlja pomemben del nacionalnih ter evropskih sredstev za raziskave. Med njenimi nalogami so financiranje raziskovalnih organizacij, spodbujanje odprte znanosti, podpora raziskovalnim karieram ter koordinacija sodelovanja Portugalske v evropskem raziskovalnem prostoru.</w:t>
      </w:r>
    </w:p>
    <w:p>
      <w:pPr>
        <w:spacing w:after="0" w:line="240" w:lineRule="auto"/>
        <w:jc w:val="both"/>
      </w:pPr>
      <w:r>
        <w:t>V European Innovation Scoreboard 2026 je Portugalska uvrščena v skupino »</w:t>
      </w:r>
      <w:r>
        <w:rPr>
          <w:i/>
        </w:rPr>
        <w:t>Moderate Innovator</w:t>
      </w:r>
      <w:r>
        <w:t>«. Njen inovacijski indeks dosega 93,2 % povprečja EU, država pa zaseda 15. mesto med državami članicami EU. Evropska komisija ugotavlja, da Portugalska presega povprečje skupine zmernih inovatork ter dosega nadpovprečne rezultate predvsem pri prodaji inovativnih proizvodov in storitev ter pri javni podpori raziskavam in razvoju.</w:t>
      </w:r>
    </w:p>
    <w:p>
      <w:pPr>
        <w:spacing w:after="0" w:line="240" w:lineRule="auto"/>
        <w:jc w:val="both"/>
      </w:pPr>
      <w:r>
        <w:t xml:space="preserve"> </w:t>
      </w:r>
    </w:p>
    <w:p>
      <w:pPr>
        <w:spacing w:after="0" w:line="240" w:lineRule="auto"/>
        <w:jc w:val="both"/>
      </w:pPr>
      <w:r>
        <w:t xml:space="preserve">Na operativni ravni večino akademskega raziskovanja izvaja FCT, ki je hkrati tudi ključna organizacija za financiranje raziskav na Portugalskem. Agencija je javna organizacija v pristojnosti Ministrstva za znanost, tehnologijo in visoko šolstvo ter hkrati opravlja tudi vlogo raziskovalnega sveta. Nudi sredstva za akademske raziskovalne enote in financira raziskovalne projekte kot tudi napredna usposabljanja na doktorski in po-doktorski ravni na vseh raziskovalnih področjih. Državna inovacijska agencija </w:t>
      </w:r>
      <w:r>
        <w:rPr>
          <w:i/>
        </w:rPr>
        <w:t>Agência Nacional de Inovação</w:t>
      </w:r>
      <w:r>
        <w:t xml:space="preserve"> (ANI) je v skupni pristojnosti Ministrstva za znanost, tehnologijo in visoko šolstvo ter Ministrstva za gospodarstvo. Agencija financira aplikativno usmerjene raziskovalno-inovacijske aktivnosti. Za razliko od akademsko usmerjene FCT upravlja ANI politike v podporo aplikativnim raziskavam ter skupnim raziskovalnim projektom med akademskim in podjetniškim sektorjem.</w:t>
      </w:r>
    </w:p>
    <w:p>
      <w:pPr>
        <w:spacing w:after="0" w:line="240" w:lineRule="auto"/>
        <w:jc w:val="both"/>
      </w:pPr>
      <w:r>
        <w:t xml:space="preserve"> </w:t>
      </w:r>
    </w:p>
    <w:p>
      <w:pPr>
        <w:spacing w:after="0" w:line="240" w:lineRule="auto"/>
        <w:jc w:val="both"/>
      </w:pPr>
      <w:r>
        <w:t>Delež naložb državnega sektorja v odstotkih BDP se je v zadnjih letih nenehno zmanjševal. Po tem, ko je leta 2009 dosegel najvišji delež 0,70 %, se je do leta 2018 zmanjšal na 0,63 %. Takšen trend se kaže tudi v zmanjševanju zasebnih izdatkov za raziskave in razvoj. To zmanjšanje se že kaže v številnih spremembah v raziskovalno inovacijskem sistemu tako v načinu financiranja kot tudi v sami strukturi raziskovalno razvojne dejavnosti.</w:t>
      </w:r>
    </w:p>
    <w:p>
      <w:pPr>
        <w:spacing w:after="0" w:line="240" w:lineRule="auto"/>
        <w:jc w:val="both"/>
      </w:pPr>
      <w:r>
        <w:t xml:space="preserve"> </w:t>
      </w:r>
    </w:p>
    <w:p>
      <w:pPr>
        <w:spacing w:after="0" w:line="240" w:lineRule="auto"/>
        <w:jc w:val="both"/>
      </w:pPr>
      <w:r>
        <w:t>Na Portugalskem so si zastavili naslednje cilje: izboljšati inovativno dejavnost podjetij s krepitvijo njihovih upravljavskih in tehnoloških zmogljivosti, podpreti ustanavljanje novih podjetij v visokotehnoloških sektorjih, zagotoviti močne povezave med znanostjo in industrijo, vključiti ključne deležnike v proces oblikovanja in izvajanja raziskovalno razvojnih načrtov, spodbuditi zaposlovanje raziskovalcev v podjetniškem sektorju ter promovirati razvoj človeškega kapitala.</w:t>
      </w:r>
    </w:p>
    <w:p>
      <w:pPr>
        <w:spacing w:after="0" w:line="260" w:lineRule="auto"/>
        <w:rPr>
          <w:rFonts w:ascii="Arial" w:hAnsi="Arial" w:cs="Arial"/>
        </w:rPr>
      </w:pPr>
    </w:p>
    <w:p>
      <w:pPr>
        <w:spacing w:after="0" w:line="260" w:lineRule="auto"/>
      </w:pPr>
      <w:r>
        <w:t>Avstrija</w:t>
      </w:r>
    </w:p>
    <w:p>
      <w:pPr>
        <w:spacing w:after="0" w:line="260" w:lineRule="auto"/>
        <w:rPr>
          <w:rFonts w:ascii="Arial" w:hAnsi="Arial" w:cs="Arial"/>
        </w:rPr>
      </w:pPr>
    </w:p>
    <w:p>
      <w:pPr>
        <w:spacing w:after="0" w:line="240" w:lineRule="auto"/>
        <w:jc w:val="both"/>
      </w:pPr>
      <w:r>
        <w:t>Avstrija je zanimiva zaradi geografske bližine, skupne zgodovine in tradicionalno tesnega sodelovanja tako raziskovalnega kot gospodarskega področja. Prav tako velja Avstrija za državo, po kateri se lahko zgledujemo na področju znanstvenoraziskovalne inovacijske politike.</w:t>
      </w:r>
    </w:p>
    <w:p>
      <w:pPr>
        <w:spacing w:after="0" w:line="240" w:lineRule="auto"/>
        <w:jc w:val="both"/>
      </w:pPr>
      <w:r>
        <w:t xml:space="preserve"> </w:t>
      </w:r>
    </w:p>
    <w:p>
      <w:pPr>
        <w:spacing w:after="0" w:line="240" w:lineRule="auto"/>
        <w:jc w:val="both"/>
      </w:pPr>
      <w:r>
        <w:t xml:space="preserve">Avstrijski sistem financiranja raziskav, tehnologije in inovacij temelji na zakonskem okviru </w:t>
      </w:r>
      <w:r>
        <w:rPr>
          <w:i/>
        </w:rPr>
        <w:t>Forschungsfinanzierungsgesetz</w:t>
      </w:r>
      <w:r>
        <w:t xml:space="preserve"> – FoFinaG in ureja financiranje raziskav, tehnologije in inovacij, vključno s cilji, FTI-paktom, osrednjimi raziskovalnimi in podpornimi institucijami, financiranjem, dogovori o učinkih in financiranju ter monitoringom in evalvacijo. FTI-pakt je dokument, ki na operativni ravni operacionalizira širše strateške usmeritve in neposredno odraža proračunsko načrtovanje. Po vzoru tega dokumenta smo v Sloveniji pripravili Pakt za raziskave in inovacije, ki ga je sprejela vlada in po vsebini in namenu sledi avstrijskemu dokumentu. Sistem je sestavljen tako, da zagotavlja dolgoročno, razvojno usmerjeno načrtovanje in finančno varnost za raziskave, tehnologijo in inovacije, strateško usmerjanje, administrativne poenostavitve pri zagotavljanju zveznih sredstev ter izboljšanje rezultatov in analizo učinkov.</w:t>
      </w:r>
    </w:p>
    <w:p>
      <w:pPr>
        <w:spacing w:after="0" w:line="240" w:lineRule="auto"/>
        <w:jc w:val="both"/>
      </w:pPr>
      <w:r>
        <w:t xml:space="preserve"> </w:t>
      </w:r>
    </w:p>
    <w:p>
      <w:pPr>
        <w:spacing w:after="0" w:line="240" w:lineRule="auto"/>
        <w:jc w:val="both"/>
      </w:pPr>
      <w:r>
        <w:t>Ključni instrument srednjeročnega financiranja je triletni FTI-Pakt, ki ga sprejme zvezna vlada in ki operacionalizira cilje FTI-Strategije 2030. Strategija, sprejeta 23. decembra 2020, določa tri glavne cilje: približanje mednarodnemu vrhu in krepitev Avstrije kot raziskovalno-inovacijskega prostora, osredotočenost na učinkovitost in odličnost ter krepitev znanja, talentov in spretnosti. Za obdobje 2024–2026 je bil sprejet drugi FTI-pakt, ki med drugim zajema raziskovalno in tehnološko infrastrukturo, sodelovanje v evropskih misijah, evropskih partnerstvih in IPCEI, internacionalizacijo, odličnost v temeljnih raziskavah, podporo uporabnim raziskavam ter FTI za podnebne in energetske cilje. Po navedbi pristojnega ministrstva je bilo za FTI-pakt 2024–2026 prvotno predvidenih približno 5,05 mrd. EUR, nato pa je bil obseg v okviru konjunkturnih ukrepov povečan na približno 5,2 mrd. EUR. Za FTI-pakt 2027–2029 je bil 24. februarja 2026 sprejet okvir v višini 5,49 mrd. EUR.</w:t>
      </w:r>
    </w:p>
    <w:p>
      <w:pPr>
        <w:spacing w:after="0" w:line="240" w:lineRule="auto"/>
        <w:jc w:val="both"/>
      </w:pPr>
      <w:r>
        <w:t xml:space="preserve"> </w:t>
      </w:r>
    </w:p>
    <w:p>
      <w:pPr>
        <w:spacing w:after="0" w:line="240" w:lineRule="auto"/>
        <w:jc w:val="both"/>
      </w:pPr>
      <w:r>
        <w:t>FoFinaG določa, da se financiranje in usmerjanje osrednjih institucij izvaja prek dogovorov o učinkih in financiranju, pri čemer se upoštevajo finančna zmožnost zvezne države, naloge institucij in učinkovit oziroma potrebam prilagojen način porabe sredstev. Zakon določa tudi, da se proračunska sredstva za osrednje institucije, ki so bila predhodno določena v zveznem finančnem okviru, v okviru obdobja dogovora o učinkih in financiranju ne smejo znižati; enako velja za drugo raziskovalno financiranje v relevantnih proračunskih razdelkih.</w:t>
      </w:r>
    </w:p>
    <w:p>
      <w:pPr>
        <w:spacing w:after="0" w:line="240" w:lineRule="auto"/>
        <w:jc w:val="both"/>
      </w:pPr>
      <w:r>
        <w:t xml:space="preserve"> </w:t>
      </w:r>
    </w:p>
    <w:p>
      <w:pPr>
        <w:spacing w:after="0" w:line="240" w:lineRule="auto"/>
        <w:jc w:val="both"/>
      </w:pPr>
      <w:r>
        <w:t xml:space="preserve">V </w:t>
      </w:r>
      <w:r>
        <w:rPr>
          <w:i/>
        </w:rPr>
        <w:t>European Innovation Scoreboard 2026</w:t>
      </w:r>
      <w:r>
        <w:t xml:space="preserve"> je Avstrija uvrščena v skupino močnih inovatork. ”. Njena vrednost zbirnega inovacijskega indeksa znaša 113,0 % povprečja EU v letu 2026; med državami članicami EU je na 8. mestu, med državami EU in sosednjimi državami pa na 11. mestu.</w:t>
      </w:r>
    </w:p>
    <w:p>
      <w:pPr>
        <w:spacing w:after="0" w:line="260" w:lineRule="auto"/>
        <w:rPr>
          <w:rFonts w:ascii="Arial" w:hAnsi="Arial" w:cs="Arial"/>
        </w:rPr>
      </w:pPr>
    </w:p>
    <w:p>
      <w:pPr>
        <w:pStyle w:val="Odebeljeno"/>
        <w:spacing w:after="0" w:line="260" w:lineRule="auto"/>
      </w:pPr>
      <w:r>
        <w:t>6.</w:t>
      </w:r>
      <w:r>
        <w:tab/>
      </w:r>
      <w:r>
        <w:t>Zunanji strokovnjak oziroma pravna oseba, ki je sodelovala pri pripravi predloga zakona</w:t>
      </w:r>
    </w:p>
    <w:p>
      <w:pPr>
        <w:spacing w:after="0" w:line="260" w:lineRule="auto"/>
        <w:rPr>
          <w:rFonts w:ascii="Arial" w:hAnsi="Arial" w:cs="Arial"/>
        </w:rPr>
      </w:pPr>
    </w:p>
    <w:p>
      <w:pPr>
        <w:spacing w:after="0" w:line="240" w:lineRule="auto"/>
      </w:pPr>
      <w:r>
        <w:t>Pri pripravi predpisa ni sodeloval zunanji strokovnjak oziroma pravna oseba.</w:t>
      </w:r>
    </w:p>
    <w:p>
      <w:pPr>
        <w:spacing w:after="0" w:line="260" w:lineRule="auto"/>
        <w:rPr>
          <w:rFonts w:ascii="Arial" w:hAnsi="Arial" w:cs="Arial"/>
        </w:rPr>
      </w:pPr>
    </w:p>
    <w:p>
      <w:pPr>
        <w:pStyle w:val="Odebeljeno"/>
        <w:spacing w:after="0" w:line="260" w:lineRule="auto"/>
      </w:pPr>
      <w:r>
        <w:t>7.</w:t>
      </w:r>
      <w:r>
        <w:tab/>
      </w:r>
      <w:r>
        <w:t>Navedba, kateri predstavniki predlagatelja bodo sodelovali pri delu državnega zbora in delovnih teles</w:t>
      </w:r>
    </w:p>
    <w:p>
      <w:pPr>
        <w:spacing w:after="0" w:line="260" w:lineRule="auto"/>
        <w:rPr>
          <w:rFonts w:ascii="Arial" w:hAnsi="Arial" w:cs="Arial"/>
        </w:rPr>
      </w:pPr>
    </w:p>
    <w:p>
      <w:pPr>
        <w:spacing w:after="0" w:line="240" w:lineRule="auto"/>
        <w:ind w:left="454"/>
      </w:pPr>
      <w:r>
        <w:t>- dr. Borut Rončević, minister, Ministrstvo za izobraževanje, znanost in mladino</w:t>
      </w:r>
    </w:p>
    <w:p>
      <w:pPr>
        <w:spacing w:after="0" w:line="240" w:lineRule="auto"/>
        <w:ind w:left="454"/>
      </w:pPr>
      <w:r>
        <w:t>- dr. Rok Strašek, državni sekretar na Ministrstvu za izobraževanje, znanost in mladino</w:t>
      </w:r>
    </w:p>
    <w:p>
      <w:pPr>
        <w:spacing w:after="0" w:line="240" w:lineRule="auto"/>
        <w:ind w:left="454"/>
      </w:pPr>
      <w:r>
        <w:t>- Andrej Vastl, v. d. generalnega direktorja Direktorata za znanost na Ministrstvu za izobraževanje, znanost in mladino</w:t>
      </w:r>
    </w:p>
    <w:p>
      <w:r>
        <w:br w:type="page"/>
      </w:r>
    </w:p>
    <w:p>
      <w:pPr>
        <w:pStyle w:val="Odebeljeno"/>
        <w:spacing w:after="0" w:line="260" w:lineRule="auto"/>
      </w:pPr>
      <w:r>
        <w:t>II.</w:t>
      </w:r>
      <w:r>
        <w:tab/>
      </w:r>
      <w:r>
        <w:t>BESEDILO ČLENOV</w:t>
      </w:r>
    </w:p>
    <w:p>
      <w:pPr>
        <w:spacing w:after="0" w:line="260" w:lineRule="auto"/>
        <w:rPr>
          <w:rFonts w:ascii="Arial" w:hAnsi="Arial" w:cs="Arial"/>
        </w:rPr>
      </w:pPr>
    </w:p>
    <w:p>
      <w:pPr>
        <w:pStyle w:val="Naslov1"/>
        <w:spacing w:after="0" w:line="260" w:lineRule="auto"/>
      </w:pPr>
      <w:r>
        <w:t>Zakon o spremembah in dopolnitvi Zakona o spremembah in dopolnitvah Zakona o znanstvenoraziskovalni in inovacijski dejavnosti</w:t>
      </w:r>
    </w:p>
    <w:p>
      <w:pPr>
        <w:pStyle w:val="len"/>
        <w:spacing w:after="0" w:line="260" w:lineRule="auto"/>
      </w:pPr>
      <w:r>
        <w:t>1. člen</w:t>
      </w:r>
    </w:p>
    <w:p>
      <w:pPr>
        <w:spacing w:after="0" w:line="260" w:lineRule="auto"/>
        <w:rPr>
          <w:rFonts w:ascii="Arial" w:hAnsi="Arial" w:cs="Arial"/>
        </w:rPr>
      </w:pPr>
    </w:p>
    <w:p>
      <w:pPr>
        <w:spacing w:after="0" w:line="260" w:lineRule="auto"/>
      </w:pPr>
      <w:r>
        <w:tab/>
      </w:r>
      <w:r>
        <w:t>V Zakonu o spremembah in dopolnitvah Zakona o znanstvenoraziskovalni in inovacijski dejavnosti (Uradni list RS, št. 40/25) se v 60. členu za besedilom člena, ki se označi kot prvi odstavek, doda nov, drugi odstavek, ki se glasi:</w:t>
      </w:r>
    </w:p>
    <w:p>
      <w:pPr>
        <w:spacing w:after="0" w:line="260" w:lineRule="auto"/>
        <w:rPr>
          <w:rFonts w:ascii="Arial" w:hAnsi="Arial" w:cs="Arial"/>
        </w:rPr>
      </w:pPr>
    </w:p>
    <w:p>
      <w:pPr>
        <w:spacing w:after="0" w:line="260" w:lineRule="auto"/>
        <w:rPr>
          <w:rFonts w:ascii="Arial" w:hAnsi="Arial" w:cs="Arial"/>
        </w:rPr>
      </w:pPr>
    </w:p>
    <w:p>
      <w:pPr>
        <w:spacing w:after="0" w:line="260" w:lineRule="auto"/>
      </w:pPr>
      <w:r>
        <w:tab/>
      </w:r>
      <w:r>
        <w:t xml:space="preserve">»(2) Ne glede na višino povečanja iz prejšnjega odstavka se v letih 2027 in 2028 delež BDP iz prejšnjega odstavka povečuje za najmanj 0,0533 odstotne točke letno.«.    </w:t>
      </w:r>
    </w:p>
    <w:p>
      <w:pPr>
        <w:pStyle w:val="len"/>
        <w:spacing w:after="0" w:line="260" w:lineRule="auto"/>
      </w:pPr>
      <w:r>
        <w:t>2. člen</w:t>
      </w:r>
    </w:p>
    <w:p>
      <w:pPr>
        <w:spacing w:after="0" w:line="260" w:lineRule="auto"/>
        <w:rPr>
          <w:rFonts w:ascii="Arial" w:hAnsi="Arial" w:cs="Arial"/>
        </w:rPr>
      </w:pPr>
    </w:p>
    <w:p>
      <w:pPr>
        <w:spacing w:after="0" w:line="260" w:lineRule="auto"/>
      </w:pPr>
      <w:r>
        <w:tab/>
      </w:r>
      <w:r>
        <w:t>62. člen se spremeni tako, da se glasi:</w:t>
      </w:r>
    </w:p>
    <w:p>
      <w:pPr>
        <w:spacing w:after="0" w:line="260" w:lineRule="auto"/>
        <w:rPr>
          <w:rFonts w:ascii="Arial" w:hAnsi="Arial" w:cs="Arial"/>
        </w:rPr>
      </w:pPr>
    </w:p>
    <w:p>
      <w:pPr>
        <w:spacing w:after="0" w:line="260" w:lineRule="auto"/>
        <w:rPr>
          <w:rFonts w:ascii="Arial" w:hAnsi="Arial" w:cs="Arial"/>
        </w:rPr>
      </w:pPr>
    </w:p>
    <w:p>
      <w:pPr>
        <w:pStyle w:val="lennaslov"/>
        <w:spacing w:after="0" w:line="260" w:lineRule="auto"/>
      </w:pPr>
      <w:r>
        <w:t xml:space="preserve">»62. člen </w:t>
      </w:r>
      <w:r>
        <w:br/>
      </w:r>
      <w:r>
        <w:t xml:space="preserve">(način načrtovanja sredstev v letih od 2026 do 2028) </w:t>
      </w:r>
    </w:p>
    <w:p>
      <w:pPr>
        <w:spacing w:after="0" w:line="260" w:lineRule="auto"/>
        <w:rPr>
          <w:rFonts w:ascii="Arial" w:hAnsi="Arial" w:cs="Arial"/>
        </w:rPr>
      </w:pPr>
    </w:p>
    <w:p>
      <w:pPr>
        <w:spacing w:after="0" w:line="260" w:lineRule="auto"/>
      </w:pPr>
      <w:r>
        <w:tab/>
      </w:r>
      <w:r>
        <w:t>(1) Ne glede na drugi, tretji in četrti odstavek spremenjenega 13. člena zakona ter prvi odstavek 60. člena tega zakona se v letu 2026 sredstva, namenjena za financiranje znanstvenoraziskovalne in inovacijske dejavnosti, načrtujejo v okviru sredstev državnega financiranja znanstvenoraziskovalne dejavnosti in državnega financiranja inovacijske dejavnosti ter zagotavljajo v finančnem načrtu ministrstva, pristojnega za znanost in inovacije, najmanj v višini 423.383.562,07 evra.</w:t>
      </w:r>
    </w:p>
    <w:p>
      <w:pPr>
        <w:spacing w:after="0" w:line="260" w:lineRule="auto"/>
        <w:rPr>
          <w:rFonts w:ascii="Arial" w:hAnsi="Arial" w:cs="Arial"/>
        </w:rPr>
      </w:pPr>
    </w:p>
    <w:p>
      <w:pPr>
        <w:spacing w:after="0" w:line="260" w:lineRule="auto"/>
      </w:pPr>
      <w:r>
        <w:tab/>
      </w:r>
      <w:r>
        <w:t>(2) Ne glede na drugi in tretji odstavek spremenjenega 13. člena zakona se v letih 2027 in 2028 sredstva povečanega deleža BDP, ki je namenjen za financiranje znanstvenoraziskovalne in inovacijske dejavnosti ter se v skladu z drugim odstavkom 60. člena tega zakona povečuje za najmanj 0,0533 odstotne točke, načrtujejo v okviru sredstev državnega financiranja znanstvenoraziskovalne dejavnosti in državnega financiranja inovacijske dejavnosti.«.</w:t>
      </w:r>
    </w:p>
    <w:p>
      <w:pPr>
        <w:pStyle w:val="Poglavje"/>
        <w:spacing w:after="0" w:line="260" w:lineRule="auto"/>
      </w:pPr>
      <w:r>
        <w:t>KONČNA DOLOČBA</w:t>
      </w:r>
    </w:p>
    <w:p>
      <w:pPr>
        <w:pStyle w:val="len"/>
        <w:spacing w:after="0" w:line="260" w:lineRule="auto"/>
      </w:pPr>
      <w:r>
        <w:t>3. člen</w:t>
      </w:r>
    </w:p>
    <w:p>
      <w:pPr>
        <w:pStyle w:val="lennaslov"/>
        <w:spacing w:after="0" w:line="260" w:lineRule="auto"/>
      </w:pPr>
      <w:r>
        <w:t>(začetek veljavnosti)</w:t>
      </w:r>
    </w:p>
    <w:p>
      <w:pPr>
        <w:spacing w:after="0" w:line="260" w:lineRule="auto"/>
        <w:rPr>
          <w:rFonts w:ascii="Arial" w:hAnsi="Arial" w:cs="Arial"/>
        </w:rPr>
      </w:pPr>
    </w:p>
    <w:p>
      <w:pPr>
        <w:spacing w:after="0" w:line="260" w:lineRule="auto"/>
      </w:pPr>
      <w:r>
        <w:tab/>
      </w:r>
      <w:r>
        <w:t>Ta zakon začne veljati naslednji dan po objavi v Uradnem listu Republike Slovenije.</w:t>
      </w:r>
    </w:p>
    <w:p>
      <w:r>
        <w:br w:type="page"/>
      </w:r>
    </w:p>
    <w:p>
      <w:pPr>
        <w:pStyle w:val="Odebeljeno"/>
        <w:spacing w:after="0" w:line="260" w:lineRule="auto"/>
      </w:pPr>
      <w:r>
        <w:t>III.</w:t>
      </w:r>
      <w:r>
        <w:tab/>
      </w:r>
      <w:r>
        <w:t>OBRAZLOŽITEV</w:t>
      </w:r>
    </w:p>
    <w:p>
      <w:pPr>
        <w:spacing w:after="0" w:line="260" w:lineRule="auto"/>
        <w:rPr>
          <w:rFonts w:ascii="Arial" w:hAnsi="Arial" w:cs="Arial"/>
        </w:rPr>
      </w:pPr>
    </w:p>
    <w:p>
      <w:pPr>
        <w:pStyle w:val="Odebeljeno"/>
        <w:spacing w:after="0" w:line="260" w:lineRule="auto"/>
      </w:pPr>
      <w:r>
        <w:t>K 1. členu:</w:t>
      </w:r>
    </w:p>
    <w:p>
      <w:pPr>
        <w:spacing w:after="0" w:line="240" w:lineRule="auto"/>
        <w:jc w:val="both"/>
      </w:pPr>
      <w:r>
        <w:t>Veljavni 60. člen ZZrID-C določa dinamiko povečevanja javnih sredstev za znanstvenoraziskovalno in inovacijsko dejavnost, po kateri se delež BDP, namenjen za financiranje teh dejavnosti, povečuje za 0,08 odstotne točke letno, dokler ne doseže 1 % BDP za financiranje znanstvenoraziskovalne dejavnosti in 0,25 % BDP za financiranje inovacijske dejavnosti.</w:t>
      </w:r>
    </w:p>
    <w:p>
      <w:pPr>
        <w:spacing w:after="0" w:line="240" w:lineRule="auto"/>
        <w:jc w:val="both"/>
      </w:pPr>
      <w:r>
        <w:t xml:space="preserve"> </w:t>
      </w:r>
    </w:p>
    <w:p>
      <w:pPr>
        <w:spacing w:after="0" w:line="240" w:lineRule="auto"/>
        <w:jc w:val="both"/>
      </w:pPr>
      <w:r>
        <w:t>S predlagano dopolnitvijo, to je z novim drugim odstavkom, se za leti 2027 in 2028 določa začasno prilagojena dinamika povečevanja sredstev. V navedenih letih se letno povečanje deleža BDP zniža z 0,08 odstotne točke na način, da se bo zagotovila rast v višini najmanj 0,0533 odstotne točke, kar je zmanjšanje siceršnje zakonsko določene letne dinamike rasti za približno eno tretjino.</w:t>
      </w:r>
    </w:p>
    <w:p>
      <w:pPr>
        <w:spacing w:after="0" w:line="240" w:lineRule="auto"/>
        <w:jc w:val="both"/>
      </w:pPr>
      <w:r>
        <w:t xml:space="preserve"> </w:t>
      </w:r>
    </w:p>
    <w:p>
      <w:pPr>
        <w:spacing w:after="0" w:line="240" w:lineRule="auto"/>
        <w:jc w:val="both"/>
      </w:pPr>
      <w:r>
        <w:t>Predlagana ureditev ne posega v z ZZrID določena dolgoročna cilja financiranja znanstvenoraziskovalne in inovacijske dejavnosti. Ciljni vrednosti 1 % BDP za financiranje znanstvenoraziskovalne dejavnosti in 0,25 % BDP za financiranje inovacijske dejavnosti ostajata nespremenjeni. Spreminja se zgolj dinamika približevanja tema ciljema v omejenem obdobju dveh proračunskih let.</w:t>
      </w:r>
    </w:p>
    <w:p>
      <w:pPr>
        <w:spacing w:after="0" w:line="240" w:lineRule="auto"/>
        <w:jc w:val="both"/>
      </w:pPr>
      <w:r>
        <w:t xml:space="preserve"> </w:t>
      </w:r>
    </w:p>
    <w:p>
      <w:pPr>
        <w:spacing w:after="0" w:line="240" w:lineRule="auto"/>
        <w:jc w:val="both"/>
      </w:pPr>
      <w:r>
        <w:t>Namen predlagane spremembe je uskladiti dinamiko povečevanja zakonsko določenih javnofinančnih obveznosti z dejanskimi proračunskimi možnostmi Republike Slovenije za leti 2027 in 2028 ter zagotoviti srednjeročno vzdržnost javnih financ ob hkratnem nadaljnjem povečevanju javnih vlaganj v znanstvenoraziskovalno in inovacijsko dejavnost. Gre za časovno omejeno izjemo od splošne dinamike povečevanja sredstev. Po izteku leta 2028 se ponovno uporablja splošna dinamika povečevanja sredstev iz prvega odstavka 60. člena ZZrID-C, to je povečanje za 0,08 odstotne točke letno, dokler nista dosežena z ZZrID določena ciljna deleža. Ureditev ohranja predvidljivost in dolgoročno razvojno usmeritev sistema financiranja znanstvenoraziskovalne in inovacijske dejavnosti, hkrati pa omogoča začasno prilagoditev dinamike rasti sredstev javnofinančnim okoliščinam v letih 2027 in 2028. Ne glede na upočasnjeno rast, se bodo sredstva v letih 2027 in 2028 nominalno povečevala.</w:t>
      </w:r>
    </w:p>
    <w:p>
      <w:pPr>
        <w:spacing w:after="0" w:line="260" w:lineRule="auto"/>
        <w:rPr>
          <w:rFonts w:ascii="Arial" w:hAnsi="Arial" w:cs="Arial"/>
        </w:rPr>
      </w:pPr>
    </w:p>
    <w:p>
      <w:pPr>
        <w:pStyle w:val="Odebeljeno"/>
        <w:spacing w:after="0" w:line="260" w:lineRule="auto"/>
      </w:pPr>
      <w:r>
        <w:t>K 2. členu:</w:t>
      </w:r>
    </w:p>
    <w:p>
      <w:pPr>
        <w:spacing w:after="0" w:line="240" w:lineRule="auto"/>
        <w:jc w:val="both"/>
      </w:pPr>
      <w:r>
        <w:t>Veljavni 62. člen ZZrID-C je posebej urejal način načrtovanja sredstev povečanega deleža BDP v letih 2026 in 2027.</w:t>
      </w:r>
    </w:p>
    <w:p>
      <w:pPr>
        <w:spacing w:after="0" w:line="240" w:lineRule="auto"/>
        <w:jc w:val="both"/>
      </w:pPr>
      <w:r>
        <w:t xml:space="preserve"> </w:t>
      </w:r>
    </w:p>
    <w:p>
      <w:pPr>
        <w:spacing w:after="0" w:line="240" w:lineRule="auto"/>
        <w:jc w:val="both"/>
      </w:pPr>
      <w:r>
        <w:t>Ker se s 1. členom tega zakona za leta od 2026 do 2028 dinamika povečanja znižuje, se temu ustrezno prilagodi tudi 62. člen ZZrID-C.</w:t>
      </w:r>
    </w:p>
    <w:p>
      <w:pPr>
        <w:spacing w:after="0" w:line="240" w:lineRule="auto"/>
        <w:jc w:val="both"/>
      </w:pPr>
      <w:r>
        <w:t xml:space="preserve"> </w:t>
      </w:r>
    </w:p>
    <w:p>
      <w:pPr>
        <w:spacing w:after="0" w:line="240" w:lineRule="auto"/>
        <w:jc w:val="both"/>
      </w:pPr>
      <w:r>
        <w:t>Predlagani novi 62. člen v prvem odstavku posebej ureja leto 2026, in sicer se ne glede na drugi, tretji in četrti odstavek spremenjenega 13. člena zakona ter prvi odstavek 60. člena tega zakona v letu 2026 sredstva, namenjena za financiranje znanstvenoraziskovalne in inovacijske dejavnosti, načrtujejo v okviru sredstev državnega financiranja znanstvenoraziskovalne dejavnosti in državnega financiranja inovacijske dejavnosti ter zagotavljajo v finančnem načrtu ministrstva, pristojnega za znanost in inovacije, najmanj v višini 423.383.562,07 evra.</w:t>
      </w:r>
    </w:p>
    <w:p>
      <w:pPr>
        <w:spacing w:after="0" w:line="240" w:lineRule="auto"/>
        <w:jc w:val="both"/>
      </w:pPr>
      <w:r>
        <w:t xml:space="preserve"> </w:t>
      </w:r>
    </w:p>
    <w:p>
      <w:pPr>
        <w:spacing w:after="0" w:line="240" w:lineRule="auto"/>
        <w:jc w:val="both"/>
      </w:pPr>
      <w:r>
        <w:t>Ker se določba nanaša na tekoče proračunsko leto, njena uporaba sama po sebi ne pomeni učinkovanja zakona za nazaj v smislu prvega odstavka 155. člena Ustave Republike Slovenije. Tudi če bi se štelo, da ureditev zaradi svojega časovnega učinkovanja pomeni povratno učinkovanje, je takšno učinkovanje ustavno dopustno, saj temelji na javni koristi in ne posega v pridobljene pravice (upravičencem, ki so sredstva že prejeli, ostanejo odločbe, pogodbe itd. veljavne). Namen določbe je samo določiti način financiranja za leto 2026 v okviru sistema javnega financiranja in razpoložljivih proračunskih sredstev. Zato je časovno učinkovanje predlagane določbe za tekoče leto 2026, kolikor se nanaša tudi na obdobje pred uveljavitvijo tega zakona, ustavno dopustno, saj je v javnem interesu in ne posega v pridobljene pravice. Ureditev je namenjena zagotovitvi nemotenega financiranja znanstvenoraziskovalne in inovacijske dejavnosti v letu 2026 ter prilagoditvi načina načrtovanja sredstev razpoložljivim proračunskim možnostim ministrstva, pristojnega za znanost in inovacije.</w:t>
      </w:r>
    </w:p>
    <w:p>
      <w:pPr>
        <w:spacing w:after="0" w:line="240" w:lineRule="auto"/>
        <w:jc w:val="both"/>
      </w:pPr>
      <w:r>
        <w:t xml:space="preserve"> </w:t>
      </w:r>
    </w:p>
    <w:p>
      <w:pPr>
        <w:spacing w:after="0" w:line="240" w:lineRule="auto"/>
        <w:jc w:val="both"/>
      </w:pPr>
      <w:r>
        <w:t>Predlagani novi 62. člen v drugem odstavku posebej ureja leti 2027 in 2028. Za navedeni leti se sredstva povečanega deleža BDP načrtujejo ob upoštevanju znižane dinamike iz novega drugega odstavka 60. člena ZZrID-C, torej povečanja v višini najmanj 0,0533 odstotne točke letno v okviru sredstev državnega financiranja znanstvenoraziskovalne dejavnosti in državnega financiranja inovacijske dejavnosti, kot sta opredeljena v 2. in 3. točki 5. člena ZZrID. Ne glede na upočasnjeno rast, se bodo sredstva v letih 2027 in 2028 nominalno povečevala.</w:t>
      </w:r>
    </w:p>
    <w:p>
      <w:pPr>
        <w:spacing w:after="0" w:line="240" w:lineRule="auto"/>
        <w:jc w:val="both"/>
      </w:pPr>
      <w:r>
        <w:t xml:space="preserve"> </w:t>
      </w:r>
    </w:p>
    <w:p>
      <w:pPr>
        <w:spacing w:after="0" w:line="240" w:lineRule="auto"/>
        <w:jc w:val="both"/>
      </w:pPr>
      <w:r>
        <w:t>S spremembo se ne posega v sistemsko razmejitev državnega financiranja znanstvenoraziskovalne in inovacijske dejavnosti, temveč se način načrtovanja sredstev le uskladi z začasno spremenjeno dinamiko sredstev za leta od 2026 do 2028.</w:t>
      </w:r>
    </w:p>
    <w:p>
      <w:pPr>
        <w:spacing w:after="0" w:line="240" w:lineRule="auto"/>
        <w:jc w:val="both"/>
      </w:pPr>
      <w:r>
        <w:t xml:space="preserve"> </w:t>
      </w:r>
    </w:p>
    <w:p>
      <w:pPr>
        <w:spacing w:after="0" w:line="240" w:lineRule="auto"/>
        <w:jc w:val="both"/>
      </w:pPr>
      <w:r>
        <w:t>Od leta 2029 se ponovno uporablja splošna dinamika iz prvega odstavka 60. člena ZZrID-C.</w:t>
      </w:r>
    </w:p>
    <w:p>
      <w:pPr>
        <w:spacing w:after="0" w:line="260" w:lineRule="auto"/>
        <w:rPr>
          <w:rFonts w:ascii="Arial" w:hAnsi="Arial" w:cs="Arial"/>
        </w:rPr>
      </w:pPr>
    </w:p>
    <w:p>
      <w:pPr>
        <w:pStyle w:val="Odebeljeno"/>
        <w:spacing w:after="0" w:line="260" w:lineRule="auto"/>
      </w:pPr>
      <w:r>
        <w:t>K 3. členu:</w:t>
      </w:r>
    </w:p>
    <w:p>
      <w:pPr>
        <w:spacing w:after="0" w:line="240" w:lineRule="auto"/>
        <w:jc w:val="both"/>
      </w:pPr>
      <w:r>
        <w:t>Določa se začetek veljavnosti zakona naslednji dan po objavi v Uradnem listu Republike Slovenije.</w:t>
      </w:r>
    </w:p>
    <w:p>
      <w:pPr>
        <w:spacing w:after="0" w:line="240" w:lineRule="auto"/>
        <w:jc w:val="both"/>
      </w:pPr>
      <w:r>
        <w:t xml:space="preserve"> </w:t>
      </w:r>
    </w:p>
    <w:p>
      <w:pPr>
        <w:spacing w:after="0" w:line="240" w:lineRule="auto"/>
        <w:jc w:val="both"/>
      </w:pPr>
      <w:r>
        <w:t>Čimprejšnja uveljavitev je potrebna zaradi pravočasnega načrtovanja državnega proračuna in finančnih načrtov pristojnih proračunskih uporabnikov za leti 2027 in 2028 ter zaradi zagotovitve jasne zakonske podlage za načrtovanje sredstev za znanstvenoraziskovalno in inovacijsko dejavnost v navedenem obdobju.</w:t>
      </w:r>
    </w:p>
    <w:p>
      <w:pPr>
        <w:spacing w:after="0" w:line="260" w:lineRule="auto"/>
        <w:rPr>
          <w:rFonts w:ascii="Arial" w:hAnsi="Arial" w:cs="Arial"/>
        </w:rPr>
      </w:pPr>
    </w:p>
    <w:p>
      <w:r>
        <w:br w:type="page"/>
      </w:r>
    </w:p>
    <w:p>
      <w:pPr>
        <w:pStyle w:val="Odebeljeno"/>
        <w:spacing w:after="0" w:line="260" w:lineRule="auto"/>
      </w:pPr>
      <w:r>
        <w:t>IV.</w:t>
      </w:r>
      <w:r>
        <w:tab/>
      </w:r>
      <w:r>
        <w:t>BESEDILO ČLENOV, KI SE SPREMINJAJO</w:t>
      </w:r>
    </w:p>
    <w:p>
      <w:pPr>
        <w:spacing w:after="0" w:line="260" w:lineRule="auto"/>
        <w:rPr>
          <w:rFonts w:ascii="Arial" w:hAnsi="Arial" w:cs="Arial"/>
        </w:rPr>
      </w:pPr>
    </w:p>
    <w:p>
      <w:pPr>
        <w:pStyle w:val="Odebeljeno"/>
        <w:spacing w:after="0" w:line="260" w:lineRule="auto"/>
      </w:pPr>
      <w:r>
        <w:t>Zakon o spremembah in dopolnitvah Zakona o znanstvenoraziskovalni in inovacijski dejavnosti</w:t>
      </w:r>
    </w:p>
    <w:p>
      <w:pPr>
        <w:spacing w:after="0" w:line="260" w:lineRule="auto"/>
      </w:pPr>
      <w:r>
        <w:t>(Uradni list RS, št. 40/25)</w:t>
      </w:r>
    </w:p>
    <w:p>
      <w:pPr>
        <w:spacing w:after="0" w:line="260" w:lineRule="auto"/>
        <w:rPr>
          <w:rFonts w:ascii="Arial" w:hAnsi="Arial" w:cs="Arial"/>
        </w:rPr>
      </w:pPr>
    </w:p>
    <w:p>
      <w:pPr>
        <w:pStyle w:val="center"/>
        <w:spacing w:before="0" w:after="210"/>
        <w:ind w:left="0" w:right="0"/>
        <w:rPr>
          <w:rFonts w:ascii="Arial" w:cs="Arial"/>
          <w:b/>
          <w:sz w:val="21"/>
        </w:rPr>
      </w:pPr>
      <w:r>
        <w:rPr>
          <w:rFonts w:ascii="Arial" w:cs="Arial"/>
          <w:b/>
          <w:sz w:val="21"/>
        </w:rPr>
        <w:t>60. člen</w:t>
      </w:r>
    </w:p>
    <w:p>
      <w:pPr>
        <w:pStyle w:val="center"/>
        <w:spacing w:before="210" w:after="210"/>
        <w:ind w:left="0" w:right="0"/>
        <w:rPr>
          <w:rFonts w:ascii="Arial" w:cs="Arial"/>
          <w:b/>
          <w:sz w:val="21"/>
        </w:rPr>
      </w:pPr>
      <w:r>
        <w:rPr>
          <w:rFonts w:ascii="Arial" w:cs="Arial"/>
          <w:b/>
          <w:sz w:val="21"/>
        </w:rPr>
        <w:t>(način povečevanja sredstev)</w:t>
      </w:r>
    </w:p>
    <w:p>
      <w:pPr>
        <w:spacing w:before="210" w:after="210"/>
        <w:ind w:left="0" w:right="0"/>
        <w:rPr>
          <w:rFonts w:ascii="Arial" w:cs="Arial"/>
          <w:sz w:val="21"/>
        </w:rPr>
      </w:pPr>
      <w:r>
        <w:rPr>
          <w:rFonts w:ascii="Arial" w:cs="Arial"/>
        </w:rPr>
        <w:t>Ne glede na prvi odstavek spremenjenega 13. člena zakona in prvi odstavek 93. člena zakona se delež BDP, ki je namenjen za financiranje znanstvenoraziskovalne in inovacijske dejavnosti, ob upoštevanju drugega in tretjega odstavka spremenjenega 13. člena zakona povečuje za 0,08 odstotne točke letno, dokler ne doseže 1 % BDP za financiranje znanstvenoraziskovalne dejavnosti in 0,25 % BDP za financiranje inovacijske dejavnosti.</w:t>
      </w:r>
    </w:p>
    <w:p>
      <w:pPr>
        <w:pStyle w:val="center"/>
        <w:spacing w:before="210" w:after="210"/>
        <w:ind w:left="0" w:right="0"/>
        <w:rPr>
          <w:rFonts w:ascii="Arial" w:cs="Arial"/>
          <w:b/>
          <w:sz w:val="21"/>
        </w:rPr>
      </w:pPr>
      <w:r>
        <w:rPr>
          <w:rFonts w:ascii="Arial" w:cs="Arial"/>
          <w:b/>
          <w:sz w:val="21"/>
        </w:rPr>
        <w:t>62. člen</w:t>
      </w:r>
    </w:p>
    <w:p>
      <w:pPr>
        <w:pStyle w:val="center"/>
        <w:spacing w:before="210" w:after="210"/>
        <w:ind w:left="0" w:right="0"/>
        <w:rPr>
          <w:rFonts w:ascii="Arial" w:cs="Arial"/>
          <w:b/>
          <w:sz w:val="21"/>
        </w:rPr>
      </w:pPr>
      <w:r>
        <w:rPr>
          <w:rFonts w:ascii="Arial" w:cs="Arial"/>
          <w:b/>
          <w:sz w:val="21"/>
        </w:rPr>
        <w:t>(način načrtovanja sredstev v letih 2026 in 2027)</w:t>
      </w:r>
    </w:p>
    <w:p>
      <w:pPr>
        <w:spacing w:before="210" w:after="210"/>
        <w:ind w:left="0" w:right="0"/>
        <w:rPr>
          <w:rFonts w:ascii="Arial" w:cs="Arial"/>
          <w:sz w:val="21"/>
        </w:rPr>
      </w:pPr>
      <w:r>
        <w:rPr>
          <w:rFonts w:ascii="Arial" w:cs="Arial"/>
        </w:rPr>
        <w:t>Ne glede na drugi in tretji odstavek spremenjenega 13. člena zakona ter 60. člen tega zakona se v letih 2026 in 2027 sredstva povečanega deleža BDP, ki je namenjen za financiranje znanstvenoraziskovalne in inovacijske dejavnosti in ki se povečuje za 0,08 odstotne točke, načrtujejo v okviru sredstev državnega financiranja znanstvenoraziskovalne dejavnosti in državnega financiranja inovacijske dejavnosti.</w:t>
      </w:r>
    </w:p>
    <w:p/>
    <w:p>
      <w:r>
        <w:br w:type="page"/>
      </w:r>
    </w:p>
    <w:p>
      <w:pPr>
        <w:pStyle w:val="Odebeljeno"/>
        <w:spacing w:after="0" w:line="260" w:lineRule="auto"/>
      </w:pPr>
      <w:r>
        <w:t>V.</w:t>
      </w:r>
      <w:r>
        <w:tab/>
      </w:r>
      <w:r>
        <w:t>PREDLOG ZA OBRAVNAVO PREDLOGA ZAKONA PO NUJNEM ALI SKRAJŠANEM POSTOPKU</w:t>
      </w:r>
    </w:p>
    <w:p>
      <w:pPr>
        <w:spacing w:after="0" w:line="260" w:lineRule="auto"/>
        <w:rPr>
          <w:rFonts w:ascii="Arial" w:hAnsi="Arial" w:cs="Arial"/>
        </w:rPr>
      </w:pPr>
    </w:p>
    <w:p>
      <w:pPr>
        <w:spacing w:after="0" w:line="240" w:lineRule="auto"/>
        <w:jc w:val="both"/>
      </w:pPr>
      <w:r>
        <w:t>Ker je zaradi zaostrenih javnofinančnih razmer treba preprečiti nastanek težko popravljivih posledic za delovanje države, se predlagata obravnava in sprejetje predloga zakona po nujnem postopku v skladu s prvim odstavkom 143. člena Poslovnika državnega zbora (Uradni list RS, št. 92/07 – uradno prečiščeno besedilo, 105/10, 80/13, 38/17, 46/20, 105/21 – odl. US, 111/21, 58/23 in 35/24).</w:t>
      </w:r>
    </w:p>
    <w:p>
      <w:r>
        <w:br w:type="page"/>
      </w:r>
    </w:p>
    <w:p>
      <w:pPr>
        <w:pStyle w:val="Odebeljeno"/>
        <w:spacing w:after="0" w:line="260" w:lineRule="auto"/>
      </w:pPr>
      <w:r>
        <w:t>VI.</w:t>
      </w:r>
      <w:r>
        <w:tab/>
      </w:r>
      <w:r>
        <w:t>PRILOGE</w:t>
      </w:r>
    </w:p>
    <w:p>
      <w:pPr>
        <w:spacing w:after="0" w:line="260" w:lineRule="auto"/>
        <w:rPr>
          <w:rFonts w:ascii="Arial" w:hAnsi="Arial" w:cs="Arial"/>
        </w:rPr>
      </w:pPr>
    </w:p>
    <w:p>
      <w:pPr>
        <w:spacing w:after="0" w:line="260" w:lineRule="auto"/>
      </w:pPr>
      <w:r>
        <w:t>Priloge niso priložene.</w:t>
      </w:r>
    </w:p>
    <w:sectPr>
      <w:footerReference w:type="default" r:id="rId4"/>
      <w:pgMar w:header="708" w:footer="708"/>
      <w:cols w:space="708"/>
    </w:sectPr>
  </w:body>
</w:document>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i/>
        <w:sz w:val="16"/>
      </w:rPr>
      <w:t>Ustvarjeno v MOPED-DOCS, 15. 09. 2026 15:32:26</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Theme="minorHAnsi" w:cstheme="minorBidi"/>
        <w:lang w:val="sl-SI"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E20"/>
    <w:pPr>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DefaultParagraphFont"/>
    <w:uiPriority w:val="99"/>
    <w:unhideWhenUsed/>
    <w:rsid w:val="005C3D8F"/>
    <w:rPr>
      <w:color w:val="0000FF" w:themeColor="hyperlink"/>
      <w:u w:val="single"/>
    </w:rPr>
  </w:style>
  <w:style w:type="paragraph" w:styleId="Header">
    <w:name w:val="header"/>
    <w:basedOn w:val="Normal"/>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DefaultParagraphFont"/>
    <w:link w:val="Header"/>
    <w:uiPriority w:val="99"/>
    <w:rsid w:val="00945425"/>
  </w:style>
  <w:style w:type="paragraph" w:styleId="Footer">
    <w:name w:val="footer"/>
    <w:basedOn w:val="Normal"/>
    <w:link w:val="NogaZnak"/>
    <w:uiPriority w:val="99"/>
    <w:unhideWhenUsed/>
    <w:rsid w:val="00945425"/>
    <w:pPr>
      <w:tabs>
        <w:tab w:val="center" w:pos="4536"/>
        <w:tab w:val="right" w:pos="9072"/>
      </w:tabs>
      <w:spacing w:after="0" w:line="240" w:lineRule="auto"/>
    </w:pPr>
  </w:style>
  <w:style w:type="character" w:customStyle="1" w:styleId="NogaZnak">
    <w:name w:val="Noga Znak"/>
    <w:basedOn w:val="DefaultParagraphFont"/>
    <w:link w:val="Footer"/>
    <w:uiPriority w:val="99"/>
    <w:rsid w:val="00945425"/>
  </w:style>
  <w:style w:type="table" w:styleId="TableGrid">
    <w:name w:val="Table Grid"/>
    <w:basedOn w:val="TableNormal"/>
    <w:uiPriority w:val="39"/>
    <w:rsid w:val="000E33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rajckaNaslovZamik">
    <w:name w:val="SrajckaNaslovZamik"/>
    <w:basedOn w:val="Normal"/>
    <w:qFormat/>
    <w:rsid w:val="000B0CD1"/>
    <w:pPr>
      <w:spacing w:after="0" w:line="240" w:lineRule="auto"/>
    </w:pPr>
    <w:rPr>
      <w:rFonts w:cs="Arial"/>
      <w:b/>
    </w:rPr>
  </w:style>
  <w:style w:type="paragraph" w:customStyle="1" w:styleId="Odebeljeno">
    <w:name w:val="Odebeljeno"/>
    <w:basedOn w:val="Normal"/>
    <w:qFormat/>
    <w:rsid w:val="0029037E"/>
    <w:pPr>
      <w:spacing w:after="0" w:line="240" w:lineRule="auto"/>
    </w:pPr>
    <w:rPr>
      <w:rFonts w:cs="Arial"/>
      <w:b/>
    </w:rPr>
  </w:style>
  <w:style w:type="paragraph" w:customStyle="1" w:styleId="DesnaPoravnava">
    <w:name w:val="DesnaPoravnava"/>
    <w:basedOn w:val="Normal"/>
    <w:qFormat/>
    <w:rsid w:val="007652EC"/>
    <w:pPr>
      <w:jc w:val="right"/>
    </w:pPr>
  </w:style>
  <w:style w:type="paragraph" w:customStyle="1" w:styleId="Podpisnik">
    <w:name w:val="Podpisnik"/>
    <w:basedOn w:val="Normal"/>
    <w:qFormat/>
    <w:rsid w:val="007651EC"/>
    <w:pPr>
      <w:widowControl w:val="0"/>
      <w:spacing w:before="0" w:after="0" w:line="260" w:lineRule="exact"/>
      <w:ind w:left="3969"/>
      <w:jc w:val="center"/>
    </w:pPr>
    <w:rPr>
      <w:b w:val="0"/>
    </w:rPr>
  </w:style>
  <w:style w:type="paragraph" w:customStyle="1" w:styleId="SredinskoOdebeljeno">
    <w:name w:val="SredinskoOdebeljeno"/>
    <w:basedOn w:val="Normal"/>
    <w:qFormat/>
    <w:rsid w:val="007652EC"/>
    <w:pPr>
      <w:spacing w:after="0" w:line="240" w:lineRule="auto"/>
      <w:jc w:val="center"/>
    </w:pPr>
    <w:rPr>
      <w:rFonts w:cs="Arial"/>
      <w:b/>
    </w:rPr>
  </w:style>
  <w:style w:type="paragraph" w:customStyle="1" w:styleId="Sredinsko">
    <w:name w:val="Sredinsko"/>
    <w:basedOn w:val="Normal"/>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TableNormal"/>
    <w:uiPriority w:val="41"/>
    <w:rsid w:val="00185854"/>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TableNormal"/>
    <w:uiPriority w:val="41"/>
    <w:rsid w:val="00185855"/>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14</Pages>
  <Words>4101</Words>
  <Characters>23382</Characters>
  <Application>Microsoft Office Word</Application>
  <DocSecurity>0</DocSecurity>
  <Lines>194</Lines>
  <Paragraphs>54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zorc</cp:lastModifiedBy>
  <cp:revision>3</cp:revision>
  <dcterms:created xsi:type="dcterms:W3CDTF">2019-02-01T07:54:00Z</dcterms:created>
  <dcterms:modified xsi:type="dcterms:W3CDTF">2019-02-01T08:06:00Z</dcterms:modified>
</cp:coreProperties>
</file>