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95B" w:rsidRDefault="004B695B"/>
    <w:p w:rsidR="004B695B" w:rsidRDefault="006D6BD0">
      <w:r>
        <w:t>Občin</w:t>
      </w:r>
      <w:bookmarkStart w:id="0" w:name="_GoBack"/>
      <w:bookmarkEnd w:id="0"/>
      <w:r>
        <w:t>e</w:t>
      </w:r>
      <w:r w:rsidR="0032218F">
        <w:t xml:space="preserve"> po seznamu</w:t>
      </w:r>
    </w:p>
    <w:p w:rsidR="004B695B" w:rsidRDefault="004B695B"/>
    <w:p w:rsidR="004B695B" w:rsidRDefault="004B695B"/>
    <w:p w:rsidR="004B695B" w:rsidRDefault="004B695B"/>
    <w:p w:rsidR="004B695B" w:rsidRDefault="004B695B"/>
    <w:p w:rsidR="004B695B" w:rsidRDefault="004B695B"/>
    <w:p w:rsidR="004B695B" w:rsidRDefault="0032218F">
      <w:r>
        <w:t>Številka: 4110-164/2021/</w:t>
      </w:r>
      <w:r w:rsidR="005F7DEE">
        <w:t>104</w:t>
      </w:r>
    </w:p>
    <w:p w:rsidR="004B695B" w:rsidRDefault="0032218F">
      <w:r>
        <w:t xml:space="preserve">Datum: </w:t>
      </w:r>
      <w:r w:rsidR="005F7DEE">
        <w:t>8.9</w:t>
      </w:r>
      <w:r>
        <w:t>.2021</w:t>
      </w:r>
    </w:p>
    <w:p w:rsidR="004B695B" w:rsidRDefault="004B695B"/>
    <w:p w:rsidR="00DA1C74" w:rsidRDefault="00DA1C74"/>
    <w:p w:rsidR="004B695B" w:rsidRDefault="00DA1C74">
      <w:r w:rsidRPr="00DA1C74">
        <w:t>Republika Slovenija, Ministrstvo za izobraževanje, znanost in šport, na podlagi Sklepa vlade št. 41001-5/2021/2, z dne 8.7.2021</w:t>
      </w:r>
      <w:r>
        <w:t xml:space="preserve"> </w:t>
      </w:r>
      <w:r w:rsidRPr="00DA1C74">
        <w:t>(v nadaljevanju: Sklep vlade), ki je odločila, da se Ministrstvu za izobraževanje, znanost in šport zagotovijo dodatna sredstva za sofinanciranje investicij v vrtcih in osnovnem šolstvu v proračunskem obdobju 2021-2024 v višini 72.500.000 evrov</w:t>
      </w:r>
      <w:r w:rsidR="008C1540">
        <w:t>,</w:t>
      </w:r>
      <w:r w:rsidRPr="00DA1C74">
        <w:t xml:space="preserve"> izdaja</w:t>
      </w:r>
    </w:p>
    <w:p w:rsidR="004B695B" w:rsidRDefault="004B695B"/>
    <w:p w:rsidR="004B695B" w:rsidRDefault="0032218F">
      <w:pPr>
        <w:pStyle w:val="Naslov"/>
      </w:pPr>
      <w:r>
        <w:t>S K L E P  O IZBORU</w:t>
      </w:r>
    </w:p>
    <w:p w:rsidR="004B695B" w:rsidRDefault="004B695B">
      <w:pPr>
        <w:pStyle w:val="Naslov"/>
      </w:pPr>
    </w:p>
    <w:p w:rsidR="004B695B" w:rsidRDefault="0032218F">
      <w:pPr>
        <w:pStyle w:val="Naslov"/>
        <w:rPr>
          <w:i/>
        </w:rPr>
      </w:pPr>
      <w:r>
        <w:rPr>
          <w:i/>
        </w:rPr>
        <w:t>PREDLOGOV DODATNIH PROJEKTOV ZA SOFINANCIRANJE INVESTICIJ V VRTCIH IN OSNOVNEM ŠOLSTVU V REPUBLIKI SLOVENIJI  V PRORAČUNSKEM OBDOBJU 2022 - 2024</w:t>
      </w:r>
    </w:p>
    <w:p w:rsidR="004B695B" w:rsidRDefault="004B695B">
      <w:pPr>
        <w:rPr>
          <w:lang w:eastAsia="en-US"/>
        </w:rPr>
      </w:pPr>
    </w:p>
    <w:p w:rsidR="004B695B" w:rsidRDefault="004B695B">
      <w:pPr>
        <w:rPr>
          <w:lang w:eastAsia="en-US"/>
        </w:rPr>
      </w:pPr>
    </w:p>
    <w:p w:rsidR="004B695B" w:rsidRPr="00EF24C0" w:rsidRDefault="0032218F" w:rsidP="00EF24C0">
      <w:pPr>
        <w:pStyle w:val="TokaSklepa"/>
      </w:pPr>
      <w:r w:rsidRPr="00EF24C0">
        <w:t>Po strokovnem pregledu prejetih prijav in predložene dokumentacije, se skladno</w:t>
      </w:r>
      <w:r w:rsidR="005A7205" w:rsidRPr="00EF24C0">
        <w:t xml:space="preserve"> s</w:t>
      </w:r>
      <w:r w:rsidRPr="00EF24C0">
        <w:t xml:space="preserve"> Sklep</w:t>
      </w:r>
      <w:r w:rsidR="005A7205" w:rsidRPr="00EF24C0">
        <w:t>om</w:t>
      </w:r>
      <w:r w:rsidRPr="00EF24C0">
        <w:t xml:space="preserve"> vlade izberejo naslednji predlogi projektov občin, ustanoviteljic vzgojno-izobraževalnih zavodov, investitoric projektov, ki so se prijavile na Razpis za sofinanciranje investicij v vrtcih in osnovnem šolstvu št. 4110-7/2021 z dne 5. 2. 2021 (v nadaljevanju: razpis) in izpolnjujejo vse pogoje in merila iz razpisa, vendar zaradi omejenih sredstev njihovi projekti na razpisu niso bili izbrani, za sofinanciranje in vključitev v veljavni načrt razvojnih programov državnega proračuna (v nadaljevanju; NRP): </w:t>
      </w:r>
    </w:p>
    <w:p w:rsidR="004B695B" w:rsidRDefault="004B695B"/>
    <w:p w:rsidR="004B695B" w:rsidRDefault="0032218F">
      <w:pPr>
        <w:pStyle w:val="Podnaslov"/>
      </w:pPr>
      <w:r>
        <w:t xml:space="preserve">I. Program </w:t>
      </w:r>
      <w:r>
        <w:rPr>
          <w:b/>
        </w:rPr>
        <w:t xml:space="preserve">»Sofinanciranje investicij v vrtcih« - 42 </w:t>
      </w:r>
      <w:r w:rsidR="00A25BAD">
        <w:rPr>
          <w:b/>
        </w:rPr>
        <w:t xml:space="preserve">dodatno </w:t>
      </w:r>
      <w:r>
        <w:rPr>
          <w:b/>
        </w:rPr>
        <w:t>izbranih predlogov projektov</w:t>
      </w:r>
      <w:r>
        <w:t xml:space="preserve">:  </w:t>
      </w:r>
    </w:p>
    <w:p w:rsidR="004B695B" w:rsidRDefault="004B695B"/>
    <w:tbl>
      <w:tblPr>
        <w:tblW w:w="9356" w:type="dxa"/>
        <w:tblInd w:w="108" w:type="dxa"/>
        <w:tblLayout w:type="fixed"/>
        <w:tblCellMar>
          <w:left w:w="10" w:type="dxa"/>
          <w:right w:w="10" w:type="dxa"/>
        </w:tblCellMar>
        <w:tblLook w:val="0000" w:firstRow="0" w:lastRow="0" w:firstColumn="0" w:lastColumn="0" w:noHBand="0" w:noVBand="0"/>
      </w:tblPr>
      <w:tblGrid>
        <w:gridCol w:w="567"/>
        <w:gridCol w:w="851"/>
        <w:gridCol w:w="1701"/>
        <w:gridCol w:w="4394"/>
        <w:gridCol w:w="1843"/>
      </w:tblGrid>
      <w:tr w:rsidR="004B695B">
        <w:trPr>
          <w:trHeight w:val="67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pPr>
              <w:pStyle w:val="tabela"/>
              <w:ind w:left="-70"/>
              <w:jc w:val="center"/>
              <w:rPr>
                <w:b/>
              </w:rPr>
            </w:pPr>
            <w:proofErr w:type="spellStart"/>
            <w:r>
              <w:rPr>
                <w:b/>
              </w:rPr>
              <w:t>zap</w:t>
            </w:r>
            <w:proofErr w:type="spellEnd"/>
            <w:r>
              <w:rPr>
                <w:b/>
              </w:rPr>
              <w:t>. št.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pPr>
              <w:pStyle w:val="tabela"/>
              <w:jc w:val="center"/>
              <w:rPr>
                <w:b/>
              </w:rPr>
            </w:pPr>
            <w:r>
              <w:rPr>
                <w:b/>
              </w:rPr>
              <w:t>% po 24.a čl. ZFO-1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pPr>
              <w:pStyle w:val="tabela"/>
              <w:ind w:left="53"/>
              <w:jc w:val="center"/>
              <w:rPr>
                <w:b/>
              </w:rPr>
            </w:pPr>
            <w:r>
              <w:rPr>
                <w:b/>
              </w:rPr>
              <w:t>OBČINA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pPr>
              <w:pStyle w:val="tabela"/>
              <w:ind w:left="67"/>
              <w:jc w:val="center"/>
              <w:rPr>
                <w:b/>
              </w:rPr>
            </w:pPr>
            <w:r>
              <w:rPr>
                <w:b/>
              </w:rPr>
              <w:t>NAZIV PROJEKTA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95B" w:rsidRDefault="0032218F">
            <w:pPr>
              <w:pStyle w:val="tabela"/>
              <w:ind w:left="-70" w:right="35"/>
              <w:jc w:val="center"/>
              <w:rPr>
                <w:b/>
              </w:rPr>
            </w:pPr>
            <w:r>
              <w:rPr>
                <w:b/>
              </w:rPr>
              <w:t>znesek sofinanciranja MIZŠ v EUR</w:t>
            </w:r>
          </w:p>
        </w:tc>
      </w:tr>
    </w:tbl>
    <w:p w:rsidR="004B695B" w:rsidRDefault="004B695B">
      <w:pPr>
        <w:rPr>
          <w:vanish/>
        </w:rPr>
      </w:pPr>
    </w:p>
    <w:tbl>
      <w:tblPr>
        <w:tblW w:w="9356" w:type="dxa"/>
        <w:tblInd w:w="70" w:type="dxa"/>
        <w:tblCellMar>
          <w:left w:w="10" w:type="dxa"/>
          <w:right w:w="10" w:type="dxa"/>
        </w:tblCellMar>
        <w:tblLook w:val="0000" w:firstRow="0" w:lastRow="0" w:firstColumn="0" w:lastColumn="0" w:noHBand="0" w:noVBand="0"/>
      </w:tblPr>
      <w:tblGrid>
        <w:gridCol w:w="634"/>
        <w:gridCol w:w="784"/>
        <w:gridCol w:w="1701"/>
        <w:gridCol w:w="4394"/>
        <w:gridCol w:w="1843"/>
      </w:tblGrid>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Apače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Vrtec Stogovci v občini Apače</w:t>
            </w:r>
          </w:p>
        </w:tc>
        <w:tc>
          <w:tcPr>
            <w:tcW w:w="184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674.658,82</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Beltinci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Rekonstrukcija in prizidava Vrtca Beltinci</w:t>
            </w:r>
          </w:p>
        </w:tc>
        <w:tc>
          <w:tcPr>
            <w:tcW w:w="184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225.917,67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Brda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Nova enota Vrtca Dobrovo v občini Brda</w:t>
            </w:r>
          </w:p>
        </w:tc>
        <w:tc>
          <w:tcPr>
            <w:tcW w:w="184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733.242,35</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4</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Brežice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Gradnja vrtca Dobova</w:t>
            </w:r>
          </w:p>
        </w:tc>
        <w:tc>
          <w:tcPr>
            <w:tcW w:w="184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828.968,72</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5</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Črenšovci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Novogradnja vrtca na Srednji Bistrici</w:t>
            </w:r>
          </w:p>
        </w:tc>
        <w:tc>
          <w:tcPr>
            <w:tcW w:w="1843"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6</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Duplek</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Rekonstrukcija in prizidava vrtca Spodnji Duplek</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1.063.479,75</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7</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Gorenja vas-Poljane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Prizidek Vrtca Agata Poljane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760.813,59</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8</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Horjul</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Prizidek k vrtcu Horjul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282.999,91</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9</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Idrija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Izgradnja vrtca v Spodnji Idriji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10</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Ig</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Gradnja prizidka k centralnemu vrtcu Ig</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362.196,64</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11</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Ivančna Gorica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Izgradnja novega vrtca v Šentvidu pri Stični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926.837,50</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12</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Kidričevo</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PE Vrtec Lovrenc na Dravskem polju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508.588,96</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13</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Komen</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Dozidava in rekonstrukcija vrtca Štanjel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729.230,32</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14</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Kranj</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Rekonstrukcija in dozidava OŠ in PŠ Kokrica-vrtec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992.106,38</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15</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Kranjska Gora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Prizidek vrtca v Mojstrani v občini Kranjska Gora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834.179,20</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lastRenderedPageBreak/>
              <w:t>16</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Ljutomer</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Prizidava vrtca Mala Nedelja v občini Ljutomer</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493.830,79</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17</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Logatec</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Novogradnja enote vrtca Kurirček v občini Logatec</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879.714,51</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18</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Log-Dragomer</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Prizidek 2 otroškega vrtca Dragomer</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175.016,66</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19</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Mislinja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Preureditev prostorov za Vrtec Slovenj Gradec</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162.842,19</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20</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Mozirje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Razširitev vrtca Mozirje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761.443,92</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21</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Muta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Šolski okoliš - Vrtec Muta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22</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Nova Gorica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Vrtec Grgar v občini Nova Gorica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468.152,67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23</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Oplotnica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Novogradnja podružnične OŠ in vrtca na Prihovi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24</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Podčetrtek</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Prizidek vrtca k POŠ Pristava pri Mestinju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343.845,02</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25</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Piran</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Vrtec v Luciji v občini Piran</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1.756.549,63</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26</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Podlehnik</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Rekonstrukcija in nadzidava vrtca in OŠ Podlehnik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500.351,98</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27</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Puconci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Izgradnja vrtca Puconci v občini Puconci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28</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Radlje ob Dravi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Prizidek k vrtcu Radlje ob Dravi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511.400,03</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29</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Radovljica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Zagotovitev prostorov za Vrtec Radovljica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974.330,56</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30</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Sveta Ana</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Dozidava vrtca Sveta Ana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195.829,45</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31</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33702">
            <w:pPr>
              <w:ind w:left="4"/>
              <w:jc w:val="left"/>
              <w:rPr>
                <w:rFonts w:ascii="Arial" w:hAnsi="Arial" w:cs="Arial"/>
                <w:sz w:val="16"/>
                <w:szCs w:val="16"/>
              </w:rPr>
            </w:pPr>
            <w:r w:rsidRPr="000E4A17">
              <w:rPr>
                <w:rFonts w:ascii="Arial" w:hAnsi="Arial" w:cs="Arial"/>
                <w:sz w:val="16"/>
                <w:szCs w:val="16"/>
              </w:rPr>
              <w:t>Sveta Trojica v Slovenskih goricah</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Novi skoraj nič energijski vrtec Sveta Trojica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32</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33702">
            <w:pPr>
              <w:ind w:left="4"/>
              <w:jc w:val="left"/>
              <w:rPr>
                <w:rFonts w:ascii="Arial" w:hAnsi="Arial" w:cs="Arial"/>
                <w:sz w:val="16"/>
                <w:szCs w:val="16"/>
              </w:rPr>
            </w:pPr>
            <w:r w:rsidRPr="000E4A17">
              <w:rPr>
                <w:rFonts w:ascii="Arial" w:hAnsi="Arial" w:cs="Arial"/>
                <w:sz w:val="16"/>
                <w:szCs w:val="16"/>
              </w:rPr>
              <w:t>Sveti Jurij ob Ščavnici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Novogradnja vrtca v občini Sveti Jurij ob Ščavnici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33</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33702">
            <w:pPr>
              <w:ind w:left="4"/>
              <w:jc w:val="left"/>
              <w:rPr>
                <w:rFonts w:ascii="Arial" w:hAnsi="Arial" w:cs="Arial"/>
                <w:sz w:val="16"/>
                <w:szCs w:val="16"/>
              </w:rPr>
            </w:pPr>
            <w:r w:rsidRPr="000E4A17">
              <w:rPr>
                <w:rFonts w:ascii="Arial" w:hAnsi="Arial" w:cs="Arial"/>
                <w:sz w:val="16"/>
                <w:szCs w:val="16"/>
              </w:rPr>
              <w:t>Sveti Jurij v Slovenskih goricah</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Dozidava vrtca pri OŠ Jožeta Hudalesa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703.152,18</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34</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Šmartno ob Paki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proofErr w:type="spellStart"/>
            <w:r w:rsidRPr="000E4A17">
              <w:rPr>
                <w:rFonts w:ascii="Arial" w:hAnsi="Arial" w:cs="Arial"/>
                <w:sz w:val="16"/>
                <w:szCs w:val="16"/>
              </w:rPr>
              <w:t>Rekonstrukcija,prizidek</w:t>
            </w:r>
            <w:proofErr w:type="spellEnd"/>
            <w:r w:rsidRPr="000E4A17">
              <w:rPr>
                <w:rFonts w:ascii="Arial" w:hAnsi="Arial" w:cs="Arial"/>
                <w:sz w:val="16"/>
                <w:szCs w:val="16"/>
              </w:rPr>
              <w:t xml:space="preserve"> k vrtcu v Šmartnem ob Paki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794.088,06</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35</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Šmartno pri Litiji</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Izgradnja novega vrtca Šmartno pri Litiji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36</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Turnišče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Rekonstrukcija, dozidava objekta za vrtec Turnišče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214.258,11</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37</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Veržej</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Izgradnja vrtca Veržej</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1.062.845,46</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38</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Videm</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Širitev vrtca Videm pri Ptuju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1.012.032,42</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39</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Vitanje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 xml:space="preserve">Novogradnja Vrtec Vitanje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973.065,60</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40</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Vojnik</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Izgradnja vrtca Frankolovo</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1.172.667,07</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41</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Vransko</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Ureditev dodatnih prostorov v vrtcu Vransko</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57.480,26</w:t>
            </w:r>
          </w:p>
        </w:tc>
      </w:tr>
      <w:tr w:rsidR="000E4A17" w:rsidTr="00033702">
        <w:trPr>
          <w:trHeight w:val="225"/>
        </w:trPr>
        <w:tc>
          <w:tcPr>
            <w:tcW w:w="6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E4A17" w:rsidRDefault="000E4A17" w:rsidP="000E4A17">
            <w:pPr>
              <w:ind w:left="29"/>
              <w:jc w:val="right"/>
              <w:rPr>
                <w:rFonts w:ascii="Arial" w:hAnsi="Arial" w:cs="Arial"/>
                <w:sz w:val="16"/>
                <w:szCs w:val="16"/>
              </w:rPr>
            </w:pPr>
            <w:r>
              <w:rPr>
                <w:rFonts w:ascii="Arial" w:hAnsi="Arial" w:cs="Arial"/>
                <w:sz w:val="16"/>
                <w:szCs w:val="16"/>
              </w:rPr>
              <w:t>42</w:t>
            </w:r>
          </w:p>
        </w:tc>
        <w:tc>
          <w:tcPr>
            <w:tcW w:w="7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0"/>
              <w:jc w:val="center"/>
              <w:rPr>
                <w:rFonts w:ascii="Arial" w:hAnsi="Arial" w:cs="Arial"/>
                <w:sz w:val="16"/>
                <w:szCs w:val="16"/>
              </w:rPr>
            </w:pPr>
            <w:r w:rsidRPr="000E4A17">
              <w:rPr>
                <w:rFonts w:ascii="Arial" w:hAnsi="Arial" w:cs="Arial"/>
                <w:sz w:val="16"/>
                <w:szCs w:val="16"/>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Zreče</w:t>
            </w:r>
          </w:p>
        </w:tc>
        <w:tc>
          <w:tcPr>
            <w:tcW w:w="43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left="4"/>
              <w:rPr>
                <w:rFonts w:ascii="Arial" w:hAnsi="Arial" w:cs="Arial"/>
                <w:sz w:val="16"/>
                <w:szCs w:val="16"/>
              </w:rPr>
            </w:pPr>
            <w:r w:rsidRPr="000E4A17">
              <w:rPr>
                <w:rFonts w:ascii="Arial" w:hAnsi="Arial" w:cs="Arial"/>
                <w:sz w:val="16"/>
                <w:szCs w:val="16"/>
              </w:rPr>
              <w:t>Prizidava in rekonstrukcija Vrtca Zreče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rsidR="000E4A17" w:rsidRPr="000E4A17" w:rsidRDefault="000E4A17" w:rsidP="000E4A17">
            <w:pPr>
              <w:ind w:right="153"/>
              <w:jc w:val="right"/>
              <w:rPr>
                <w:rFonts w:ascii="Arial" w:hAnsi="Arial" w:cs="Arial"/>
                <w:sz w:val="16"/>
                <w:szCs w:val="16"/>
              </w:rPr>
            </w:pPr>
            <w:r w:rsidRPr="000E4A17">
              <w:rPr>
                <w:rFonts w:ascii="Arial" w:hAnsi="Arial" w:cs="Arial"/>
                <w:sz w:val="16"/>
                <w:szCs w:val="16"/>
              </w:rPr>
              <w:t>690.375,39</w:t>
            </w:r>
          </w:p>
        </w:tc>
      </w:tr>
    </w:tbl>
    <w:p w:rsidR="004B695B" w:rsidRDefault="004B695B"/>
    <w:p w:rsidR="004B695B" w:rsidRDefault="0032218F">
      <w:r>
        <w:t xml:space="preserve">Skupna vrednost dodatno izbranih projektov za sofinanciranje investicij v vrtcih je </w:t>
      </w:r>
      <w:r w:rsidR="000E4A17" w:rsidRPr="000E4A17">
        <w:rPr>
          <w:b/>
        </w:rPr>
        <w:t>32.207.828,33</w:t>
      </w:r>
      <w:r w:rsidR="000E4A17">
        <w:rPr>
          <w:b/>
        </w:rPr>
        <w:t xml:space="preserve"> </w:t>
      </w:r>
      <w:r>
        <w:rPr>
          <w:b/>
        </w:rPr>
        <w:t>EUR</w:t>
      </w:r>
      <w:r>
        <w:t>.</w:t>
      </w:r>
    </w:p>
    <w:p w:rsidR="004B695B" w:rsidRDefault="004B695B"/>
    <w:p w:rsidR="004B695B" w:rsidRDefault="0032218F">
      <w:pPr>
        <w:pStyle w:val="Podnaslov"/>
      </w:pPr>
      <w:r>
        <w:t xml:space="preserve">II. Program </w:t>
      </w:r>
      <w:r>
        <w:rPr>
          <w:b/>
        </w:rPr>
        <w:t xml:space="preserve">»Sofinanciranje investicij v osnovnem šolstvu« - 44 </w:t>
      </w:r>
      <w:r w:rsidR="00A25BAD">
        <w:rPr>
          <w:b/>
        </w:rPr>
        <w:t xml:space="preserve">dodatno </w:t>
      </w:r>
      <w:r>
        <w:rPr>
          <w:b/>
        </w:rPr>
        <w:t>izbranih predlogov projektov</w:t>
      </w:r>
      <w:r>
        <w:t>:</w:t>
      </w:r>
    </w:p>
    <w:p w:rsidR="004B695B" w:rsidRDefault="004B695B"/>
    <w:tbl>
      <w:tblPr>
        <w:tblW w:w="9356" w:type="dxa"/>
        <w:tblInd w:w="108" w:type="dxa"/>
        <w:tblLayout w:type="fixed"/>
        <w:tblCellMar>
          <w:left w:w="10" w:type="dxa"/>
          <w:right w:w="10" w:type="dxa"/>
        </w:tblCellMar>
        <w:tblLook w:val="0000" w:firstRow="0" w:lastRow="0" w:firstColumn="0" w:lastColumn="0" w:noHBand="0" w:noVBand="0"/>
      </w:tblPr>
      <w:tblGrid>
        <w:gridCol w:w="625"/>
        <w:gridCol w:w="770"/>
        <w:gridCol w:w="1692"/>
        <w:gridCol w:w="4426"/>
        <w:gridCol w:w="1843"/>
      </w:tblGrid>
      <w:tr w:rsidR="004B695B">
        <w:trPr>
          <w:trHeight w:val="675"/>
        </w:trPr>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pPr>
              <w:pStyle w:val="tabela"/>
              <w:ind w:left="-70"/>
              <w:jc w:val="center"/>
              <w:rPr>
                <w:b/>
              </w:rPr>
            </w:pPr>
            <w:proofErr w:type="spellStart"/>
            <w:r>
              <w:rPr>
                <w:b/>
              </w:rPr>
              <w:t>zap</w:t>
            </w:r>
            <w:proofErr w:type="spellEnd"/>
            <w:r>
              <w:rPr>
                <w:b/>
              </w:rPr>
              <w:t>. št.</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033702" w:rsidP="00033702">
            <w:pPr>
              <w:pStyle w:val="tabela"/>
              <w:jc w:val="center"/>
              <w:rPr>
                <w:b/>
              </w:rPr>
            </w:pPr>
            <w:r>
              <w:rPr>
                <w:b/>
              </w:rPr>
              <w:t xml:space="preserve">% </w:t>
            </w:r>
            <w:r w:rsidR="0032218F">
              <w:rPr>
                <w:b/>
              </w:rPr>
              <w:t>po 24.a čl. ZFO-1</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rsidP="00033702">
            <w:pPr>
              <w:pStyle w:val="tabela"/>
              <w:ind w:left="-54"/>
              <w:jc w:val="center"/>
              <w:rPr>
                <w:b/>
              </w:rPr>
            </w:pPr>
            <w:r>
              <w:rPr>
                <w:b/>
              </w:rPr>
              <w:t>OBČINA</w:t>
            </w:r>
          </w:p>
        </w:tc>
        <w:tc>
          <w:tcPr>
            <w:tcW w:w="4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95B" w:rsidRDefault="0032218F" w:rsidP="00033702">
            <w:pPr>
              <w:pStyle w:val="tabela"/>
              <w:ind w:left="0"/>
              <w:jc w:val="center"/>
              <w:rPr>
                <w:b/>
              </w:rPr>
            </w:pPr>
            <w:r>
              <w:rPr>
                <w:b/>
              </w:rPr>
              <w:t>NAZIV PROJEKTA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95B" w:rsidRDefault="0032218F" w:rsidP="00033702">
            <w:pPr>
              <w:pStyle w:val="tabela"/>
              <w:ind w:left="-70" w:right="154"/>
              <w:jc w:val="center"/>
              <w:rPr>
                <w:b/>
              </w:rPr>
            </w:pPr>
            <w:r>
              <w:rPr>
                <w:b/>
              </w:rPr>
              <w:t>znesek sofinanciranja MIZŠ v EUR</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Benedikt</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Delna preureditev in razširitev OŠ Benedikt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446.965,12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100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Bistrica ob Sotli</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Vrtec in telovadnica z garažo OŠ Bistrica ob Sotli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1.639.407,62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100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Bovec</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športne dvorane v Bovcu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726.555,65</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4</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Braslovče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prizidka k OŠ Braslovče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911.303,81</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5</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Brezovica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Prizidek OŠ Preserje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921.192,67</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6</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Celje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prizidka k OŠ Hudinja v občini Celje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1.007.439,54</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7</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Črna na Koroškem</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Rekonstrukcija OŠ Črna na Koroškem- II.FAZA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901.408,61</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8</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Divača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Osnovna šola Divača - dozidava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1.381.133,74</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9</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60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Domžale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Preureditev jedilnice na OŠ Rodica v Domžalah</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338.162,91</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10</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Dravograd</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Rekonstrukcija OŠ Neznanih talcev - 1. FAZA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117.229,48</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11</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Gornja Radgona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 xml:space="preserve">Izgradnja športne </w:t>
            </w:r>
            <w:proofErr w:type="spellStart"/>
            <w:r w:rsidRPr="00033702">
              <w:rPr>
                <w:rFonts w:ascii="Arial" w:hAnsi="Arial" w:cs="Arial"/>
                <w:sz w:val="16"/>
                <w:szCs w:val="16"/>
              </w:rPr>
              <w:t>dovrane</w:t>
            </w:r>
            <w:proofErr w:type="spellEnd"/>
            <w:r w:rsidRPr="00033702">
              <w:rPr>
                <w:rFonts w:ascii="Arial" w:hAnsi="Arial" w:cs="Arial"/>
                <w:sz w:val="16"/>
                <w:szCs w:val="16"/>
              </w:rPr>
              <w:t xml:space="preserve"> ob OŠ Gornja Radgona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1.192.988,12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12</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Hajdina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Rekonstrukcija podstrešja Osnovne šole Hajdina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288.157,62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13</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Jezersko</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Prenova POŠ in vrtca Palček na Jezerskem</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708.438,38</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14</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Juršinci</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Ureditev učilnic na podstrešju OŠ Juršinci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218.670,79</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15</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Kamnik</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OŠ Frana Albrehta z zunanjo ureditvijo</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2.348.677,50</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16</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100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Komen</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Razširitev kuhinje v OŠ Komen</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308.562,10</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lastRenderedPageBreak/>
              <w:t>17</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Laško</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šolske športne dvorane Rimske Toplice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839.115,22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18</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Lenart</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Dozidava Osnovne šole Lenart</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1.829.473,11</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19</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Lukovica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Razširitev OŠ Brdo v občini Lukovica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769.130,08</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20</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Maribor</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Ureditev telovadnice OŠ F. P. in OŠ  B. K. Maribor</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1.192.843,21</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21</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60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Mengeš</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Prostorska preureditev OŠ Mengeš</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1.296.024,34</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22</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Moravče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Dozidava in rekonstrukcija OŠ Jurija Vege Moravče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2.348.677,50</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23</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Mozirje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Razširitev Osnovne šole Mozirje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928.504,49</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24</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Pivka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dvorane Šmihel v občini Pivka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271.242,04</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25</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Polzela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Prizidek k OŠ Polzela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718.295,63</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26</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Prebold</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Delna rekonstrukcija in dozidava OŠ Prebold</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1.157.517,55</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27</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Ptuj</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Prizidava z rekonstrukcijo OŠ Mladika na Ptuju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801.971,22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28</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Rogaška Slatina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Telovadnica pri POŠ Sv. Florijan v Rogaški Slatini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241.104,03</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29</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100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Rogašovci</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 xml:space="preserve">Rekonstrukcija učnih prostorov OŠ Sveti Jurij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327.108,05</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30</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Slovenj Gradec</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Prizidek in rekonstrukcija OŠ Podgorje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350.979,36</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31</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Slovenj Gradec</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Prizidek in rekonstrukcija Tretje OŠ Slovenj Gradec</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1.000.627,07</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32</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Slovenska Bistrica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Obnova dvorane Bistrica v Slovenski Bistrici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995.474,18</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33</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Slovenske Konjice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Statična sanacija in obnova OŠ Pod goro</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970.229,54</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34</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100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Solčava</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Telovadnica Solčava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336.359,80</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35</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Starše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Nova POŠ Marjeta v občini Starše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1.245.231,22</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36</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Šentjur</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Rekonstrukcija objekta OŠ Slivnica pri Celju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402.873,78</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37</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Šmarješke Toplice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Osnovna šola Šmarjeta - rekonstrukcija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1.259.963,07</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38</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Šoštanj</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Prizidava k OŠ Karla Destovnika-Kajuha</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2.348.677,50</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39</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Štore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Športna dvorana Štore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734.225,81</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40</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90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Tržič</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Izobraževalno in športno središče Križe v Tržiču</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2.348.677,50</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41</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70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Vodice</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Večnamenska športna dvorana Vodice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1.044.563,46</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42</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80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Žalec</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Nadzidava I. Osnovne šole Žalec</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342.110,66</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43</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60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Železniki</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Izgradnja dodatnih prostorov v OŠ Železniki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292.660,63</w:t>
            </w:r>
          </w:p>
        </w:tc>
      </w:tr>
      <w:tr w:rsidR="00033702">
        <w:trPr>
          <w:trHeight w:val="225"/>
        </w:trPr>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Default="00033702" w:rsidP="00033702">
            <w:pPr>
              <w:ind w:left="29"/>
              <w:jc w:val="right"/>
              <w:rPr>
                <w:rFonts w:ascii="Arial" w:hAnsi="Arial" w:cs="Arial"/>
                <w:sz w:val="16"/>
                <w:szCs w:val="16"/>
              </w:rPr>
            </w:pPr>
            <w:r>
              <w:rPr>
                <w:rFonts w:ascii="Arial" w:hAnsi="Arial" w:cs="Arial"/>
                <w:sz w:val="16"/>
                <w:szCs w:val="16"/>
              </w:rPr>
              <w:t>44</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8"/>
              <w:jc w:val="center"/>
              <w:rPr>
                <w:rFonts w:ascii="Arial" w:hAnsi="Arial" w:cs="Arial"/>
                <w:sz w:val="16"/>
                <w:szCs w:val="16"/>
              </w:rPr>
            </w:pPr>
            <w:r w:rsidRPr="00033702">
              <w:rPr>
                <w:rFonts w:ascii="Arial" w:hAnsi="Arial" w:cs="Arial"/>
                <w:sz w:val="16"/>
                <w:szCs w:val="16"/>
              </w:rPr>
              <w:t>60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54"/>
              <w:rPr>
                <w:rFonts w:ascii="Arial" w:hAnsi="Arial" w:cs="Arial"/>
                <w:sz w:val="16"/>
                <w:szCs w:val="16"/>
              </w:rPr>
            </w:pPr>
            <w:r w:rsidRPr="00033702">
              <w:rPr>
                <w:rFonts w:ascii="Arial" w:hAnsi="Arial" w:cs="Arial"/>
                <w:sz w:val="16"/>
                <w:szCs w:val="16"/>
              </w:rPr>
              <w:t>Žiri</w:t>
            </w:r>
          </w:p>
        </w:tc>
        <w:tc>
          <w:tcPr>
            <w:tcW w:w="44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left="0"/>
              <w:rPr>
                <w:rFonts w:ascii="Arial" w:hAnsi="Arial" w:cs="Arial"/>
                <w:sz w:val="16"/>
                <w:szCs w:val="16"/>
              </w:rPr>
            </w:pPr>
            <w:r w:rsidRPr="00033702">
              <w:rPr>
                <w:rFonts w:ascii="Arial" w:hAnsi="Arial" w:cs="Arial"/>
                <w:sz w:val="16"/>
                <w:szCs w:val="16"/>
              </w:rPr>
              <w:t>Ureditev nove kuhinje v OŠ Žiri</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3702" w:rsidRPr="00033702" w:rsidRDefault="00033702" w:rsidP="00033702">
            <w:pPr>
              <w:ind w:right="154"/>
              <w:jc w:val="right"/>
              <w:rPr>
                <w:rFonts w:ascii="Arial" w:hAnsi="Arial" w:cs="Arial"/>
                <w:sz w:val="16"/>
                <w:szCs w:val="16"/>
              </w:rPr>
            </w:pPr>
            <w:r w:rsidRPr="00033702">
              <w:rPr>
                <w:rFonts w:ascii="Arial" w:hAnsi="Arial" w:cs="Arial"/>
                <w:sz w:val="16"/>
                <w:szCs w:val="16"/>
              </w:rPr>
              <w:t>99.739,22</w:t>
            </w:r>
          </w:p>
        </w:tc>
      </w:tr>
    </w:tbl>
    <w:p w:rsidR="004B695B" w:rsidRDefault="004B695B"/>
    <w:p w:rsidR="004B695B" w:rsidRDefault="0032218F">
      <w:r>
        <w:t xml:space="preserve">Skupna vrednost dodatno izbranih projektov za sofinanciranje investicij v osnovnem šolstvu je </w:t>
      </w:r>
      <w:r w:rsidR="00033702" w:rsidRPr="00033702">
        <w:rPr>
          <w:b/>
        </w:rPr>
        <w:t>39.949.692,93</w:t>
      </w:r>
      <w:r w:rsidR="00033702">
        <w:rPr>
          <w:b/>
        </w:rPr>
        <w:t xml:space="preserve"> </w:t>
      </w:r>
      <w:r>
        <w:rPr>
          <w:b/>
        </w:rPr>
        <w:t>EUR</w:t>
      </w:r>
      <w:r>
        <w:t>.</w:t>
      </w:r>
    </w:p>
    <w:p w:rsidR="004B695B" w:rsidRDefault="004B695B"/>
    <w:p w:rsidR="002062A1" w:rsidRPr="00EF24C0" w:rsidRDefault="0032218F" w:rsidP="00EF24C0">
      <w:pPr>
        <w:pStyle w:val="TokaSklepa"/>
      </w:pPr>
      <w:r w:rsidRPr="00EF24C0">
        <w:t>Po strokovnem pregledu prejetih prijav na razpis skladno z besedilom razpisa, zaradi izločitve druge, dodatne vloge občine prijaviteljice, niso izbrani naslednji predlogi</w:t>
      </w:r>
      <w:r w:rsidR="002062A1" w:rsidRPr="00EF24C0">
        <w:t>:</w:t>
      </w:r>
    </w:p>
    <w:p w:rsidR="00DF15F6" w:rsidRDefault="002062A1" w:rsidP="00DF15F6">
      <w:pPr>
        <w:pStyle w:val="TokaSklepa"/>
        <w:numPr>
          <w:ilvl w:val="0"/>
          <w:numId w:val="7"/>
        </w:numPr>
      </w:pPr>
      <w:r>
        <w:t>projektov v vrtce:</w:t>
      </w:r>
      <w:r w:rsidR="00EF24C0">
        <w:t xml:space="preserve"> </w:t>
      </w:r>
    </w:p>
    <w:p w:rsidR="00DF15F6" w:rsidRDefault="002062A1" w:rsidP="00DF15F6">
      <w:pPr>
        <w:pStyle w:val="TokaSklepa"/>
        <w:numPr>
          <w:ilvl w:val="0"/>
          <w:numId w:val="0"/>
        </w:numPr>
        <w:ind w:left="284"/>
      </w:pPr>
      <w:r>
        <w:t>občine Brežice za projekt Izgradnja vrtca v Artičah;</w:t>
      </w:r>
      <w:r w:rsidR="00EF24C0">
        <w:t xml:space="preserve"> </w:t>
      </w:r>
      <w:r>
        <w:t>občine Črnomelj za projekt Izgradnja nove stavbe Vrtca Črnomelj, enota Loka;</w:t>
      </w:r>
      <w:r w:rsidR="00EF24C0">
        <w:t xml:space="preserve"> </w:t>
      </w:r>
      <w:r>
        <w:t xml:space="preserve">občine Gornja Radgona za projekt Prizidek k Osnovni šoli dr. Antona Trstenjaka Negova za potrebe vrtca ter ureditev novih </w:t>
      </w:r>
      <w:r w:rsidRPr="002062A1">
        <w:t>prostorov osnovne šole</w:t>
      </w:r>
      <w:r>
        <w:t>; občine Jesenice za pro</w:t>
      </w:r>
      <w:r w:rsidR="0028366F">
        <w:t xml:space="preserve">jekt Novogradnja Vrtca Jesenice, </w:t>
      </w:r>
      <w:r>
        <w:t>enota Julke Pibernik; občine Laško za projekt dozidava in rekonstrukcija Vrtca Rimske Toplice; občine Ljubljana za projekt Celovita; statična in energetska rekonstrukcija objekta Vrtca Ciciban, enota Ajda; občine Maribor za projekt Prizidava in ad</w:t>
      </w:r>
      <w:r w:rsidR="0028366F">
        <w:t>aptacija Vrtca Pobrežje Maribor,</w:t>
      </w:r>
      <w:r>
        <w:t xml:space="preserve"> enota Brezje; občine Slovenska Bistrica za projekt Vrtec Kebelj; </w:t>
      </w:r>
      <w:r w:rsidRPr="002062A1">
        <w:t xml:space="preserve">občine Šentjur za projekt Dograditev in preureditev prostorov enote vrtca Ponikva; </w:t>
      </w:r>
      <w:r>
        <w:t xml:space="preserve">občine Tržič za projekt izobraževalno in športno središče Križe; </w:t>
      </w:r>
    </w:p>
    <w:p w:rsidR="00DF15F6" w:rsidRDefault="0028366F" w:rsidP="00DF15F6">
      <w:pPr>
        <w:pStyle w:val="TokaSklepa"/>
        <w:numPr>
          <w:ilvl w:val="0"/>
          <w:numId w:val="7"/>
        </w:numPr>
      </w:pPr>
      <w:r>
        <w:t>projektov v osnovno šolstvo:</w:t>
      </w:r>
    </w:p>
    <w:p w:rsidR="004B695B" w:rsidRDefault="0032218F" w:rsidP="00DF15F6">
      <w:pPr>
        <w:pStyle w:val="TokaSklepa"/>
        <w:numPr>
          <w:ilvl w:val="0"/>
          <w:numId w:val="0"/>
        </w:numPr>
        <w:ind w:left="284"/>
      </w:pPr>
      <w:r>
        <w:t xml:space="preserve">občine Ajdovščina za projekt OŠ </w:t>
      </w:r>
      <w:proofErr w:type="spellStart"/>
      <w:r>
        <w:t>Šturje</w:t>
      </w:r>
      <w:proofErr w:type="spellEnd"/>
      <w:r>
        <w:t xml:space="preserve"> - Dozidava II; občine Bohin</w:t>
      </w:r>
      <w:r w:rsidR="002062A1">
        <w:t xml:space="preserve">j za projekt Delna odstranitev, </w:t>
      </w:r>
      <w:r>
        <w:t>rekonstrukcija in dozidava Osnovne šole Srednja vas v Bohinju; občine D</w:t>
      </w:r>
      <w:r w:rsidR="002062A1">
        <w:t>uplek za projekt Rekonstrukcija,</w:t>
      </w:r>
      <w:r>
        <w:t xml:space="preserve"> sprememba namembnosti in prizidava obstoječega </w:t>
      </w:r>
      <w:r w:rsidRPr="002062A1">
        <w:t xml:space="preserve">objekta OŠ Korena - III. faza; občine Hoče-Slivnica za projekt Dozidava in rekonstrukcija OŠ Dušana Flisa Hoče; občine Koper za projekt Dozidava OŠ Dušana Bordona Semedela; občine Kranj za projekt Rekonstrukcija in dozidava objekta OŠ in vrtec France Prešeren - PŠ Kokrica; občine Krško za projekt Novogradnja Osnovne šole Veliki Podlog z vrtcem; občine Litija za projekt Vzgojno izobraževalni objekt Hotič; občine Logatec za projekt Ureditev dodatnih prostorov v OŠ Tabor Logatec; občine </w:t>
      </w:r>
      <w:r w:rsidRPr="002062A1">
        <w:lastRenderedPageBreak/>
        <w:t>Medvode za projekt Osnovna šola Preska – prizidek; občine Miren-Kostanjevica za projekt Izgradnja telovadnice ob OŠ Miren; občine Murska Sobota za projekt Nadzidava glasbene šole Murska Sobota; občine Nova Gorica za projekt rekonstrukcija stare stavbe Glasbene šole Nova Gorica; občine Piran za projekt Prizidek k OŠ Sečovlje; občine Ptuj za projekt Rekonstrukcija ostrešja OŠ Olge Meglič; občine Šmarje pri Jelšah za projekt Telovadnica pri POŠ Zibika; občine Trebnje za projekt Obnova in dozidava OŠ Veliki Gaber z izgradnjo nove telovadnice - 1.</w:t>
      </w:r>
      <w:r>
        <w:t xml:space="preserve"> faza; občine Velenje za projekt Izgradnja t</w:t>
      </w:r>
      <w:r w:rsidR="0028366F">
        <w:t>elovadnice OŠ Gustava Šiliha;</w:t>
      </w:r>
      <w:r>
        <w:t>občine Velike Lašče za projekt Rekonstrukcija in dozidava kuhinje OŠ Primoža Trubarja Velike Lašče.</w:t>
      </w:r>
    </w:p>
    <w:p w:rsidR="004B695B" w:rsidRDefault="004B695B"/>
    <w:p w:rsidR="00EF24C0" w:rsidRDefault="0032218F" w:rsidP="00EF24C0">
      <w:pPr>
        <w:pStyle w:val="TokaSklepa"/>
      </w:pPr>
      <w:r>
        <w:t xml:space="preserve">Po strokovnem pregledu prejetih prijav na razpis in predložene </w:t>
      </w:r>
      <w:r w:rsidR="00A25BAD">
        <w:t xml:space="preserve">projektne in investicijske </w:t>
      </w:r>
      <w:r>
        <w:t>dokumentacije, skladno z besedilom razpisa, zaradi izvajanja del v okviru investicijskega vzdrževanja, oziroma projekta, ki ne zagotavlja manjkajočih površin prostorov</w:t>
      </w:r>
      <w:r w:rsidR="00A25BAD">
        <w:t xml:space="preserve"> ali konstrukcijskih izboljšav</w:t>
      </w:r>
      <w:r>
        <w:t xml:space="preserve">, niso izbrani naslednji predlogi: </w:t>
      </w:r>
    </w:p>
    <w:p w:rsidR="00EE0DDC" w:rsidRDefault="0028366F" w:rsidP="00EE0DDC">
      <w:pPr>
        <w:pStyle w:val="TokaSklepa"/>
        <w:numPr>
          <w:ilvl w:val="0"/>
          <w:numId w:val="6"/>
        </w:numPr>
      </w:pPr>
      <w:r>
        <w:t>projektov v vrtce:</w:t>
      </w:r>
      <w:r w:rsidR="00EF24C0">
        <w:t xml:space="preserve"> </w:t>
      </w:r>
    </w:p>
    <w:p w:rsidR="0028366F" w:rsidRDefault="0028366F" w:rsidP="00EE0DDC">
      <w:pPr>
        <w:pStyle w:val="TokaSklepa"/>
        <w:numPr>
          <w:ilvl w:val="0"/>
          <w:numId w:val="0"/>
        </w:numPr>
        <w:ind w:left="284"/>
      </w:pPr>
      <w:r>
        <w:t>občine Šentilj za projekt igralnice na prostem - nadstrešnica Vrtec Sladki vrh.</w:t>
      </w:r>
    </w:p>
    <w:p w:rsidR="00EE0DDC" w:rsidRDefault="0028366F" w:rsidP="00EE0DDC">
      <w:pPr>
        <w:pStyle w:val="Odstavekseznama"/>
        <w:numPr>
          <w:ilvl w:val="0"/>
          <w:numId w:val="6"/>
        </w:numPr>
      </w:pPr>
      <w:r>
        <w:t>projektov v osnovno šolstvo:</w:t>
      </w:r>
      <w:r w:rsidR="00EF24C0">
        <w:t xml:space="preserve"> </w:t>
      </w:r>
    </w:p>
    <w:p w:rsidR="0028366F" w:rsidRDefault="0032218F" w:rsidP="00EE0DDC">
      <w:r>
        <w:t>občine Dol pri Ljubljani za projekt Rekonstrukcija prostorov knjižnice v učilnice na OŠ Janka Modra; občine Razkrižje za projekt Ureditev športnih prostorov in opreme za potrebe vzgoje in šolstva</w:t>
      </w:r>
      <w:r w:rsidR="008A71D5">
        <w:t>.</w:t>
      </w:r>
      <w:r>
        <w:t xml:space="preserve"> </w:t>
      </w:r>
    </w:p>
    <w:p w:rsidR="004B695B" w:rsidRDefault="004B695B">
      <w:pPr>
        <w:pStyle w:val="Telobesedila2"/>
        <w:rPr>
          <w:b w:val="0"/>
        </w:rPr>
      </w:pPr>
    </w:p>
    <w:p w:rsidR="008A71D5" w:rsidRDefault="0032218F" w:rsidP="00EF24C0">
      <w:pPr>
        <w:pStyle w:val="TokaSklepa"/>
      </w:pPr>
      <w:r>
        <w:t xml:space="preserve">Sredstva predvidena za sofinanciranje </w:t>
      </w:r>
      <w:r w:rsidR="00A25BAD">
        <w:t xml:space="preserve">dodatnih predlogov projektov </w:t>
      </w:r>
      <w:r>
        <w:t xml:space="preserve">so predvidena v letih 2022, 2023 in 2024 v okviru naslednjih evidenčnih projektov in proračunskih postavkah: </w:t>
      </w:r>
    </w:p>
    <w:p w:rsidR="008A71D5" w:rsidRDefault="0032218F" w:rsidP="00EF24C0">
      <w:pPr>
        <w:pStyle w:val="TokaSklepa"/>
        <w:numPr>
          <w:ilvl w:val="0"/>
          <w:numId w:val="4"/>
        </w:numPr>
      </w:pPr>
      <w:r>
        <w:t xml:space="preserve">3330-20-0008 nove investicije v vrtce na proračunski postavki 437810 Sofinanciranje investicij v vrtcih, skrbnici proračunske postavke Janja </w:t>
      </w:r>
      <w:proofErr w:type="spellStart"/>
      <w:r>
        <w:t>Barši</w:t>
      </w:r>
      <w:proofErr w:type="spellEnd"/>
      <w:r>
        <w:t xml:space="preserve">, Sabina Čamernik, </w:t>
      </w:r>
    </w:p>
    <w:p w:rsidR="008A71D5" w:rsidRDefault="0032218F" w:rsidP="00EF24C0">
      <w:pPr>
        <w:pStyle w:val="TokaSklepa"/>
        <w:numPr>
          <w:ilvl w:val="0"/>
          <w:numId w:val="4"/>
        </w:numPr>
      </w:pPr>
      <w:r>
        <w:t>3330-20-0007 nove investicije v OŠ na proračunski postavki 437710 Sofinanciranje investicij v osnovnem šolstvu, skrbnici proračunske postavke</w:t>
      </w:r>
      <w:r w:rsidR="008A71D5">
        <w:t xml:space="preserve"> Janja </w:t>
      </w:r>
      <w:proofErr w:type="spellStart"/>
      <w:r w:rsidR="008A71D5">
        <w:t>Barši</w:t>
      </w:r>
      <w:proofErr w:type="spellEnd"/>
      <w:r w:rsidR="008A71D5">
        <w:t>, Sabina Čamernik.</w:t>
      </w:r>
    </w:p>
    <w:p w:rsidR="004B695B" w:rsidRDefault="004B695B" w:rsidP="00EF24C0">
      <w:pPr>
        <w:pStyle w:val="TokaSklepa"/>
        <w:numPr>
          <w:ilvl w:val="0"/>
          <w:numId w:val="0"/>
        </w:numPr>
        <w:ind w:left="284"/>
      </w:pPr>
    </w:p>
    <w:p w:rsidR="004B695B" w:rsidRDefault="0032218F" w:rsidP="00EF24C0">
      <w:pPr>
        <w:pStyle w:val="TokaSklepa"/>
        <w:numPr>
          <w:ilvl w:val="0"/>
          <w:numId w:val="0"/>
        </w:numPr>
        <w:ind w:left="284"/>
      </w:pPr>
      <w:r>
        <w:t xml:space="preserve">Sredstva so predvidena z </w:t>
      </w:r>
      <w:proofErr w:type="spellStart"/>
      <w:r>
        <w:t>odložnim</w:t>
      </w:r>
      <w:proofErr w:type="spellEnd"/>
      <w:r>
        <w:t xml:space="preserve"> pogojem. Pogoj, da bo sklep stopil v veljavo, </w:t>
      </w:r>
      <w:r w:rsidR="008A71D5">
        <w:t>sta</w:t>
      </w:r>
      <w:r>
        <w:t xml:space="preserve"> sprejet</w:t>
      </w:r>
      <w:r w:rsidR="008A71D5">
        <w:t>a</w:t>
      </w:r>
      <w:r>
        <w:t xml:space="preserve"> in javno objavljen</w:t>
      </w:r>
      <w:r w:rsidR="008A71D5">
        <w:t>a</w:t>
      </w:r>
      <w:r>
        <w:t xml:space="preserve"> </w:t>
      </w:r>
      <w:r w:rsidR="008A71D5">
        <w:t>Sprememba</w:t>
      </w:r>
      <w:r w:rsidR="00A25BAD">
        <w:t xml:space="preserve"> </w:t>
      </w:r>
      <w:r>
        <w:t>Proračun</w:t>
      </w:r>
      <w:r w:rsidR="00A25BAD">
        <w:t>a</w:t>
      </w:r>
      <w:r>
        <w:t xml:space="preserve"> Republike Slovenije za let</w:t>
      </w:r>
      <w:r w:rsidR="00A25BAD">
        <w:t>o</w:t>
      </w:r>
      <w:r>
        <w:t xml:space="preserve"> 2022 in </w:t>
      </w:r>
      <w:r w:rsidR="00A25BAD">
        <w:t>Proračun R</w:t>
      </w:r>
      <w:r w:rsidR="008A71D5">
        <w:t xml:space="preserve">epublike </w:t>
      </w:r>
      <w:r w:rsidR="00A25BAD">
        <w:t>S</w:t>
      </w:r>
      <w:r w:rsidR="008A71D5">
        <w:t>lovenije</w:t>
      </w:r>
      <w:r w:rsidR="00A25BAD">
        <w:t xml:space="preserve"> za leto </w:t>
      </w:r>
      <w:r>
        <w:t>2023, v katerem bodo zagotovljena sredstva za izpolnitev tega sklepa.</w:t>
      </w:r>
    </w:p>
    <w:p w:rsidR="00EF24C0" w:rsidRDefault="00EF24C0" w:rsidP="00EF24C0">
      <w:pPr>
        <w:pStyle w:val="TokaSklepa"/>
        <w:numPr>
          <w:ilvl w:val="0"/>
          <w:numId w:val="0"/>
        </w:numPr>
      </w:pPr>
    </w:p>
    <w:p w:rsidR="00EF24C0" w:rsidRDefault="00EF24C0" w:rsidP="00EF24C0">
      <w:pPr>
        <w:pStyle w:val="TokaSklepa"/>
      </w:pPr>
      <w:r>
        <w:t xml:space="preserve">Na podlagi </w:t>
      </w:r>
      <w:r w:rsidRPr="00C05E55">
        <w:rPr>
          <w:i/>
        </w:rPr>
        <w:t>Sklepa o izboru dodatnih predlogov projektov</w:t>
      </w:r>
      <w:r>
        <w:t xml:space="preserve"> za sofinanciranje investicij v vrtcih in osnovnem šolstvu v Republiki Sloveniji v proračunskem obdobju 2022 – 2024 (v nadaljevanju; Sklep o izboru dodatnih projektov), bo sprejet </w:t>
      </w:r>
      <w:r w:rsidRPr="00C05E55">
        <w:rPr>
          <w:i/>
        </w:rPr>
        <w:t>Program sofinanciranja dodatnih investicij v lokalno javno infrastrukturo</w:t>
      </w:r>
      <w:r>
        <w:t>, ki je podlaga za vključitev projektov v NRP državnega proračuna.</w:t>
      </w:r>
    </w:p>
    <w:p w:rsidR="00EF24C0" w:rsidRDefault="00EF24C0" w:rsidP="00EF24C0">
      <w:pPr>
        <w:pStyle w:val="Brezrazmikov"/>
        <w:tabs>
          <w:tab w:val="clear" w:pos="360"/>
        </w:tabs>
        <w:ind w:firstLine="0"/>
      </w:pPr>
      <w:r>
        <w:t>Vsi dodatno izbrani projekti bodo vključeni v predlog državnega načrta razvojnih programov ob sprejemu Proračuna Republike Slovenije za leto 2022 in Proračuna za leto 2023.</w:t>
      </w:r>
    </w:p>
    <w:p w:rsidR="00EF24C0" w:rsidRDefault="00EF24C0" w:rsidP="00EF24C0">
      <w:pPr>
        <w:pStyle w:val="Brezrazmikov"/>
        <w:tabs>
          <w:tab w:val="clear" w:pos="360"/>
        </w:tabs>
        <w:ind w:firstLine="0"/>
      </w:pPr>
      <w:r>
        <w:t xml:space="preserve">Posamični Sklepi o dodelitvi </w:t>
      </w:r>
      <w:proofErr w:type="spellStart"/>
      <w:r>
        <w:t>sofinancerskih</w:t>
      </w:r>
      <w:proofErr w:type="spellEnd"/>
      <w:r>
        <w:t xml:space="preserve"> sredstev bodo občinam izdani po sprejemu  predloga sprememb Proračuna RS za leto 2022 in Proračuna za leto 2023, torej po 3.1.2022, in po vključitvi projektov v NRP državnega proračuna. </w:t>
      </w:r>
      <w:r w:rsidR="00C05E55">
        <w:t>Posamični s</w:t>
      </w:r>
      <w:r>
        <w:t xml:space="preserve">klepi o dodelitvi </w:t>
      </w:r>
      <w:proofErr w:type="spellStart"/>
      <w:r>
        <w:t>sofinancerskih</w:t>
      </w:r>
      <w:proofErr w:type="spellEnd"/>
      <w:r>
        <w:t xml:space="preserve"> sredstev se občinam lahko izdajo tudi v letu 2021, vendar z </w:t>
      </w:r>
      <w:proofErr w:type="spellStart"/>
      <w:r>
        <w:t>odložnim</w:t>
      </w:r>
      <w:proofErr w:type="spellEnd"/>
      <w:r>
        <w:t xml:space="preserve"> pogojem, na podlagi katerega sklep stopi v veljavo šele po sprejetju proračunov, oziroma po 1.1.2022. </w:t>
      </w:r>
    </w:p>
    <w:p w:rsidR="00EE0DDC" w:rsidRDefault="00EE0DDC" w:rsidP="00EF24C0">
      <w:pPr>
        <w:pStyle w:val="Brezrazmikov"/>
      </w:pPr>
    </w:p>
    <w:p w:rsidR="00EF24C0" w:rsidRDefault="00EF24C0" w:rsidP="00EE0DDC">
      <w:pPr>
        <w:pStyle w:val="TokaSklepa"/>
      </w:pPr>
      <w:r>
        <w:t xml:space="preserve">Zoper ta sklep pritožba ni mogoča, mogoče pa je sprožiti upravni spor v roku 30 dni od vročitve odločbe. Vložena tožba ne ovira izvršitve upravnega akta. </w:t>
      </w:r>
    </w:p>
    <w:p w:rsidR="00EE0DDC" w:rsidRDefault="00EE0DDC" w:rsidP="00EF24C0">
      <w:pPr>
        <w:pStyle w:val="Brezrazmikov"/>
      </w:pPr>
    </w:p>
    <w:p w:rsidR="00033702" w:rsidRDefault="00EF24C0" w:rsidP="00EE0DDC">
      <w:pPr>
        <w:pStyle w:val="TokaSklepa"/>
      </w:pPr>
      <w:r>
        <w:t>Posebni stroški postopka niso nastali.</w:t>
      </w:r>
    </w:p>
    <w:p w:rsidR="004B695B" w:rsidRDefault="00033702" w:rsidP="00033702">
      <w:pPr>
        <w:suppressAutoHyphens w:val="0"/>
        <w:overflowPunct/>
        <w:autoSpaceDE/>
        <w:ind w:left="0"/>
        <w:jc w:val="left"/>
        <w:rPr>
          <w:lang w:eastAsia="en-US"/>
        </w:rPr>
      </w:pPr>
      <w:r>
        <w:br w:type="page"/>
      </w:r>
    </w:p>
    <w:p w:rsidR="004B695B" w:rsidRDefault="0032218F">
      <w:pPr>
        <w:jc w:val="center"/>
        <w:rPr>
          <w:b/>
          <w:lang w:eastAsia="en-US"/>
        </w:rPr>
      </w:pPr>
      <w:r>
        <w:rPr>
          <w:b/>
          <w:lang w:eastAsia="en-US"/>
        </w:rPr>
        <w:lastRenderedPageBreak/>
        <w:t>OBRAZLOŽITEV:</w:t>
      </w:r>
    </w:p>
    <w:p w:rsidR="004B695B" w:rsidRDefault="004B695B"/>
    <w:p w:rsidR="004B695B" w:rsidRDefault="0032218F">
      <w:r>
        <w:t>Vlada republike Slovenije je na podlagi 21. člena Zakona o Vladi Republike Slovenije (Uradni list RS, št. 24/05 – uradno prečiščeno besedilo, 109/08, 38/10 – ZUKN, 8/12, 21/13, 47/13 – ZDU-1G, 65/14 in 55/17) na 85. redni seji dne 8. 7. 2021 pod točko 2A sprejela Sklep št. 41001-5/2021/2 v katerem je odločila, da se Ministrstvu za izobraževanje, znanost in šport zagotovijo dodatna sredstva za sofinanciranje investicij v vrtcih in osnovnem šolstvu v proračunskem obdobju 2021–2024</w:t>
      </w:r>
      <w:r w:rsidR="003C0EAC">
        <w:t xml:space="preserve"> </w:t>
      </w:r>
      <w:r>
        <w:t>v višini 72.500.000 evrov.</w:t>
      </w:r>
    </w:p>
    <w:p w:rsidR="004B695B" w:rsidRDefault="0032218F">
      <w:r>
        <w:t>Sredstva iz prejšnjega odstavka naj Ministrstvo nameni občinam, ustanoviteljicam vzgojno-izobraževalnih zavodov, investitoricam projektov, ki so se prijavile na Razpis za sofinanciranje investicij v vrtcih in osnovnem šolstvu št. 4110-7/2021 z dne 5. 2. 2021 (v nadaljevanju Razpis 2021-2024</w:t>
      </w:r>
      <w:r>
        <w:rPr>
          <w:b/>
        </w:rPr>
        <w:t>)</w:t>
      </w:r>
      <w:r>
        <w:t xml:space="preserve"> in izpolnjujejo vse pogoje in merila iz razpisa, vendar zaradi omejenih sredstev njihovi projekti na razpisu niso bili izbrani.</w:t>
      </w:r>
    </w:p>
    <w:p w:rsidR="004B695B" w:rsidRDefault="004B695B"/>
    <w:p w:rsidR="004B695B" w:rsidRDefault="0032218F">
      <w:pPr>
        <w:rPr>
          <w:b/>
        </w:rPr>
      </w:pPr>
      <w:r>
        <w:rPr>
          <w:b/>
        </w:rPr>
        <w:t>Število prispelih prijav na Razpis 2021-2024</w:t>
      </w:r>
    </w:p>
    <w:p w:rsidR="004B695B" w:rsidRDefault="0032218F">
      <w:r>
        <w:t xml:space="preserve">Na razpis 2021-2024 je prispelo 160 prijav v elektronski obliki, od tega je bilo 67 projektov v vrtce in 93 projektov v osnovno šolstvo. Med prijavami v osnovno šolstvo je bilo prijavljenih 83 investicij v osnovne matične in podružnične šole, 6 investicij v OŠPP in 4 investicije v glasbene šole. </w:t>
      </w:r>
    </w:p>
    <w:p w:rsidR="004B695B" w:rsidRDefault="0032218F">
      <w:r>
        <w:t xml:space="preserve">Med njimi so tudi 3 investicije šolstva narodnosti (2 v osnovno šolo in 1 v vrtec).  </w:t>
      </w:r>
    </w:p>
    <w:p w:rsidR="004B695B" w:rsidRDefault="0032218F">
      <w:r>
        <w:t xml:space="preserve">Prijave je poslalo 126 občin, 34 od teh je prijavilo 2 projekta, vse ostale po enega. </w:t>
      </w:r>
    </w:p>
    <w:p w:rsidR="004B695B" w:rsidRDefault="004B695B"/>
    <w:p w:rsidR="004B695B" w:rsidRDefault="00EE0DDC">
      <w:pPr>
        <w:rPr>
          <w:b/>
        </w:rPr>
      </w:pPr>
      <w:r>
        <w:rPr>
          <w:b/>
        </w:rPr>
        <w:t xml:space="preserve">Seznam </w:t>
      </w:r>
      <w:r w:rsidR="0032218F">
        <w:rPr>
          <w:b/>
        </w:rPr>
        <w:t>občin po abecednem vrstnem redu, ki so prijavile projekte v gradnjo vrtcev (VR) in osnovnega šolstva (OŠ, POŠ, OŠPP, ŠP, GŠ)</w:t>
      </w:r>
      <w:r w:rsidR="003C0EAC">
        <w:rPr>
          <w:b/>
        </w:rPr>
        <w:t xml:space="preserve"> </w:t>
      </w:r>
      <w:r w:rsidR="0032218F">
        <w:rPr>
          <w:b/>
        </w:rPr>
        <w:t>na Razpis 2021-2024</w:t>
      </w:r>
      <w:r w:rsidR="00DF15F6">
        <w:rPr>
          <w:b/>
        </w:rPr>
        <w:t>:</w:t>
      </w:r>
    </w:p>
    <w:tbl>
      <w:tblPr>
        <w:tblW w:w="9124" w:type="dxa"/>
        <w:tblInd w:w="55" w:type="dxa"/>
        <w:tblCellMar>
          <w:left w:w="10" w:type="dxa"/>
          <w:right w:w="10" w:type="dxa"/>
        </w:tblCellMar>
        <w:tblLook w:val="0000" w:firstRow="0" w:lastRow="0" w:firstColumn="0" w:lastColumn="0" w:noHBand="0" w:noVBand="0"/>
      </w:tblPr>
      <w:tblGrid>
        <w:gridCol w:w="842"/>
        <w:gridCol w:w="3100"/>
        <w:gridCol w:w="620"/>
        <w:gridCol w:w="842"/>
        <w:gridCol w:w="3100"/>
        <w:gridCol w:w="620"/>
      </w:tblGrid>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proofErr w:type="spellStart"/>
            <w:r>
              <w:rPr>
                <w:b/>
              </w:rPr>
              <w:t>zap</w:t>
            </w:r>
            <w:proofErr w:type="spellEnd"/>
            <w:r>
              <w:rPr>
                <w:b/>
              </w:rPr>
              <w:t>. št./ prioriteta</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OBČINA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rPr>
                <w:b/>
              </w:rPr>
            </w:pPr>
            <w:r>
              <w:rPr>
                <w:b/>
              </w:rPr>
              <w:t>vrsta vloge</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proofErr w:type="spellStart"/>
            <w:r>
              <w:rPr>
                <w:b/>
              </w:rPr>
              <w:t>zap</w:t>
            </w:r>
            <w:proofErr w:type="spellEnd"/>
            <w:r>
              <w:rPr>
                <w:b/>
              </w:rPr>
              <w:t>. št./ prioriteta</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OBČINA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rPr>
                <w:b/>
              </w:rPr>
            </w:pPr>
            <w:r>
              <w:rPr>
                <w:b/>
              </w:rPr>
              <w:t>vrsta vloge</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Ajdovščina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Moravče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Ajdovščina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62 N</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Moravske Toplice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Apače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63-1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Mozirje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Beltinci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63-2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Mozirje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Benedikt</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64-1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Murska Sobota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GŠ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Bistrica ob Sotli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64-2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Murska Sobota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OŠPP</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Bohinj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Muta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Bohinj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66-1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Nova Gorica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Bovec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66-2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Nova Gorica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GŠ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Braslovče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Novo mesto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Brda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Oplotnica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Brezovica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Ormož</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Brežice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70-1</w:t>
            </w:r>
            <w:r w:rsidR="00EE0DDC">
              <w:rPr>
                <w:b/>
              </w:rPr>
              <w:t xml:space="preserve"> N</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Piran</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EE0DDC">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Brežice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EE0DDC">
            <w:pPr>
              <w:pStyle w:val="tabela"/>
              <w:rPr>
                <w:b/>
              </w:rPr>
            </w:pPr>
            <w:r>
              <w:rPr>
                <w:b/>
              </w:rPr>
              <w:t>70-2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Piran</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EE0DDC">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Cankova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Pivka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Celje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Podčetrtek</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Črenšovci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Podlehnik</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Črna na Koroškem</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Polzela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16-1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Črnomelj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Postojna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16-2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Črnomelj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Prebold</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Divača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Preddvor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lastRenderedPageBreak/>
              <w:t>18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Dol pri Ljubljani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78-1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Ptuj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Dolenjske Toplice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78-2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Ptuj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Domžale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79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Puconci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Dravograd</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Radenci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22-1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Duplek</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Radlje ob Dravi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22-2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Duplek</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Radovljica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Gorenja vas-Poljane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Ravne na Koroškem</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24-1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Gornja Radgona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Razkrižje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24-2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Gornja Radgona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Ribnica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Hajdina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Rogaška Slatina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26-1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Hoče-Slivnica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Rogašovci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26-2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Hoče-Slivnica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Rogatec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Horjul</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89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Sevnica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OŠPP</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Hrpelje-Kozina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Sežana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GŠ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29-1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Idrija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91-1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Slovenj Gradec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29-2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Idrija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91-2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Slovenj Gradec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OŠPP</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Ig</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92-1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Slovenska Bistrica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Ilirska Bistrica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92-2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Slovenska Bistrica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Ivančna Gorica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Slovenske Konjice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33-1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Jesenice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OŠPP</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Solčava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33-2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Jesenice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Starše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Jezersko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Sveta Ana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Juršinci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Sveta Trojica v Slovenskih goricah</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Kamnik</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98-1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Sveti Jurij ob Ščavnici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Kidričevo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98-2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Sveti Jurij ob Ščavnici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Kočevje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99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Sveti Jurij v Slovenskih goricah</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39-1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Komen</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Šentilj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39-2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Komen</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101-1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Šentjur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40-1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Koper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101-2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Šentjur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40-2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Koper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Škofja Loka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OŠPP</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41-1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Kranj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103-1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Šmarje pri Jelšah</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41-2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Kranj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103-2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Šmarje pri Jelšah</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Kranjska Gora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Šmarješke Toplice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43-1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Krško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Šmartno ob Paki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43-2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Krško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Šmartno pri Litiji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44-1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Laško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Šoštanj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44-2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Laško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Štore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Lenart</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109-1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Trebnje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46 N</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Lendava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109-2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Trebnje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47-1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Litija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110-1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Tržič</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47-2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Litija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110-2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Tržič</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48-1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Ljubljana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Turnišče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48-2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Ljubljana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112-1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Velenje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lastRenderedPageBreak/>
              <w:t>49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Ljutomer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112-2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Velenje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OŠPP</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50-1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Logatec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113-1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Velike Lašče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50-2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Logatec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113-2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Velike Lašče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Log-Dragomer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Veržej</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Lukovica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Videm</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Makole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Vipava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54-1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Maribor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Vitanje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54-2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Maribor</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118</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Vodice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55-1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Medvode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119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Vojnik</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55-2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Medvode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Vransko</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Mengeš</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Vrhnika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57</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Metlika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Zagorje ob Savi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GŠ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58-1</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Miren-Kostanjevica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123</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Zreče</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58-2</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Miren-Kostanjevica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124</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Žalec</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59</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Mirna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125</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Železniki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r w:rsidR="004B695B">
        <w:trPr>
          <w:trHeight w:val="288"/>
        </w:trPr>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60</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Mislinja</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VR</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rPr>
                <w:b/>
              </w:rPr>
            </w:pPr>
            <w:r>
              <w:rPr>
                <w:b/>
              </w:rPr>
              <w:t>126</w:t>
            </w:r>
          </w:p>
        </w:tc>
        <w:tc>
          <w:tcPr>
            <w:tcW w:w="31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pPr>
            <w:r>
              <w:t>Žiri</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4B695B" w:rsidRDefault="0032218F">
            <w:pPr>
              <w:pStyle w:val="tabela"/>
              <w:jc w:val="center"/>
            </w:pPr>
            <w:r>
              <w:t>OŠ</w:t>
            </w:r>
          </w:p>
        </w:tc>
      </w:tr>
    </w:tbl>
    <w:p w:rsidR="004B695B" w:rsidRDefault="0032218F">
      <w:r>
        <w:rPr>
          <w:sz w:val="16"/>
          <w:szCs w:val="16"/>
        </w:rPr>
        <w:t>*-1 oziroma *-2 je označena prioriteta v primerih, ko je občina oddala 2 vlogi; *-N vloga v šolstvo narodnosti</w:t>
      </w:r>
    </w:p>
    <w:p w:rsidR="004B695B" w:rsidRDefault="004B695B"/>
    <w:p w:rsidR="004B695B" w:rsidRDefault="0032218F">
      <w:pPr>
        <w:tabs>
          <w:tab w:val="left" w:pos="2446"/>
        </w:tabs>
        <w:rPr>
          <w:b/>
        </w:rPr>
      </w:pPr>
      <w:r>
        <w:rPr>
          <w:b/>
        </w:rPr>
        <w:t>Formalna popolnost vlog na Razpisu 2021-2024</w:t>
      </w:r>
    </w:p>
    <w:p w:rsidR="004B695B" w:rsidRDefault="0032218F">
      <w:pPr>
        <w:tabs>
          <w:tab w:val="left" w:pos="2446"/>
        </w:tabs>
      </w:pPr>
      <w:r>
        <w:t>Na podlagi odpiranja in pregleda prispelih vlog z dne  2.3.2021 ter poziva k dopolnitvi formalno nepopolnih vlog je komisija kot nepopolni izločila 2 vlogi. V nadaljnji obravnavi je bilo zajetih 158 formalno popolnih vlog s strani 126 občin, od tega 66 projektov v vrtce in 92 projektov v osnovno šolstvo.</w:t>
      </w:r>
    </w:p>
    <w:p w:rsidR="004B695B" w:rsidRDefault="004B695B">
      <w:pPr>
        <w:tabs>
          <w:tab w:val="left" w:pos="2446"/>
        </w:tabs>
      </w:pPr>
    </w:p>
    <w:p w:rsidR="004B695B" w:rsidRDefault="0032218F">
      <w:pPr>
        <w:rPr>
          <w:b/>
        </w:rPr>
      </w:pPr>
      <w:r>
        <w:rPr>
          <w:b/>
        </w:rPr>
        <w:t>Sofinanciranje najvišje uvrščenih predlogov projektov na Razpisu 2021-2024</w:t>
      </w:r>
    </w:p>
    <w:p w:rsidR="004B695B" w:rsidRDefault="0032218F">
      <w:r>
        <w:t xml:space="preserve">Na podlagi besedila Razpisa 2021-2024 je strokovna komisija vsebinsko pregledala najvišje uvrščene vloge in pripravila Končni prioritetni vrstni red vlog na podlagi katerega je bilo za sofinanciranje izbranih 13 projektov v vrtce, 25 projektov v osnovno šolstvo in 2 projekta v šolstvo narodnosti, ki so navedeni v </w:t>
      </w:r>
      <w:r w:rsidRPr="006D6BD0">
        <w:rPr>
          <w:i/>
        </w:rPr>
        <w:t>Sklepu o izboru predlogov projektov za sofinanciranje investicij v vrtcih in osnovnem šolstvu v Republiki Sloveniji v proračunskem obdobju 2021 – 2024</w:t>
      </w:r>
      <w:r>
        <w:t xml:space="preserve"> št. 4110-7/2021/11 z dne 30.4.2021.</w:t>
      </w:r>
    </w:p>
    <w:p w:rsidR="004B695B" w:rsidRDefault="004B695B"/>
    <w:p w:rsidR="004B695B" w:rsidRDefault="0032218F">
      <w:pPr>
        <w:rPr>
          <w:b/>
        </w:rPr>
      </w:pPr>
      <w:r>
        <w:rPr>
          <w:b/>
        </w:rPr>
        <w:t>Sofinanciranje dodatno izbranih projektov prijavljenih na Razpis 2021-2024</w:t>
      </w:r>
    </w:p>
    <w:p w:rsidR="004B695B" w:rsidRDefault="003C0EAC">
      <w:r>
        <w:t xml:space="preserve">Predmet tega </w:t>
      </w:r>
      <w:r w:rsidR="00EE0DDC" w:rsidRPr="00EE0DDC">
        <w:t>sklepa</w:t>
      </w:r>
      <w:r>
        <w:t xml:space="preserve"> je izbor projektov </w:t>
      </w:r>
      <w:r w:rsidR="00C25108">
        <w:t>s</w:t>
      </w:r>
      <w:r w:rsidR="0032218F">
        <w:t xml:space="preserve">kladno </w:t>
      </w:r>
      <w:r w:rsidR="00C05E55">
        <w:t xml:space="preserve">s </w:t>
      </w:r>
      <w:r>
        <w:t xml:space="preserve">Sklepom </w:t>
      </w:r>
      <w:r w:rsidR="0032218F">
        <w:t>vlade</w:t>
      </w:r>
      <w:r w:rsidR="00C05E55">
        <w:t>, ki v 2. točki določa, da</w:t>
      </w:r>
      <w:r w:rsidR="0032218F">
        <w:t xml:space="preserve"> se za sofinanciranje izbere projekte tistih občin, ustanoviteljic vzgojno-izobraževalnih zavodov, investitoric projektov, ki so se prijavile na Razpis za sofinanciranje investicij v vrtcih in osnovnem šolstvu št. 4110-7/2021 z dne 5. 2. 2021 in izpolnjujejo vse pogoje in merila iz razpisa, vendar zaradi omejenih sredstev njihovi projekti na razpisu niso bili izbrani, čemur ustreza pod točko 1. tega sklepa navedenih 42 projektov v vrtce in 44 projektov v osnovno šolstvo.</w:t>
      </w:r>
    </w:p>
    <w:p w:rsidR="004B695B" w:rsidRDefault="004B695B"/>
    <w:p w:rsidR="004B695B" w:rsidRDefault="0032218F">
      <w:pPr>
        <w:rPr>
          <w:b/>
        </w:rPr>
      </w:pPr>
      <w:r>
        <w:rPr>
          <w:b/>
        </w:rPr>
        <w:t xml:space="preserve">Obrazložitev 2. točke </w:t>
      </w:r>
      <w:r w:rsidR="00C25108">
        <w:rPr>
          <w:i/>
        </w:rPr>
        <w:t>Sklepa o izboru dodatnih projektov</w:t>
      </w:r>
      <w:r>
        <w:rPr>
          <w:b/>
        </w:rPr>
        <w:t xml:space="preserve">: </w:t>
      </w:r>
    </w:p>
    <w:p w:rsidR="004B695B" w:rsidRDefault="0032218F">
      <w:r>
        <w:t xml:space="preserve">Skladno z 2.točko Sklepa vlade se za sofinanciranje izberejo projekti, ki izpolnjujejo vse pogoje in merila iz Razpisa 2021-2024. Pogoji Razpisa 2021-2024 so navedeni v 8. točki besedila razpisa med katerimi je na 1. mestu Skladnost s predmetom razpisa. Predmet razpisa je pojasnjen v 4. točki besedila razpisa, v kateri je med drugim zapisano: </w:t>
      </w:r>
      <w:r>
        <w:rPr>
          <w:i/>
        </w:rPr>
        <w:t>Občina lahko prijavi največ dva projekta, za sofinanciranje pa bo izbran samo en projekt občine.</w:t>
      </w:r>
      <w:r>
        <w:t xml:space="preserve"> </w:t>
      </w:r>
      <w:r>
        <w:rPr>
          <w:i/>
        </w:rPr>
        <w:t xml:space="preserve">Poleg največ dveh projektov iz svoje občine, lahko posamezne občine prijavijo še dodatni, skupen projekt v vrtec ali osnovno šolstvo, v kolikor sta ustanoviteljici in lastnici najmanj dve ali več občin. Skupni projekt, oziroma skupno </w:t>
      </w:r>
      <w:r>
        <w:rPr>
          <w:i/>
        </w:rPr>
        <w:lastRenderedPageBreak/>
        <w:t xml:space="preserve">investicijo lahko prijavi tista občina soustanoviteljica, v kateri je sedež prijavljenega zavoda. </w:t>
      </w:r>
      <w:r w:rsidR="006D6BD0">
        <w:t xml:space="preserve">V 2. točki Sklepa </w:t>
      </w:r>
      <w:r>
        <w:t>so navedeni drugi, dodatni samostojni projekti občin, ki niso bili izbrani za sofinanciranje.</w:t>
      </w:r>
    </w:p>
    <w:p w:rsidR="004B695B" w:rsidRDefault="004B695B"/>
    <w:p w:rsidR="004B695B" w:rsidRDefault="0032218F">
      <w:pPr>
        <w:rPr>
          <w:b/>
        </w:rPr>
      </w:pPr>
      <w:r>
        <w:rPr>
          <w:b/>
        </w:rPr>
        <w:t xml:space="preserve">Obrazložitev 3. točke </w:t>
      </w:r>
      <w:r w:rsidR="00C25108">
        <w:rPr>
          <w:i/>
        </w:rPr>
        <w:t>Sklepa o izboru dodatnih projektov</w:t>
      </w:r>
      <w:r>
        <w:rPr>
          <w:b/>
        </w:rPr>
        <w:t>:</w:t>
      </w:r>
    </w:p>
    <w:p w:rsidR="004B695B" w:rsidRDefault="0032218F">
      <w:r>
        <w:t xml:space="preserve">Skladno z 2.točko Sklepa vlade se za sofinanciranje izberejo projekti, ki izpolnjujejo vse pogoje in merila iz Razpisa 2021-2024. Pogoji Razpisa 2021-2024 so navedeni v 8. točki besedila razpisa med katerimi je na 1. mestu Skladnost s predmetom razpisa. Predmet razpisa je pojasnjen v 4. točki besedila razpisa, v kateri je med drugim zapisano: </w:t>
      </w:r>
      <w:r>
        <w:rPr>
          <w:i/>
        </w:rPr>
        <w:t>Predmet razpisa je sofinanciranje investicij v rekonstrukcije in/ali novogradnje objektov vrtcev in osnovnega šolstva, z namenom zagotavljanja statične in potresne varnosti objektov in/ali z namenom zagotavljanja manjkajočih površin ali prostorov. Investicije v rekonstrukcijo in investicije v novogradnjo se izvajajo na podlagi pridobljenega gradbenega dovoljenja.</w:t>
      </w:r>
      <w:r>
        <w:t xml:space="preserve"> </w:t>
      </w:r>
      <w:r>
        <w:rPr>
          <w:i/>
        </w:rPr>
        <w:t>Vzdrževanje objekta in samostojne energetske sanacije niso predmet sofinanciranja.</w:t>
      </w:r>
      <w:r>
        <w:t xml:space="preserve"> V 3. točki Sklepa so navedeni projekti občin, ki niso bili izbrani za sofinanciranje, ker se dela izvajajo v okviru investicijskega vzdrževanja in ne rekonstrukcije in/ali novogradnje, oziroma se z deli ne zagotavljajo novi prostori in površine.</w:t>
      </w:r>
    </w:p>
    <w:p w:rsidR="004B695B" w:rsidRDefault="004B695B">
      <w:pPr>
        <w:rPr>
          <w:b/>
        </w:rPr>
      </w:pPr>
    </w:p>
    <w:p w:rsidR="004B695B" w:rsidRDefault="0032218F">
      <w:pPr>
        <w:rPr>
          <w:b/>
        </w:rPr>
      </w:pPr>
      <w:r>
        <w:rPr>
          <w:b/>
        </w:rPr>
        <w:t xml:space="preserve">Obrazložitev 4. in preostalih točk </w:t>
      </w:r>
      <w:r w:rsidR="00C25108">
        <w:rPr>
          <w:i/>
        </w:rPr>
        <w:t>Sklepa o izboru dodatnih projektov</w:t>
      </w:r>
      <w:r>
        <w:rPr>
          <w:b/>
        </w:rPr>
        <w:t>:</w:t>
      </w:r>
    </w:p>
    <w:p w:rsidR="004B695B" w:rsidRDefault="0032218F">
      <w:pPr>
        <w:rPr>
          <w:b/>
        </w:rPr>
      </w:pPr>
      <w:r>
        <w:rPr>
          <w:b/>
        </w:rPr>
        <w:t>Sredstva za sofinanciranje</w:t>
      </w:r>
    </w:p>
    <w:p w:rsidR="00C05E55" w:rsidRDefault="00C05E55" w:rsidP="00C05E55">
      <w:pPr>
        <w:pStyle w:val="TokaSklepa"/>
        <w:numPr>
          <w:ilvl w:val="0"/>
          <w:numId w:val="0"/>
        </w:numPr>
        <w:ind w:left="284"/>
      </w:pPr>
      <w:r>
        <w:t xml:space="preserve">Sredstva so predvidena z </w:t>
      </w:r>
      <w:proofErr w:type="spellStart"/>
      <w:r>
        <w:t>odložnim</w:t>
      </w:r>
      <w:proofErr w:type="spellEnd"/>
      <w:r>
        <w:t xml:space="preserve"> pogojem. Pogoj, da bo sklep stopil v veljavo, sta sprejeta in javno objavljena Sprememba Proračuna Republike Slovenije za leto 2022 in Proračun Republike Slovenije za leto 2023, v katerem bodo zagotovljena sredstva za izpolnitev tega sklepa.</w:t>
      </w:r>
    </w:p>
    <w:p w:rsidR="00C05E55" w:rsidRDefault="00C05E55" w:rsidP="00C05E55">
      <w:pPr>
        <w:pStyle w:val="Brezrazmikov"/>
        <w:tabs>
          <w:tab w:val="clear" w:pos="360"/>
        </w:tabs>
        <w:ind w:firstLine="0"/>
      </w:pPr>
      <w:r>
        <w:t>V kolikor so dodatno izbrani predlogi projektov že uvrščeni v NRP državnega proračuna je mogoče sredstva zagotoviti že v letu 2021, s prerazporeditvijo v finančnem načrtu MIZŠ skladno s proračunskimi možnostmi.</w:t>
      </w:r>
    </w:p>
    <w:p w:rsidR="00C05E55" w:rsidRDefault="00C05E55">
      <w:r w:rsidRPr="00C05E55">
        <w:t>Na podlagi Sklepa o izboru dodatnih predlogov projektov bo sprejet Program sofinanciranja dodatnih investicij v lokalno javno infrastrukturo,. ki je podlaga za vključitev projektov v NRP državnega proračuna Projekti bodo v NRP državnega proračuna vključeni skladno z določili veljavnega Zakona o izvajanju proračunov Republike Slovenije in ostalimi predpisi. Sofinanciranje teh projektov se začne v letu 2022 in naprej.</w:t>
      </w:r>
    </w:p>
    <w:p w:rsidR="004B695B" w:rsidRDefault="004B695B"/>
    <w:p w:rsidR="004B695B" w:rsidRDefault="0032218F">
      <w:r>
        <w:rPr>
          <w:b/>
        </w:rPr>
        <w:t>Znesek sofinanciranja</w:t>
      </w:r>
    </w:p>
    <w:p w:rsidR="004B695B" w:rsidRDefault="0032218F">
      <w:r>
        <w:t xml:space="preserve">Zneski sofinanciranja </w:t>
      </w:r>
      <w:r>
        <w:rPr>
          <w:bCs/>
        </w:rPr>
        <w:t xml:space="preserve">MIZŠ pri izbranih predlogih projektov so določeni v izreku tega </w:t>
      </w:r>
      <w:r w:rsidR="005823C5">
        <w:rPr>
          <w:i/>
        </w:rPr>
        <w:t>Sklepa o izboru dodatnih projektov</w:t>
      </w:r>
      <w:r>
        <w:rPr>
          <w:bCs/>
        </w:rPr>
        <w:t xml:space="preserve"> in predstavljajo osnovo za vključitev v NRP državnega proračuna. Navedeni so v tabelah I. Program »Sofinanciranje investicij v vrtcih« in II. Program »Sofinanciranje investicij v osnovnem šolstvu« v stolpcu</w:t>
      </w:r>
      <w:r>
        <w:t xml:space="preserve"> »znesek sofinanciranja MIZŠ«. </w:t>
      </w:r>
    </w:p>
    <w:p w:rsidR="004B695B" w:rsidRDefault="0032218F">
      <w:r>
        <w:t xml:space="preserve">Zneski so povzeti iz izračuna na prijavnem obrazcu in potrjeni v pregledu predložene projektne dokumentacije. Izračunani </w:t>
      </w:r>
      <w:r w:rsidR="005823C5">
        <w:t xml:space="preserve">so </w:t>
      </w:r>
      <w:r>
        <w:t>bili kot produkt med »velikost</w:t>
      </w:r>
      <w:r w:rsidR="005823C5">
        <w:t>jo</w:t>
      </w:r>
      <w:r w:rsidR="00A00C5C">
        <w:t xml:space="preserve"> </w:t>
      </w:r>
      <w:r>
        <w:t>posega v m</w:t>
      </w:r>
      <w:r>
        <w:rPr>
          <w:vertAlign w:val="superscript"/>
        </w:rPr>
        <w:t>2</w:t>
      </w:r>
      <w:r>
        <w:t>«, »normiran</w:t>
      </w:r>
      <w:r w:rsidR="005823C5">
        <w:t>e</w:t>
      </w:r>
      <w:r>
        <w:t xml:space="preserve"> vrednost</w:t>
      </w:r>
      <w:r w:rsidR="005823C5">
        <w:t>i</w:t>
      </w:r>
      <w:r>
        <w:t xml:space="preserve"> GOI del«, »koeficientom glede na površino predvidene investicije« in »deležem</w:t>
      </w:r>
      <w:r w:rsidR="005823C5">
        <w:t>, ki občini pripada</w:t>
      </w:r>
      <w:r>
        <w:t xml:space="preserve"> po ZFO-1«.</w:t>
      </w:r>
    </w:p>
    <w:p w:rsidR="004B695B" w:rsidRDefault="004B695B"/>
    <w:p w:rsidR="004B695B" w:rsidRDefault="0032218F">
      <w:r>
        <w:t>Pri projektu občine Piran, ki vključuje tudi investicijo v objekt šolstva narodnosti, je znesek sofinanciranja določen skladno s 25. členom Zakona o posebnih pravicah italijanske in madžarske narodne skupnosti na področju vzgoje in izobraževanja (Uradni list RS, št. 35/01, 102/07 – ZOsn-F in 11/18), na podlagi katerega so projekti v šolstva narodnosti upravičeni do sofinanciranja v obsegu celotne investicije razen komunalnega opremljanja zemljišča</w:t>
      </w:r>
      <w:r w:rsidR="005823C5">
        <w:t xml:space="preserve"> in stroškov DDV.</w:t>
      </w:r>
      <w:r>
        <w:t xml:space="preserve"> </w:t>
      </w:r>
    </w:p>
    <w:p w:rsidR="00A00C5C" w:rsidRDefault="00A00C5C">
      <w:r w:rsidRPr="00A00C5C">
        <w:t>Dinamika sofinanciranja bo prilagojena načrtovani dinamiki gradnje vsakega posameznega projekta, skladno s proračunskimi zmogljivostmi. Z vključitvijo v NRP državnega proračuna izbrani predlogi projektov pridobijo status investicije, ki je predvidena za sofinanciranje iz državnega proračuna v obdobju 2022 – 2024.</w:t>
      </w:r>
    </w:p>
    <w:p w:rsidR="00DF15F6" w:rsidRDefault="00DF15F6"/>
    <w:p w:rsidR="004B695B" w:rsidRDefault="00066F10">
      <w:pPr>
        <w:rPr>
          <w:b/>
          <w:i/>
        </w:rPr>
      </w:pPr>
      <w:r>
        <w:rPr>
          <w:b/>
        </w:rPr>
        <w:lastRenderedPageBreak/>
        <w:t xml:space="preserve">Individualni </w:t>
      </w:r>
      <w:r w:rsidR="0032218F" w:rsidRPr="004509E6">
        <w:rPr>
          <w:b/>
        </w:rPr>
        <w:t xml:space="preserve">Sklep o dodelitvi </w:t>
      </w:r>
      <w:proofErr w:type="spellStart"/>
      <w:r w:rsidR="0032218F" w:rsidRPr="004509E6">
        <w:rPr>
          <w:b/>
        </w:rPr>
        <w:t>sofinancerskih</w:t>
      </w:r>
      <w:proofErr w:type="spellEnd"/>
      <w:r w:rsidR="0032218F" w:rsidRPr="004509E6">
        <w:rPr>
          <w:b/>
        </w:rPr>
        <w:t xml:space="preserve"> sredstev MIZŠ</w:t>
      </w:r>
    </w:p>
    <w:p w:rsidR="008E0058" w:rsidRDefault="008E0058" w:rsidP="008E0058">
      <w:pPr>
        <w:pStyle w:val="Brezrazmikov"/>
        <w:tabs>
          <w:tab w:val="clear" w:pos="360"/>
        </w:tabs>
        <w:ind w:firstLine="0"/>
      </w:pPr>
      <w:r>
        <w:t xml:space="preserve">Posamični Sklepi o dodelitvi </w:t>
      </w:r>
      <w:proofErr w:type="spellStart"/>
      <w:r>
        <w:t>sofinancerskih</w:t>
      </w:r>
      <w:proofErr w:type="spellEnd"/>
      <w:r>
        <w:t xml:space="preserve"> sredstev bodo občinam izdani po sprejemu  sprememb</w:t>
      </w:r>
      <w:r w:rsidR="00B271BB">
        <w:t>e</w:t>
      </w:r>
      <w:r>
        <w:t xml:space="preserve"> Proračuna RS za leto 2022 in Proračuna za leto 2023</w:t>
      </w:r>
      <w:r w:rsidR="00B271BB">
        <w:t xml:space="preserve"> in z začetkom izvrševanja spremembe proračuna RS za leto 2022</w:t>
      </w:r>
      <w:r>
        <w:t xml:space="preserve">, torej po </w:t>
      </w:r>
      <w:r w:rsidR="009F1AB7">
        <w:t>1</w:t>
      </w:r>
      <w:r>
        <w:t xml:space="preserve">.1.2022, in po vključitvi projektov v NRP državnega proračuna. Posamični sklepi o dodelitvi </w:t>
      </w:r>
      <w:proofErr w:type="spellStart"/>
      <w:r>
        <w:t>sofinancerskih</w:t>
      </w:r>
      <w:proofErr w:type="spellEnd"/>
      <w:r>
        <w:t xml:space="preserve"> sredstev se občinam lahko izdajo tudi v letu 2021, vendar z </w:t>
      </w:r>
      <w:proofErr w:type="spellStart"/>
      <w:r>
        <w:t>odložnim</w:t>
      </w:r>
      <w:proofErr w:type="spellEnd"/>
      <w:r>
        <w:t xml:space="preserve"> pogojem, na podlagi katerega sklep stopi v veljavo šele po sprejetju proračunov, oziroma po 1.1.2022. </w:t>
      </w:r>
    </w:p>
    <w:p w:rsidR="00F3533C" w:rsidRDefault="00F3533C" w:rsidP="00F3533C">
      <w:pPr>
        <w:pStyle w:val="Brezrazmikov"/>
        <w:tabs>
          <w:tab w:val="clear" w:pos="360"/>
        </w:tabs>
        <w:ind w:firstLine="0"/>
      </w:pPr>
      <w:r>
        <w:t xml:space="preserve">Sklepi bodo vsebovali relevantne podatke o načrtovani investiciji, obsegu </w:t>
      </w:r>
      <w:proofErr w:type="spellStart"/>
      <w:r>
        <w:t>sofinancerskih</w:t>
      </w:r>
      <w:proofErr w:type="spellEnd"/>
      <w:r>
        <w:t xml:space="preserve"> sredstev MIZŠ, kot izhaja iz zadevnega sklepa, ter dinamiko izplačil </w:t>
      </w:r>
      <w:proofErr w:type="spellStart"/>
      <w:r>
        <w:t>sofinancerskih</w:t>
      </w:r>
      <w:proofErr w:type="spellEnd"/>
      <w:r>
        <w:t xml:space="preserve"> sredstev po letih. Znesek sofinanciranja se lahko spremeni v primeru nižje vrednosti izvedenih GOI del razvidne iz končne potrjene situacije izvajalca. Lahko se zmanjša, ne more se pa povečati. </w:t>
      </w:r>
    </w:p>
    <w:p w:rsidR="004B695B" w:rsidRDefault="0032218F">
      <w:r w:rsidRPr="008E0058">
        <w:t>V primerih, ko bodo sklepi izdani v letu 2022 ali v letu 2023, se znesek sofinanciranja MIZŠ ne revalorizira.</w:t>
      </w:r>
      <w:r>
        <w:t xml:space="preserve"> Za vse izbrane projekte po tem razpisu veljajo cene za leto 2021, kot izhaja iz </w:t>
      </w:r>
      <w:r>
        <w:rPr>
          <w:i/>
        </w:rPr>
        <w:t>Sklepa o normiranih okvirih</w:t>
      </w:r>
      <w:r w:rsidR="00066F10">
        <w:rPr>
          <w:i/>
        </w:rPr>
        <w:t xml:space="preserve">, </w:t>
      </w:r>
      <w:r w:rsidR="00066F10" w:rsidRPr="006D6BD0">
        <w:t>zneski se ne revalorizirajo</w:t>
      </w:r>
      <w:r w:rsidR="006D6BD0">
        <w:t>.</w:t>
      </w:r>
    </w:p>
    <w:p w:rsidR="008E0058" w:rsidRDefault="008E0058">
      <w:r w:rsidRPr="008E0058">
        <w:t>Znesek sofinanciranja se lahko spremeni v primeru nižje vrednosti izvedenih GOI del razvidne iz končne potrjene situacije izvajalca. Lahko se zmanjša, ne more se povečati.</w:t>
      </w:r>
    </w:p>
    <w:p w:rsidR="00DF15F6" w:rsidRPr="008E0058" w:rsidRDefault="00DF15F6"/>
    <w:p w:rsidR="004B695B" w:rsidRDefault="0032218F">
      <w:pPr>
        <w:rPr>
          <w:b/>
        </w:rPr>
      </w:pPr>
      <w:r>
        <w:rPr>
          <w:b/>
        </w:rPr>
        <w:t xml:space="preserve">Pogodba o sofinanciranju </w:t>
      </w:r>
    </w:p>
    <w:p w:rsidR="004B695B" w:rsidRDefault="0032218F">
      <w:r>
        <w:t xml:space="preserve">Za izplačilo sredstev sofinanciranja iz državnega proračuna bo MIZŠ z občino sklenilo </w:t>
      </w:r>
      <w:r>
        <w:rPr>
          <w:i/>
        </w:rPr>
        <w:t>Pogodbo o sofinanciranju</w:t>
      </w:r>
      <w:r>
        <w:rPr>
          <w:b/>
        </w:rPr>
        <w:t xml:space="preserve"> </w:t>
      </w:r>
      <w:r>
        <w:t xml:space="preserve">(drugi odstavek 25. člena ZFO-1) na podlagi izdanega </w:t>
      </w:r>
      <w:r w:rsidR="00066F10">
        <w:t xml:space="preserve">individualnega </w:t>
      </w:r>
      <w:r>
        <w:rPr>
          <w:i/>
        </w:rPr>
        <w:t xml:space="preserve">Sklepa o dodelitvi </w:t>
      </w:r>
      <w:proofErr w:type="spellStart"/>
      <w:r>
        <w:rPr>
          <w:i/>
        </w:rPr>
        <w:t>sofinancerskih</w:t>
      </w:r>
      <w:proofErr w:type="spellEnd"/>
      <w:r>
        <w:rPr>
          <w:i/>
        </w:rPr>
        <w:t xml:space="preserve"> sredstev</w:t>
      </w:r>
      <w:r w:rsidR="00066F10">
        <w:rPr>
          <w:i/>
        </w:rPr>
        <w:t xml:space="preserve"> </w:t>
      </w:r>
      <w:r w:rsidR="00066F10" w:rsidRPr="008E0058">
        <w:t>in po uspešno zaključenem postopku izbire izvajalca investicije</w:t>
      </w:r>
      <w:r>
        <w:t xml:space="preserve">. </w:t>
      </w:r>
    </w:p>
    <w:p w:rsidR="004B695B" w:rsidRDefault="004B695B"/>
    <w:p w:rsidR="004B695B" w:rsidRDefault="0032218F">
      <w:pPr>
        <w:pStyle w:val="Telobesedila2"/>
      </w:pPr>
      <w:r>
        <w:t>Pouk o pravnem sredstvu:</w:t>
      </w:r>
    </w:p>
    <w:p w:rsidR="004B695B" w:rsidRDefault="0032218F">
      <w:r>
        <w:t xml:space="preserve">Zoper to odločbo pritožba ni mogoča, mogoče pa je sprožiti upravni spor pred Upravnim sodiščem Republike Slovenije, Fajfarjeva 33, Ljubljana, v roku 30 dni od vročitve odločbe. Tožba z morebitnimi prilogami se vloži neposredno pri pristojnem sodišču v najmanj treh izvodih. Tožbi je potrebno priložiti tudi to odločbo v izvirniku, prepisu ali kopiji. Skladno s prvim odstavkom 32. člena Zakona o upravnem sporu (Uradni list RS, št. 105/06, 107/09 – </w:t>
      </w:r>
      <w:proofErr w:type="spellStart"/>
      <w:r>
        <w:t>odl</w:t>
      </w:r>
      <w:proofErr w:type="spellEnd"/>
      <w:r>
        <w:t xml:space="preserve">. US, 62/10, 98/11 – </w:t>
      </w:r>
      <w:proofErr w:type="spellStart"/>
      <w:r>
        <w:t>odl</w:t>
      </w:r>
      <w:proofErr w:type="spellEnd"/>
      <w:r>
        <w:t xml:space="preserve">. US, 109/12 in 10/17 – ZPP-E)   tožba ne ovira izvršitve upravnega akta. </w:t>
      </w:r>
    </w:p>
    <w:p w:rsidR="004B695B" w:rsidRDefault="004B695B" w:rsidP="00DF15F6"/>
    <w:p w:rsidR="00DF15F6" w:rsidRDefault="00DF15F6" w:rsidP="00DF15F6">
      <w:pPr>
        <w:tabs>
          <w:tab w:val="center" w:pos="6521"/>
        </w:tabs>
        <w:overflowPunct/>
        <w:autoSpaceDE/>
        <w:textAlignment w:val="auto"/>
      </w:pPr>
      <w:r>
        <w:tab/>
        <w:t>prof. dr. Simona KUSTEC</w:t>
      </w:r>
    </w:p>
    <w:p w:rsidR="00DF15F6" w:rsidRDefault="00DF15F6" w:rsidP="00DF15F6">
      <w:pPr>
        <w:tabs>
          <w:tab w:val="center" w:pos="6521"/>
        </w:tabs>
        <w:overflowPunct/>
        <w:autoSpaceDE/>
        <w:textAlignment w:val="auto"/>
      </w:pPr>
      <w:r>
        <w:tab/>
        <w:t>MINISTRICA</w:t>
      </w:r>
    </w:p>
    <w:p w:rsidR="00DF15F6" w:rsidRDefault="00DF15F6" w:rsidP="00DF15F6">
      <w:pPr>
        <w:tabs>
          <w:tab w:val="center" w:pos="6521"/>
        </w:tabs>
        <w:overflowPunct/>
        <w:autoSpaceDE/>
        <w:textAlignment w:val="auto"/>
      </w:pPr>
    </w:p>
    <w:p w:rsidR="00DF15F6" w:rsidRDefault="00DF15F6" w:rsidP="00DF15F6">
      <w:pPr>
        <w:tabs>
          <w:tab w:val="center" w:pos="6521"/>
        </w:tabs>
        <w:overflowPunct/>
        <w:autoSpaceDE/>
        <w:textAlignment w:val="auto"/>
      </w:pPr>
      <w:r>
        <w:tab/>
        <w:t>po pooblastilu št: 1002-13/2021/2 z dne 29.3.2021</w:t>
      </w:r>
    </w:p>
    <w:p w:rsidR="00DF15F6" w:rsidRDefault="00DF15F6" w:rsidP="00DF15F6">
      <w:pPr>
        <w:tabs>
          <w:tab w:val="center" w:pos="6521"/>
        </w:tabs>
        <w:overflowPunct/>
        <w:autoSpaceDE/>
        <w:textAlignment w:val="auto"/>
      </w:pPr>
      <w:r>
        <w:tab/>
        <w:t>Marjan DOLINŠEK</w:t>
      </w:r>
    </w:p>
    <w:p w:rsidR="00066F10" w:rsidRDefault="00DF15F6" w:rsidP="00DF15F6">
      <w:pPr>
        <w:tabs>
          <w:tab w:val="center" w:pos="6521"/>
        </w:tabs>
        <w:overflowPunct/>
        <w:autoSpaceDE/>
        <w:textAlignment w:val="auto"/>
        <w:rPr>
          <w:szCs w:val="20"/>
          <w:lang w:eastAsia="en-US"/>
        </w:rPr>
      </w:pPr>
      <w:r>
        <w:tab/>
        <w:t>DRŽAVNI SEKRETAR</w:t>
      </w:r>
    </w:p>
    <w:p w:rsidR="00DF15F6" w:rsidRDefault="00DF15F6" w:rsidP="00DF15F6">
      <w:pPr>
        <w:tabs>
          <w:tab w:val="center" w:pos="6521"/>
        </w:tabs>
        <w:overflowPunct/>
        <w:autoSpaceDE/>
        <w:textAlignment w:val="auto"/>
        <w:rPr>
          <w:szCs w:val="20"/>
          <w:lang w:eastAsia="en-US"/>
        </w:rPr>
      </w:pPr>
    </w:p>
    <w:p w:rsidR="00DF15F6" w:rsidRDefault="00DF15F6" w:rsidP="00DF15F6">
      <w:pPr>
        <w:tabs>
          <w:tab w:val="center" w:pos="6521"/>
        </w:tabs>
        <w:overflowPunct/>
        <w:autoSpaceDE/>
        <w:textAlignment w:val="auto"/>
        <w:rPr>
          <w:szCs w:val="20"/>
          <w:lang w:eastAsia="en-US"/>
        </w:rPr>
      </w:pPr>
    </w:p>
    <w:p w:rsidR="004B695B" w:rsidRPr="00DF15F6" w:rsidRDefault="004B695B" w:rsidP="00DF15F6">
      <w:pPr>
        <w:rPr>
          <w:sz w:val="18"/>
          <w:szCs w:val="18"/>
        </w:rPr>
      </w:pPr>
    </w:p>
    <w:p w:rsidR="004B695B" w:rsidRDefault="0032218F" w:rsidP="00DF15F6">
      <w:r w:rsidRPr="00DF15F6">
        <w:rPr>
          <w:sz w:val="18"/>
          <w:szCs w:val="18"/>
        </w:rPr>
        <w:t>VROČITI:</w:t>
      </w:r>
      <w:r w:rsidR="00DF15F6" w:rsidRPr="00DF15F6">
        <w:rPr>
          <w:sz w:val="18"/>
          <w:szCs w:val="18"/>
        </w:rPr>
        <w:t xml:space="preserve"> </w:t>
      </w:r>
      <w:r w:rsidRPr="00DF15F6">
        <w:rPr>
          <w:sz w:val="18"/>
          <w:szCs w:val="18"/>
        </w:rPr>
        <w:t>Vsem prijaviteljem, ki so se prijavili na Razpis za sofinanciranje investicij v vrtcih in osnovnem šolstvu št. 4110-7/2021 z dne 5. 2. 2021 in izpolnjujejo vse pogoje in merila iz razpisa, vendar zaradi omejenih sredstev njihovi projekti na razpisu niso bili izbrani za sofinanciranje, na uradne n</w:t>
      </w:r>
      <w:r w:rsidR="00DF15F6">
        <w:rPr>
          <w:sz w:val="18"/>
          <w:szCs w:val="18"/>
        </w:rPr>
        <w:t>aslove - osebna vročitev po ZUP.</w:t>
      </w:r>
    </w:p>
    <w:sectPr w:rsidR="004B695B">
      <w:headerReference w:type="default" r:id="rId8"/>
      <w:footerReference w:type="default" r:id="rId9"/>
      <w:headerReference w:type="first" r:id="rId10"/>
      <w:pgSz w:w="11900" w:h="16840"/>
      <w:pgMar w:top="1134" w:right="1418" w:bottom="1134" w:left="1701" w:header="1531"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1D8" w:rsidRDefault="00D421D8">
      <w:r>
        <w:separator/>
      </w:r>
    </w:p>
  </w:endnote>
  <w:endnote w:type="continuationSeparator" w:id="0">
    <w:p w:rsidR="00D421D8" w:rsidRDefault="00D42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tineau_CE">
    <w:altName w:val="Times New Roman"/>
    <w:charset w:val="EE"/>
    <w:family w:val="roman"/>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1D8" w:rsidRDefault="00D421D8">
    <w:pPr>
      <w:pStyle w:val="Noga"/>
    </w:pPr>
    <w:r>
      <w:tab/>
      <w:t xml:space="preserve">- </w:t>
    </w:r>
    <w:r>
      <w:fldChar w:fldCharType="begin"/>
    </w:r>
    <w:r>
      <w:instrText xml:space="preserve"> PAGE </w:instrText>
    </w:r>
    <w:r>
      <w:fldChar w:fldCharType="separate"/>
    </w:r>
    <w:r w:rsidR="008C1540">
      <w:rPr>
        <w:noProof/>
      </w:rPr>
      <w:t>2</w:t>
    </w:r>
    <w:r>
      <w:fldChar w:fldCharType="end"/>
    </w:r>
    <w:r>
      <w:t xml:space="preserve"> -</w:t>
    </w:r>
  </w:p>
  <w:p w:rsidR="00D421D8" w:rsidRDefault="00D421D8"/>
  <w:p w:rsidR="00D421D8" w:rsidRDefault="00D421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1D8" w:rsidRDefault="00D421D8">
      <w:r>
        <w:rPr>
          <w:color w:val="000000"/>
        </w:rPr>
        <w:separator/>
      </w:r>
    </w:p>
  </w:footnote>
  <w:footnote w:type="continuationSeparator" w:id="0">
    <w:p w:rsidR="00D421D8" w:rsidRDefault="00D42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1D8" w:rsidRDefault="00D421D8">
    <w:pPr>
      <w:pStyle w:val="Glava"/>
    </w:pPr>
  </w:p>
  <w:p w:rsidR="00D421D8" w:rsidRDefault="00D421D8"/>
  <w:p w:rsidR="00D421D8" w:rsidRDefault="00D421D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1D8" w:rsidRDefault="00D421D8">
    <w:pPr>
      <w:overflowPunct/>
      <w:autoSpaceDE/>
      <w:spacing w:line="260" w:lineRule="atLeast"/>
      <w:ind w:left="360"/>
      <w:textAlignment w:val="auto"/>
    </w:pPr>
    <w:r>
      <w:rPr>
        <w:noProof/>
      </w:rPr>
      <w:drawing>
        <wp:anchor distT="0" distB="0" distL="114300" distR="114300" simplePos="0" relativeHeight="251660288" behindDoc="1" locked="0" layoutInCell="1" allowOverlap="1" wp14:anchorId="6CEE6BAB" wp14:editId="11A5737D">
          <wp:simplePos x="0" y="0"/>
          <wp:positionH relativeFrom="column">
            <wp:posOffset>-483873</wp:posOffset>
          </wp:positionH>
          <wp:positionV relativeFrom="paragraph">
            <wp:posOffset>4443</wp:posOffset>
          </wp:positionV>
          <wp:extent cx="2426973" cy="391792"/>
          <wp:effectExtent l="0" t="0" r="0" b="8258"/>
          <wp:wrapNone/>
          <wp:docPr id="1" name="Slika 2" descr="MIZS_slovenšči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426973" cy="391792"/>
                  </a:xfrm>
                  <a:prstGeom prst="rect">
                    <a:avLst/>
                  </a:prstGeom>
                  <a:noFill/>
                  <a:ln>
                    <a:noFill/>
                    <a:prstDash/>
                  </a:ln>
                </pic:spPr>
              </pic:pic>
            </a:graphicData>
          </a:graphic>
        </wp:anchor>
      </w:drawing>
    </w:r>
    <w:r>
      <w:rPr>
        <w:noProof/>
        <w:szCs w:val="20"/>
      </w:rPr>
      <mc:AlternateContent>
        <mc:Choice Requires="wps">
          <w:drawing>
            <wp:anchor distT="0" distB="0" distL="114300" distR="114300" simplePos="0" relativeHeight="251659264" behindDoc="1" locked="0" layoutInCell="1" allowOverlap="1" wp14:anchorId="134C3956" wp14:editId="6E40512F">
              <wp:simplePos x="0" y="0"/>
              <wp:positionH relativeFrom="column">
                <wp:posOffset>-431797</wp:posOffset>
              </wp:positionH>
              <wp:positionV relativeFrom="page">
                <wp:posOffset>3600450</wp:posOffset>
              </wp:positionV>
              <wp:extent cx="252090" cy="0"/>
              <wp:effectExtent l="0" t="0" r="14610" b="19050"/>
              <wp:wrapNone/>
              <wp:docPr id="2" name="Line 1"/>
              <wp:cNvGraphicFramePr/>
              <a:graphic xmlns:a="http://schemas.openxmlformats.org/drawingml/2006/main">
                <a:graphicData uri="http://schemas.microsoft.com/office/word/2010/wordprocessingShape">
                  <wps:wsp>
                    <wps:cNvCnPr/>
                    <wps:spPr>
                      <a:xfrm>
                        <a:off x="0" y="0"/>
                        <a:ext cx="252090" cy="0"/>
                      </a:xfrm>
                      <a:prstGeom prst="straightConnector1">
                        <a:avLst/>
                      </a:prstGeom>
                      <a:noFill/>
                      <a:ln w="6345">
                        <a:solidFill>
                          <a:srgbClr val="428299"/>
                        </a:solidFill>
                        <a:prstDash val="solid"/>
                        <a:round/>
                      </a:ln>
                    </wps:spPr>
                    <wps:bodyPr/>
                  </wps:wsp>
                </a:graphicData>
              </a:graphic>
            </wp:anchor>
          </w:drawing>
        </mc:Choice>
        <mc:Fallback>
          <w:pict>
            <v:shapetype w14:anchorId="18A91CB4" id="_x0000_t32" coordsize="21600,21600" o:spt="32" o:oned="t" path="m,l21600,21600e" filled="f">
              <v:path arrowok="t" fillok="f" o:connecttype="none"/>
              <o:lock v:ext="edit" shapetype="t"/>
            </v:shapetype>
            <v:shape id="Line 1" o:spid="_x0000_s1026" type="#_x0000_t32" style="position:absolute;margin-left:-34pt;margin-top:283.5pt;width:19.85pt;height:0;z-index:-25165721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" strokecolor="#428299" strokeweight=".17625mm">
              <w10:wrap anchory="page"/>
            </v:shape>
          </w:pict>
        </mc:Fallback>
      </mc:AlternateContent>
    </w:r>
  </w:p>
  <w:p w:rsidR="00D421D8" w:rsidRDefault="00D421D8">
    <w:pPr>
      <w:tabs>
        <w:tab w:val="center" w:pos="4320"/>
        <w:tab w:val="right" w:pos="8640"/>
      </w:tabs>
      <w:overflowPunct/>
      <w:autoSpaceDE/>
      <w:spacing w:line="260" w:lineRule="atLeast"/>
      <w:ind w:left="360"/>
      <w:textAlignment w:val="auto"/>
      <w:rPr>
        <w:lang w:eastAsia="en-US"/>
      </w:rPr>
    </w:pPr>
  </w:p>
  <w:p w:rsidR="00D421D8" w:rsidRDefault="00D421D8">
    <w:pPr>
      <w:tabs>
        <w:tab w:val="center" w:pos="4320"/>
        <w:tab w:val="right" w:pos="8640"/>
      </w:tabs>
      <w:overflowPunct/>
      <w:autoSpaceDE/>
      <w:spacing w:line="260" w:lineRule="atLeast"/>
      <w:ind w:left="360"/>
      <w:textAlignment w:val="auto"/>
      <w:rPr>
        <w:lang w:eastAsia="en-US"/>
      </w:rPr>
    </w:pPr>
  </w:p>
  <w:p w:rsidR="00D421D8" w:rsidRDefault="00D421D8">
    <w:pPr>
      <w:tabs>
        <w:tab w:val="center" w:pos="4320"/>
        <w:tab w:val="right" w:pos="8640"/>
      </w:tabs>
      <w:overflowPunct/>
      <w:autoSpaceDE/>
      <w:spacing w:line="260" w:lineRule="atLeast"/>
      <w:ind w:left="0"/>
      <w:textAlignment w:val="auto"/>
      <w:rPr>
        <w:rFonts w:ascii="Arial" w:hAnsi="Arial" w:cs="Arial"/>
        <w:sz w:val="16"/>
        <w:szCs w:val="16"/>
        <w:lang w:eastAsia="en-US"/>
      </w:rPr>
    </w:pPr>
    <w:r>
      <w:rPr>
        <w:rFonts w:ascii="Arial" w:hAnsi="Arial" w:cs="Arial"/>
        <w:sz w:val="16"/>
        <w:szCs w:val="16"/>
        <w:lang w:eastAsia="en-US"/>
      </w:rPr>
      <w:t>Masarykova cesta 16, 1000 Ljubljana</w:t>
    </w:r>
    <w:r>
      <w:rPr>
        <w:rFonts w:ascii="Arial" w:hAnsi="Arial" w:cs="Arial"/>
        <w:sz w:val="16"/>
        <w:szCs w:val="16"/>
        <w:lang w:eastAsia="en-US"/>
      </w:rPr>
      <w:tab/>
      <w:t>T: 01 400 52 00</w:t>
    </w:r>
  </w:p>
  <w:p w:rsidR="00D421D8" w:rsidRDefault="00D421D8">
    <w:pPr>
      <w:tabs>
        <w:tab w:val="center" w:pos="4320"/>
        <w:tab w:val="right" w:pos="8640"/>
      </w:tabs>
      <w:overflowPunct/>
      <w:autoSpaceDE/>
      <w:spacing w:line="260" w:lineRule="atLeast"/>
      <w:ind w:left="360"/>
      <w:textAlignment w:val="auto"/>
      <w:rPr>
        <w:rFonts w:ascii="Arial" w:hAnsi="Arial" w:cs="Arial"/>
        <w:sz w:val="16"/>
        <w:szCs w:val="16"/>
        <w:lang w:eastAsia="en-US"/>
      </w:rPr>
    </w:pPr>
    <w:r>
      <w:rPr>
        <w:rFonts w:ascii="Arial" w:hAnsi="Arial" w:cs="Arial"/>
        <w:sz w:val="16"/>
        <w:szCs w:val="16"/>
        <w:lang w:eastAsia="en-US"/>
      </w:rPr>
      <w:tab/>
      <w:t xml:space="preserve">F: 01 400 53 21 </w:t>
    </w:r>
  </w:p>
  <w:p w:rsidR="00D421D8" w:rsidRDefault="00D421D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EA4"/>
    <w:multiLevelType w:val="hybridMultilevel"/>
    <w:tmpl w:val="4E6618C4"/>
    <w:lvl w:ilvl="0" w:tplc="B2ACDD92">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 w15:restartNumberingAfterBreak="0">
    <w:nsid w:val="0E69154D"/>
    <w:multiLevelType w:val="multilevel"/>
    <w:tmpl w:val="BAD054D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 w15:restartNumberingAfterBreak="0">
    <w:nsid w:val="12D63D37"/>
    <w:multiLevelType w:val="multilevel"/>
    <w:tmpl w:val="4AD64F02"/>
    <w:lvl w:ilvl="0">
      <w:numFmt w:val="bullet"/>
      <w:lvlText w:val="-"/>
      <w:lvlJc w:val="left"/>
      <w:pPr>
        <w:ind w:left="927" w:hanging="360"/>
      </w:pPr>
      <w:rPr>
        <w:rFonts w:ascii="Times New Roman" w:eastAsia="Times New Roman" w:hAnsi="Times New Roman"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 w15:restartNumberingAfterBreak="0">
    <w:nsid w:val="1B8B5231"/>
    <w:multiLevelType w:val="hybridMultilevel"/>
    <w:tmpl w:val="C47C7426"/>
    <w:lvl w:ilvl="0" w:tplc="B2ACDD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41010B"/>
    <w:multiLevelType w:val="hybridMultilevel"/>
    <w:tmpl w:val="6D3E3F68"/>
    <w:lvl w:ilvl="0" w:tplc="B2ACDD92">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 w15:restartNumberingAfterBreak="0">
    <w:nsid w:val="3A2678CC"/>
    <w:multiLevelType w:val="multilevel"/>
    <w:tmpl w:val="EEF4AAE8"/>
    <w:styleLink w:val="LFO2"/>
    <w:lvl w:ilvl="0">
      <w:start w:val="1"/>
      <w:numFmt w:val="decimal"/>
      <w:pStyle w:val="TokaSklepa"/>
      <w:lvlText w:val="%1."/>
      <w:lvlJc w:val="left"/>
      <w:pPr>
        <w:ind w:left="36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DC5E00"/>
    <w:multiLevelType w:val="hybridMultilevel"/>
    <w:tmpl w:val="C38ED41A"/>
    <w:lvl w:ilvl="0" w:tplc="B2ACDD92">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95B"/>
    <w:rsid w:val="00023566"/>
    <w:rsid w:val="00033702"/>
    <w:rsid w:val="00066F10"/>
    <w:rsid w:val="000E4A17"/>
    <w:rsid w:val="001E5674"/>
    <w:rsid w:val="002062A1"/>
    <w:rsid w:val="0028366F"/>
    <w:rsid w:val="0032218F"/>
    <w:rsid w:val="00393F13"/>
    <w:rsid w:val="003C0EAC"/>
    <w:rsid w:val="004509E6"/>
    <w:rsid w:val="00477476"/>
    <w:rsid w:val="00484305"/>
    <w:rsid w:val="004B695B"/>
    <w:rsid w:val="005823C5"/>
    <w:rsid w:val="005A7205"/>
    <w:rsid w:val="005F7DEE"/>
    <w:rsid w:val="0063636E"/>
    <w:rsid w:val="00687101"/>
    <w:rsid w:val="006D6BD0"/>
    <w:rsid w:val="0086682A"/>
    <w:rsid w:val="008A71D5"/>
    <w:rsid w:val="008C1540"/>
    <w:rsid w:val="008E0058"/>
    <w:rsid w:val="00986A6B"/>
    <w:rsid w:val="009F1AB7"/>
    <w:rsid w:val="00A00C5C"/>
    <w:rsid w:val="00A25BAD"/>
    <w:rsid w:val="00AB5131"/>
    <w:rsid w:val="00B136EE"/>
    <w:rsid w:val="00B271BB"/>
    <w:rsid w:val="00B54A4F"/>
    <w:rsid w:val="00C05E55"/>
    <w:rsid w:val="00C25108"/>
    <w:rsid w:val="00D04D22"/>
    <w:rsid w:val="00D421D8"/>
    <w:rsid w:val="00D67555"/>
    <w:rsid w:val="00DA1C74"/>
    <w:rsid w:val="00DF15F6"/>
    <w:rsid w:val="00E30CB3"/>
    <w:rsid w:val="00EE0DDC"/>
    <w:rsid w:val="00EF24C0"/>
    <w:rsid w:val="00F3533C"/>
    <w:rsid w:val="00F825D9"/>
    <w:rsid w:val="00F93D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963E"/>
  <w15:docId w15:val="{EDD5624F-8D43-4396-843A-19D25B37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overflowPunct w:val="0"/>
      <w:autoSpaceDE w:val="0"/>
      <w:ind w:left="284"/>
      <w:jc w:val="both"/>
    </w:pPr>
    <w:rPr>
      <w:sz w:val="22"/>
      <w:szCs w:val="22"/>
    </w:rPr>
  </w:style>
  <w:style w:type="paragraph" w:styleId="Naslov1">
    <w:name w:val="heading 1"/>
    <w:basedOn w:val="Navaden"/>
    <w:next w:val="Navaden"/>
    <w:autoRedefine/>
    <w:pPr>
      <w:keepNext/>
      <w:spacing w:before="240" w:after="60"/>
      <w:outlineLvl w:val="0"/>
    </w:pPr>
    <w:rPr>
      <w:rFonts w:ascii="Arial" w:hAnsi="Arial"/>
      <w:b/>
      <w:kern w:val="3"/>
      <w:sz w:val="28"/>
      <w:szCs w:val="32"/>
    </w:rPr>
  </w:style>
  <w:style w:type="paragraph" w:styleId="Naslov4">
    <w:name w:val="heading 4"/>
    <w:basedOn w:val="Navaden"/>
    <w:next w:val="Navaden"/>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320"/>
        <w:tab w:val="right" w:pos="8640"/>
      </w:tabs>
    </w:pPr>
  </w:style>
  <w:style w:type="paragraph" w:styleId="Noga">
    <w:name w:val="footer"/>
    <w:basedOn w:val="Navaden"/>
    <w:pPr>
      <w:tabs>
        <w:tab w:val="center" w:pos="4320"/>
        <w:tab w:val="right" w:pos="8640"/>
      </w:tabs>
    </w:pPr>
  </w:style>
  <w:style w:type="paragraph" w:styleId="Zgradbadokumenta">
    <w:name w:val="Document Map"/>
    <w:basedOn w:val="Navaden"/>
    <w:rPr>
      <w:rFonts w:ascii="Tahoma" w:hAnsi="Tahoma" w:cs="Tahoma"/>
      <w:sz w:val="16"/>
      <w:szCs w:val="16"/>
    </w:rPr>
  </w:style>
  <w:style w:type="character" w:customStyle="1" w:styleId="ZgradbadokumentaZnak">
    <w:name w:val="Zgradba dokumenta Znak"/>
    <w:rPr>
      <w:rFonts w:ascii="Tahoma" w:hAnsi="Tahoma" w:cs="Tahoma"/>
      <w:sz w:val="16"/>
      <w:szCs w:val="16"/>
      <w:lang w:val="en-US" w:eastAsia="en-US"/>
    </w:rPr>
  </w:style>
  <w:style w:type="paragraph" w:customStyle="1" w:styleId="datumtevilka">
    <w:name w:val="datum številka"/>
    <w:basedOn w:val="Navaden"/>
    <w:pPr>
      <w:tabs>
        <w:tab w:val="left" w:pos="1701"/>
      </w:tabs>
    </w:pPr>
    <w:rPr>
      <w:szCs w:val="20"/>
    </w:rPr>
  </w:style>
  <w:style w:type="paragraph" w:customStyle="1" w:styleId="ZADEVA">
    <w:name w:val="ZADEVA"/>
    <w:basedOn w:val="Navaden"/>
    <w:pPr>
      <w:tabs>
        <w:tab w:val="left" w:pos="1701"/>
      </w:tabs>
      <w:ind w:left="1701" w:hanging="1701"/>
    </w:pPr>
    <w:rPr>
      <w:b/>
      <w:lang w:val="it-IT"/>
    </w:rPr>
  </w:style>
  <w:style w:type="character" w:styleId="Hiperpovezava">
    <w:name w:val="Hyperlink"/>
    <w:rPr>
      <w:color w:val="0000FF"/>
      <w:u w:val="single"/>
    </w:rPr>
  </w:style>
  <w:style w:type="paragraph" w:customStyle="1" w:styleId="podpisi">
    <w:name w:val="podpisi"/>
    <w:basedOn w:val="Navaden"/>
    <w:pPr>
      <w:tabs>
        <w:tab w:val="left" w:pos="3402"/>
      </w:tabs>
    </w:pPr>
    <w:rPr>
      <w:lang w:val="it-IT"/>
    </w:rPr>
  </w:style>
  <w:style w:type="paragraph" w:customStyle="1" w:styleId="doc">
    <w:name w:val="doc"/>
    <w:basedOn w:val="Navaden"/>
    <w:pPr>
      <w:overflowPunct/>
      <w:autoSpaceDE/>
      <w:spacing w:after="76" w:line="300" w:lineRule="atLeast"/>
      <w:textAlignment w:val="auto"/>
    </w:pPr>
    <w:rPr>
      <w:rFonts w:ascii="Arial" w:hAnsi="Arial" w:cs="Arial"/>
    </w:rPr>
  </w:style>
  <w:style w:type="paragraph" w:customStyle="1" w:styleId="clennavtitle">
    <w:name w:val="clen_nav_title"/>
    <w:basedOn w:val="Navaden"/>
    <w:pPr>
      <w:overflowPunct/>
      <w:autoSpaceDE/>
      <w:ind w:left="106" w:right="106"/>
      <w:textAlignment w:val="auto"/>
    </w:pPr>
    <w:rPr>
      <w:b/>
      <w:bCs/>
      <w:sz w:val="24"/>
      <w:szCs w:val="24"/>
    </w:rPr>
  </w:style>
  <w:style w:type="paragraph" w:customStyle="1" w:styleId="clennavbody">
    <w:name w:val="clen_nav_body"/>
    <w:basedOn w:val="Navaden"/>
    <w:pPr>
      <w:overflowPunct/>
      <w:autoSpaceDE/>
      <w:ind w:left="106" w:right="106"/>
      <w:textAlignment w:val="auto"/>
    </w:pPr>
    <w:rPr>
      <w:sz w:val="24"/>
      <w:szCs w:val="24"/>
    </w:rPr>
  </w:style>
  <w:style w:type="character" w:styleId="tevilkastrani">
    <w:name w:val="page number"/>
    <w:basedOn w:val="Privzetapisavaodstavka"/>
  </w:style>
  <w:style w:type="paragraph" w:styleId="Navadensplet">
    <w:name w:val="Normal (Web)"/>
    <w:basedOn w:val="Navaden"/>
    <w:pPr>
      <w:overflowPunct/>
      <w:autoSpaceDE/>
      <w:spacing w:before="100" w:after="100"/>
      <w:textAlignment w:val="auto"/>
    </w:pPr>
    <w:rPr>
      <w:rFonts w:ascii="Arial Unicode MS" w:eastAsia="Arial Unicode MS" w:hAnsi="Arial Unicode MS" w:cs="Arial Unicode MS"/>
      <w:sz w:val="24"/>
      <w:szCs w:val="24"/>
      <w:lang w:val="en-GB"/>
    </w:rPr>
  </w:style>
  <w:style w:type="paragraph" w:customStyle="1" w:styleId="MSSnas">
    <w:name w:val="MSS_nas"/>
    <w:pPr>
      <w:suppressAutoHyphens/>
      <w:spacing w:line="280" w:lineRule="exact"/>
    </w:pPr>
    <w:rPr>
      <w:rFonts w:ascii="Gatineau_CE" w:hAnsi="Gatineau_CE"/>
    </w:rPr>
  </w:style>
  <w:style w:type="paragraph" w:styleId="Telobesedila">
    <w:name w:val="Body Text"/>
    <w:basedOn w:val="Navaden"/>
    <w:pPr>
      <w:overflowPunct/>
      <w:autoSpaceDE/>
      <w:textAlignment w:val="auto"/>
    </w:pPr>
    <w:rPr>
      <w:lang w:eastAsia="en-US"/>
    </w:rPr>
  </w:style>
  <w:style w:type="paragraph" w:styleId="Telobesedila2">
    <w:name w:val="Body Text 2"/>
    <w:basedOn w:val="Navaden"/>
    <w:pPr>
      <w:overflowPunct/>
      <w:autoSpaceDE/>
      <w:textAlignment w:val="auto"/>
    </w:pPr>
    <w:rPr>
      <w:b/>
      <w:lang w:eastAsia="en-US"/>
    </w:rPr>
  </w:style>
  <w:style w:type="paragraph" w:styleId="Naslov">
    <w:name w:val="Title"/>
    <w:basedOn w:val="Navaden"/>
    <w:pPr>
      <w:overflowPunct/>
      <w:autoSpaceDE/>
      <w:jc w:val="center"/>
      <w:textAlignment w:val="auto"/>
    </w:pPr>
    <w:rPr>
      <w:b/>
      <w:lang w:eastAsia="en-US"/>
    </w:rPr>
  </w:style>
  <w:style w:type="paragraph" w:styleId="HTML-oblikovano">
    <w:name w:val="HTML Preformatted"/>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textAlignment w:val="auto"/>
    </w:pPr>
    <w:rPr>
      <w:rFonts w:ascii="Courier New" w:hAnsi="Courier New" w:cs="Courier New"/>
      <w:color w:val="000000"/>
      <w:sz w:val="18"/>
      <w:szCs w:val="18"/>
    </w:rPr>
  </w:style>
  <w:style w:type="paragraph" w:styleId="Sprotnaopomba-besedilo">
    <w:name w:val="footnote text"/>
    <w:basedOn w:val="Navaden"/>
    <w:pPr>
      <w:overflowPunct/>
      <w:autoSpaceDE/>
      <w:textAlignment w:val="auto"/>
    </w:pPr>
    <w:rPr>
      <w:lang w:val="en-AU"/>
    </w:rPr>
  </w:style>
  <w:style w:type="character" w:styleId="Sprotnaopomba-sklic">
    <w:name w:val="footnote reference"/>
    <w:rPr>
      <w:position w:val="0"/>
      <w:vertAlign w:val="superscript"/>
    </w:rPr>
  </w:style>
  <w:style w:type="character" w:styleId="Pripombasklic">
    <w:name w:val="annotation reference"/>
    <w:rPr>
      <w:sz w:val="16"/>
      <w:szCs w:val="16"/>
    </w:rPr>
  </w:style>
  <w:style w:type="paragraph" w:styleId="Pripombabesedilo">
    <w:name w:val="annotation text"/>
    <w:basedOn w:val="Navaden"/>
  </w:style>
  <w:style w:type="paragraph" w:styleId="Zadevapripombe">
    <w:name w:val="annotation subject"/>
    <w:basedOn w:val="Pripombabesedilo"/>
    <w:next w:val="Pripombabesedilo"/>
    <w:rPr>
      <w:b/>
      <w:bCs/>
    </w:rPr>
  </w:style>
  <w:style w:type="paragraph" w:styleId="Besedilooblaka">
    <w:name w:val="Balloon Text"/>
    <w:basedOn w:val="Navaden"/>
    <w:rPr>
      <w:rFonts w:ascii="Tahoma" w:hAnsi="Tahoma" w:cs="Tahoma"/>
      <w:sz w:val="16"/>
      <w:szCs w:val="16"/>
    </w:rPr>
  </w:style>
  <w:style w:type="paragraph" w:customStyle="1" w:styleId="Default">
    <w:name w:val="Default"/>
    <w:pPr>
      <w:widowControl w:val="0"/>
      <w:suppressAutoHyphens/>
      <w:autoSpaceDE w:val="0"/>
    </w:pPr>
    <w:rPr>
      <w:color w:val="000000"/>
      <w:sz w:val="24"/>
      <w:szCs w:val="24"/>
    </w:rPr>
  </w:style>
  <w:style w:type="paragraph" w:styleId="Brezrazmikov">
    <w:name w:val="No Spacing"/>
    <w:basedOn w:val="Navaden"/>
    <w:pPr>
      <w:tabs>
        <w:tab w:val="left" w:pos="360"/>
      </w:tabs>
      <w:overflowPunct/>
      <w:autoSpaceDE/>
      <w:ind w:hanging="284"/>
      <w:textAlignment w:val="auto"/>
    </w:pPr>
    <w:rPr>
      <w:bCs/>
    </w:rPr>
  </w:style>
  <w:style w:type="paragraph" w:customStyle="1" w:styleId="tabela">
    <w:name w:val="tabela"/>
    <w:basedOn w:val="Navaden"/>
    <w:pPr>
      <w:overflowPunct/>
      <w:autoSpaceDE/>
      <w:ind w:left="8"/>
      <w:jc w:val="left"/>
      <w:textAlignment w:val="auto"/>
    </w:pPr>
    <w:rPr>
      <w:rFonts w:ascii="Arial" w:hAnsi="Arial" w:cs="Arial"/>
      <w:sz w:val="16"/>
      <w:szCs w:val="18"/>
    </w:rPr>
  </w:style>
  <w:style w:type="paragraph" w:customStyle="1" w:styleId="TokaSklepa">
    <w:name w:val="Točka Sklepa"/>
    <w:basedOn w:val="Brezrazmikov"/>
    <w:rsid w:val="00EF24C0"/>
    <w:pPr>
      <w:numPr>
        <w:numId w:val="1"/>
      </w:numPr>
      <w:tabs>
        <w:tab w:val="clear" w:pos="360"/>
      </w:tabs>
      <w:ind w:left="284" w:hanging="284"/>
    </w:pPr>
  </w:style>
  <w:style w:type="character" w:customStyle="1" w:styleId="tabelaZnak">
    <w:name w:val="tabela Znak"/>
    <w:rPr>
      <w:rFonts w:ascii="Arial" w:hAnsi="Arial" w:cs="Arial"/>
      <w:sz w:val="16"/>
      <w:szCs w:val="18"/>
    </w:rPr>
  </w:style>
  <w:style w:type="paragraph" w:styleId="Podnaslov">
    <w:name w:val="Subtitle"/>
    <w:basedOn w:val="Navaden"/>
    <w:next w:val="Navaden"/>
    <w:rPr>
      <w:u w:val="single"/>
    </w:rPr>
  </w:style>
  <w:style w:type="character" w:customStyle="1" w:styleId="BrezrazmikovZnak">
    <w:name w:val="Brez razmikov Znak"/>
    <w:rPr>
      <w:bCs/>
      <w:sz w:val="22"/>
      <w:szCs w:val="22"/>
    </w:rPr>
  </w:style>
  <w:style w:type="character" w:customStyle="1" w:styleId="TokaSklepaZnak">
    <w:name w:val="Točka Sklepa Znak"/>
    <w:basedOn w:val="BrezrazmikovZnak"/>
    <w:rPr>
      <w:bCs/>
      <w:sz w:val="22"/>
      <w:szCs w:val="22"/>
    </w:rPr>
  </w:style>
  <w:style w:type="character" w:customStyle="1" w:styleId="PodnaslovZnak">
    <w:name w:val="Podnaslov Znak"/>
    <w:rPr>
      <w:sz w:val="22"/>
      <w:szCs w:val="22"/>
      <w:u w:val="single"/>
    </w:rPr>
  </w:style>
  <w:style w:type="paragraph" w:styleId="Odstavekseznama">
    <w:name w:val="List Paragraph"/>
    <w:basedOn w:val="Navaden"/>
    <w:pPr>
      <w:ind w:left="708"/>
    </w:pPr>
  </w:style>
  <w:style w:type="paragraph" w:styleId="Revizija">
    <w:name w:val="Revision"/>
    <w:pPr>
      <w:suppressAutoHyphens/>
    </w:pPr>
    <w:rPr>
      <w:sz w:val="22"/>
      <w:szCs w:val="22"/>
    </w:rPr>
  </w:style>
  <w:style w:type="numbering" w:customStyle="1" w:styleId="LFO2">
    <w:name w:val="LFO2"/>
    <w:basedOn w:val="Brezseznam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24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camernik-lokalno\OSNOVNE%20&#352;OLE%202021%20-%20RAZPIS\Mini_&#353;ols_&#353;por.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937FF-A200-43E8-8F91-941A032D2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Mini_šols_špor.dot</Template>
  <TotalTime>33</TotalTime>
  <Pages>9</Pages>
  <Words>3917</Words>
  <Characters>22332</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Številka:</vt:lpstr>
    </vt:vector>
  </TitlesOfParts>
  <Company>Ministrstvo za šolstvo in šport</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uporabnik</dc:creator>
  <cp:lastModifiedBy>Janja Smrke Šikovc</cp:lastModifiedBy>
  <cp:revision>7</cp:revision>
  <cp:lastPrinted>2021-09-08T10:00:00Z</cp:lastPrinted>
  <dcterms:created xsi:type="dcterms:W3CDTF">2021-09-08T10:25:00Z</dcterms:created>
  <dcterms:modified xsi:type="dcterms:W3CDTF">2021-09-08T11:12:00Z</dcterms:modified>
</cp:coreProperties>
</file>