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3A31" w14:textId="69D2BA34" w:rsidR="00D70F59" w:rsidRPr="00D70F59" w:rsidRDefault="00D70F59" w:rsidP="00D70F5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69014445"/>
      <w:r w:rsidRPr="00D70F59">
        <w:rPr>
          <w:rFonts w:ascii="Arial" w:hAnsi="Arial" w:cs="Arial"/>
          <w:sz w:val="20"/>
          <w:szCs w:val="20"/>
        </w:rPr>
        <w:t xml:space="preserve">Številka: </w:t>
      </w:r>
      <w:r w:rsidR="00352551">
        <w:rPr>
          <w:rFonts w:ascii="Arial" w:hAnsi="Arial" w:cs="Arial"/>
          <w:sz w:val="20"/>
          <w:szCs w:val="20"/>
        </w:rPr>
        <w:tab/>
        <w:t>511-11/2024/7</w:t>
      </w:r>
    </w:p>
    <w:p w14:paraId="40EF255E" w14:textId="0F95F4BF" w:rsidR="00D70F59" w:rsidRPr="00236EDB" w:rsidRDefault="00D70F59" w:rsidP="00D70F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0F59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="00352551">
        <w:rPr>
          <w:rFonts w:ascii="Arial" w:hAnsi="Arial" w:cs="Arial"/>
          <w:sz w:val="20"/>
          <w:szCs w:val="20"/>
        </w:rPr>
        <w:tab/>
        <w:t>11. 6. 2024</w:t>
      </w:r>
    </w:p>
    <w:p w14:paraId="31797080" w14:textId="77777777" w:rsidR="00D70F59" w:rsidRDefault="00D70F59" w:rsidP="00D70F59">
      <w:pPr>
        <w:spacing w:line="240" w:lineRule="auto"/>
        <w:rPr>
          <w:rFonts w:ascii="Arial" w:hAnsi="Arial" w:cs="Arial"/>
          <w:sz w:val="20"/>
          <w:szCs w:val="20"/>
        </w:rPr>
      </w:pPr>
    </w:p>
    <w:p w14:paraId="1ADDA0D0" w14:textId="77777777" w:rsidR="00D70F59" w:rsidRDefault="00D70F59" w:rsidP="00D70F59">
      <w:pPr>
        <w:spacing w:line="240" w:lineRule="auto"/>
        <w:rPr>
          <w:rFonts w:ascii="Arial" w:hAnsi="Arial" w:cs="Arial"/>
          <w:sz w:val="20"/>
          <w:szCs w:val="20"/>
        </w:rPr>
      </w:pPr>
      <w:r w:rsidRPr="005B2D9D">
        <w:rPr>
          <w:rFonts w:ascii="Arial" w:hAnsi="Arial" w:cs="Arial"/>
          <w:sz w:val="20"/>
          <w:szCs w:val="20"/>
        </w:rPr>
        <w:t>Ministrstvo za gospodarstvo, turizem in šport, Kotnikova ulica 5, 1000 Ljubljana objavlja</w:t>
      </w:r>
    </w:p>
    <w:p w14:paraId="436F1BE3" w14:textId="77777777" w:rsidR="00D70F59" w:rsidRPr="005B2D9D" w:rsidRDefault="00D70F59" w:rsidP="00D70F59">
      <w:pPr>
        <w:spacing w:line="240" w:lineRule="auto"/>
        <w:rPr>
          <w:rFonts w:ascii="Arial" w:hAnsi="Arial" w:cs="Arial"/>
          <w:sz w:val="20"/>
          <w:szCs w:val="20"/>
        </w:rPr>
      </w:pPr>
    </w:p>
    <w:p w14:paraId="188DA284" w14:textId="77777777" w:rsidR="00D70F59" w:rsidRDefault="00D70F59" w:rsidP="00D70F59">
      <w:pPr>
        <w:pStyle w:val="Naslov"/>
      </w:pPr>
      <w:bookmarkStart w:id="1" w:name="_Hlk140402450"/>
      <w:bookmarkStart w:id="2" w:name="_Hlk167954307"/>
      <w:r w:rsidRPr="00BE58CB">
        <w:t xml:space="preserve">Javni razpis </w:t>
      </w:r>
    </w:p>
    <w:p w14:paraId="0CA06DA2" w14:textId="77777777" w:rsidR="00D70F59" w:rsidRDefault="00D70F59" w:rsidP="00D70F59">
      <w:pPr>
        <w:pStyle w:val="Naslov"/>
      </w:pPr>
      <w:r w:rsidRPr="00BE58CB">
        <w:t xml:space="preserve">za </w:t>
      </w:r>
      <w:bookmarkEnd w:id="1"/>
      <w:r>
        <w:t xml:space="preserve">sofinanciranje gospodarskih struktur avtohtone slovenske narodne skupnosti v zamejstvu v letu 2024 - Gospodarske strukture Slovencev v zamejstvu v letu 2024 </w:t>
      </w:r>
      <w:bookmarkEnd w:id="2"/>
      <w:r>
        <w:t>(JR GSSZ 2024)</w:t>
      </w:r>
    </w:p>
    <w:p w14:paraId="019AA4DD" w14:textId="77777777" w:rsidR="00D70F59" w:rsidRDefault="00D70F59" w:rsidP="00D70F59">
      <w:pPr>
        <w:pStyle w:val="Naslov1"/>
      </w:pPr>
    </w:p>
    <w:p w14:paraId="24B370ED" w14:textId="77777777" w:rsidR="00D70F59" w:rsidRPr="00DE1B30" w:rsidRDefault="00D70F59" w:rsidP="00D70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Pravna podlaga</w:t>
      </w:r>
    </w:p>
    <w:p w14:paraId="1300083F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491732" w14:textId="77777777" w:rsidR="00D70F59" w:rsidRDefault="00D70F59" w:rsidP="00D70F59">
      <w:p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Zakon o javnih financah (Uradni list RS, št. </w:t>
      </w:r>
      <w:hyperlink r:id="rId7" w:tgtFrame="_blank" w:tooltip="Zakon o javnih financah (uradno prečiščeno besedilo)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11/11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 – uradno prečiščeno besedilo, </w:t>
      </w:r>
      <w:hyperlink r:id="rId8" w:tgtFrame="_blank" w:tooltip="Popravek Uradnega prečiščenega besedila Zakona  o javnih financah (ZJF-UPB4p)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 xml:space="preserve">14/13 </w:t>
        </w:r>
        <w:proofErr w:type="spellStart"/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popr</w:t>
        </w:r>
        <w:proofErr w:type="spellEnd"/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.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9" w:tgtFrame="_blank" w:tooltip="Zakon o dopolnitvi Zakona o javnih financah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101/13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10" w:tgtFrame="_blank" w:tooltip="Zakon o fiskalnem pravilu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55/15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 – </w:t>
      </w:r>
      <w:proofErr w:type="spellStart"/>
      <w:r w:rsidRPr="00DE1B30">
        <w:rPr>
          <w:rFonts w:ascii="Arial" w:eastAsia="Times New Roman" w:hAnsi="Arial" w:cs="Arial"/>
          <w:sz w:val="20"/>
          <w:szCs w:val="20"/>
          <w:lang w:eastAsia="sl-SI"/>
        </w:rPr>
        <w:t>ZFisP</w:t>
      </w:r>
      <w:proofErr w:type="spellEnd"/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11" w:tgtFrame="_blank" w:tooltip="Zakon o izvrševanju proračunov Republike Slovenije za leti 2016 in 2017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96/15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 – ZIPRS1617, </w:t>
      </w:r>
      <w:hyperlink r:id="rId12" w:tgtFrame="_blank" w:tooltip="Zakon o spremembah in dopolnitvah Zakona o javnih financah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13/18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13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195/20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 – </w:t>
      </w:r>
      <w:proofErr w:type="spellStart"/>
      <w:r w:rsidRPr="00DE1B30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DE1B30">
        <w:rPr>
          <w:rFonts w:ascii="Arial" w:eastAsia="Times New Roman" w:hAnsi="Arial" w:cs="Arial"/>
          <w:sz w:val="20"/>
          <w:szCs w:val="20"/>
          <w:lang w:eastAsia="sl-SI"/>
        </w:rPr>
        <w:t>. US, </w:t>
      </w:r>
      <w:hyperlink r:id="rId14" w:tgtFrame="_blank" w:tooltip="Zakon o spremembah in dopolnitvah Zakona o državni upravi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18/23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 – ZDU-1O in </w:t>
      </w:r>
      <w:hyperlink r:id="rId15" w:tgtFrame="_blank" w:tooltip="Zakon o spremembah in dopolnitvah Zakona o javnih financah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76/23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),  Proračun Republike Slovenije za leto 2024 (Uradni list RS, št. </w:t>
      </w:r>
      <w:hyperlink r:id="rId16" w:tgtFrame="_blank" w:tooltip="Proračun Republike Slovenije za leto 2024 (DP2024)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150/22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 in </w:t>
      </w:r>
      <w:hyperlink r:id="rId17" w:tgtFrame="_blank" w:tooltip="Spremembe proračuna Republike Slovenije za leto 2024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123/23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), Zakon o izvrševanju proračunov Republike Slovenije za leti 202</w:t>
      </w:r>
      <w:r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in 202</w:t>
      </w:r>
      <w:r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št. </w:t>
      </w:r>
      <w:hyperlink r:id="rId18" w:tgtFrame="_blank" w:tooltip="Zakon o izvrševanju proračunov Republike Slovenije za leti 2024 in 2025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123/23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12/24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), Pravilnik o postopkih za izvrševanje proračuna Republike Slovenije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(Uradn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i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list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RS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št. </w:t>
      </w:r>
      <w:hyperlink r:id="rId19" w:tgtFrame="_blank" w:tooltip="Pravilnik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50/07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20" w:tgtFrame="_blank" w:tooltip="Pravilnik o spremembah in dopolnitvah Pravilnika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61/08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21" w:tgtFrame="_blank" w:tooltip="Zakon o izvrševanju proračunov Republike Slovenije za leti 2010 in 2011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99/09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>; Z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IPRS1011, </w:t>
      </w:r>
      <w:hyperlink r:id="rId22" w:tgtFrame="_blank" w:tooltip="Pravilnik o spremembah in dopolnitvah Pravilnika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3/13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23" w:tgtFrame="_blank" w:tooltip="Pravilnik o spremembah in dopolnitvah Pravilnika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81/16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24" w:tgtFrame="_blank" w:tooltip="Pravilnik o spremembah in dopolnitvah Pravilnika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11/22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25" w:tgtFrame="_blank" w:tooltip="Pravilnik o spremembi Pravilnika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96/22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, </w:t>
      </w:r>
      <w:hyperlink r:id="rId26" w:tgtFrame="_blank" w:tooltip="Zakon za zmanjšanje neenakosti in škodljivih posegov politike ter zagotavljanje spoštovanja pravne držav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105/22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 ZZNŠPP,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27" w:tgtFrame="_blank" w:tooltip="Pravilnik o spremembah in dopolnitvah Pravilnika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149/22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in </w:t>
      </w:r>
      <w:hyperlink r:id="rId28" w:tgtFrame="_blank" w:tooltip="Pravilnik o spremembah Pravilnika o postopkih za izvrševanje proračuna Republike Slovenije" w:history="1">
        <w:r w:rsidRPr="00DE1B30">
          <w:rPr>
            <w:rFonts w:ascii="Arial" w:eastAsia="Times New Roman" w:hAnsi="Arial" w:cs="Arial"/>
            <w:sz w:val="20"/>
            <w:szCs w:val="20"/>
            <w:lang w:eastAsia="sl-SI"/>
          </w:rPr>
          <w:t>106/23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 xml:space="preserve">),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Zakon o odnosih Republike Slovenije s Slovenci zunaj njenih meja (Uradni list RS, št. 43/06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76/10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206/21 - ZDUPŠOP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), Program dela Zamejske gospodarske koordinacije za leto 2024, </w:t>
      </w:r>
      <w:bookmarkStart w:id="3" w:name="_Hlk166061878"/>
      <w:r w:rsidRPr="009B6987">
        <w:rPr>
          <w:rFonts w:ascii="Arial" w:eastAsia="Times New Roman" w:hAnsi="Arial" w:cs="Arial"/>
          <w:sz w:val="20"/>
          <w:szCs w:val="20"/>
          <w:lang w:eastAsia="sl-SI"/>
        </w:rPr>
        <w:t xml:space="preserve">št. </w:t>
      </w:r>
      <w:r w:rsidRPr="001C3685">
        <w:rPr>
          <w:rFonts w:ascii="Arial" w:hAnsi="Arial" w:cs="Arial"/>
          <w:sz w:val="20"/>
          <w:szCs w:val="20"/>
        </w:rPr>
        <w:t>511-11/2024/1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26. 2.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2024</w:t>
      </w:r>
      <w:bookmarkEnd w:id="3"/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60B7AC5" w14:textId="77777777" w:rsidR="00D70F59" w:rsidRPr="00DE1B30" w:rsidRDefault="00D70F59" w:rsidP="00D70F59">
      <w:pPr>
        <w:tabs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71B019" w14:textId="77777777" w:rsidR="00D70F59" w:rsidRPr="00DE1B30" w:rsidRDefault="00D70F59" w:rsidP="00D70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>Ime oziroma naziv in sedež neposrednega proračunskega uporabnika, ki dodeljuje sredstva</w:t>
      </w:r>
    </w:p>
    <w:p w14:paraId="217D7DB9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64CDABD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Uporabnik državnega proračuna: Republika Slovenija, Ministrstvo za gospodarstvo, turizem in šport, Kotnikova ulica 5, 1000 Ljubljana (v nadaljnjem besedilu: ministrstvo).</w:t>
      </w:r>
    </w:p>
    <w:p w14:paraId="2D707385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0C71DC" w14:textId="77777777" w:rsidR="00D70F59" w:rsidRPr="00DE1B30" w:rsidRDefault="00D70F59" w:rsidP="00D70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>Namen, cilji in predmet javnega razpisa</w:t>
      </w:r>
    </w:p>
    <w:p w14:paraId="4E78D5C5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DC009" w14:textId="77777777" w:rsidR="00D70F59" w:rsidRPr="00DE1B30" w:rsidRDefault="00D70F59" w:rsidP="00D70F5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Namen in cilj javnega razpisa </w:t>
      </w:r>
    </w:p>
    <w:p w14:paraId="00ACC81B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855513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Namen javnega razpisa je podpreti izvajanje aktivnosti gospodarskih struktur avtohtone slovenske narodne skupnosti v zamejstvu za ohranjanje slovenstva zunaj matične države in njegovega povezovanja s Slovenijo na področju gospodarstva. </w:t>
      </w:r>
    </w:p>
    <w:p w14:paraId="391DAC9F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41260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Cilji javnega razpisa so:</w:t>
      </w:r>
    </w:p>
    <w:p w14:paraId="79F1B2B4" w14:textId="77777777" w:rsidR="00D70F59" w:rsidRPr="00DE1B30" w:rsidRDefault="00D70F59" w:rsidP="00D70F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krepitev ekonomske moči avtohtonih manjšin in gospodarski razvoj slovenskega zamejskega prostora,</w:t>
      </w:r>
    </w:p>
    <w:p w14:paraId="4861AEAF" w14:textId="77777777" w:rsidR="00D70F59" w:rsidRPr="00DE1B30" w:rsidRDefault="00D70F59" w:rsidP="00D70F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krepitev gospodarskega sodelovanja in povezovanja med zamejskim in slovenskim gospodarstvom,</w:t>
      </w:r>
    </w:p>
    <w:p w14:paraId="66773CD3" w14:textId="77777777" w:rsidR="00D70F59" w:rsidRPr="00DE1B30" w:rsidRDefault="00D70F59" w:rsidP="00D70F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vzdrževanje gospodarskih struktur in dejavnosti Slovencev v zamejstvu, ki predstavlja širši slovenski narodni prostor.</w:t>
      </w:r>
    </w:p>
    <w:p w14:paraId="07654EE9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90F578" w14:textId="77777777" w:rsidR="00D70F59" w:rsidRPr="00DE1B30" w:rsidRDefault="00D70F59" w:rsidP="00D70F5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Predmet javnega razpisa</w:t>
      </w:r>
    </w:p>
    <w:p w14:paraId="5825D89B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F38E3F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Predmet javnega razpisa je sofinanciranje stroškov dela redno zaposlenih (plač) ter pogodbenega dela v zamejskih gospodarskih strukturah za osebe, ki v zamejskih gospodarskih strukturah delujejo na področju aktivnosti, ki spodbujajo razvoj gospodarstva, kot npr. </w:t>
      </w:r>
      <w:bookmarkStart w:id="4" w:name="_Hlk160630265"/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promocijska dejavnost, </w:t>
      </w:r>
      <w:proofErr w:type="spellStart"/>
      <w:r w:rsidRPr="00DE1B30">
        <w:rPr>
          <w:rFonts w:ascii="Arial" w:eastAsia="Times New Roman" w:hAnsi="Arial" w:cs="Arial"/>
          <w:sz w:val="20"/>
          <w:szCs w:val="20"/>
          <w:lang w:eastAsia="sl-SI"/>
        </w:rPr>
        <w:t>mapiranje</w:t>
      </w:r>
      <w:proofErr w:type="spellEnd"/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terena ter priprava baz podatkov – popis in včlanjevanje gospodarskih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lastRenderedPageBreak/>
        <w:t>subjektov, organizacija, koordinacija in izvedba projektnih nalog s področja gospodarstva</w:t>
      </w:r>
      <w:bookmarkEnd w:id="4"/>
      <w:r w:rsidRPr="00DE1B30">
        <w:rPr>
          <w:rFonts w:ascii="Arial" w:eastAsia="Times New Roman" w:hAnsi="Arial" w:cs="Arial"/>
          <w:sz w:val="20"/>
          <w:szCs w:val="20"/>
          <w:lang w:eastAsia="sl-SI"/>
        </w:rPr>
        <w:t>, in sicer za naslednje teritorialne sklope:</w:t>
      </w:r>
    </w:p>
    <w:p w14:paraId="20A4DBDC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9339A5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Calibri" w:hAnsi="Arial" w:cs="Arial"/>
          <w:sz w:val="20"/>
          <w:szCs w:val="20"/>
          <w:lang w:eastAsia="sl-SI"/>
        </w:rPr>
        <w:t xml:space="preserve">Sklop 1 -  </w:t>
      </w:r>
      <w:bookmarkStart w:id="5" w:name="_Hlk137816521"/>
      <w:r w:rsidRPr="00DE1B30">
        <w:rPr>
          <w:rFonts w:ascii="Arial" w:eastAsia="Calibri" w:hAnsi="Arial" w:cs="Arial"/>
          <w:sz w:val="20"/>
          <w:szCs w:val="20"/>
          <w:lang w:eastAsia="sl-SI"/>
        </w:rPr>
        <w:t>gospodarske strukture avtohtone slovenske narodne skupnosti v Avstriji,</w:t>
      </w:r>
    </w:p>
    <w:bookmarkEnd w:id="5"/>
    <w:p w14:paraId="7E176E04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Sklop 2 - gospodarske strukture avtohtone slovenske narodne skupnosti v Italiji,</w:t>
      </w:r>
    </w:p>
    <w:p w14:paraId="63E4920D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Sklop 3 - gospodarske strukture avtohtone slovenske narodne skupnosti na Madžarskem,</w:t>
      </w:r>
    </w:p>
    <w:p w14:paraId="52C3EDA4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Sklop 4 - gospodarske strukture avtohtone slovenske narodne skupnosti na Hrvaškem (območje severne Istre, reško zaledje, Gorski Kotar) in</w:t>
      </w:r>
    </w:p>
    <w:p w14:paraId="41807C27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Sklop 5 - gospodarske strukture avtohtone slovenske narodne skupnosti na Hrvaškem (Med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(</w:t>
      </w:r>
      <w:proofErr w:type="spellStart"/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ži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)</w:t>
      </w:r>
      <w:proofErr w:type="spellStart"/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murje</w:t>
      </w:r>
      <w:proofErr w:type="spellEnd"/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, </w:t>
      </w:r>
      <w:proofErr w:type="spellStart"/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Obkolpje</w:t>
      </w:r>
      <w:proofErr w:type="spellEnd"/>
      <w:r w:rsidRPr="00DE1B3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, Obsotelje, Zagreb z okolico).</w:t>
      </w:r>
    </w:p>
    <w:p w14:paraId="7927BA42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216ADE" w14:textId="77777777" w:rsidR="00D70F59" w:rsidRPr="00DE1B30" w:rsidRDefault="00D70F59" w:rsidP="00D70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>Ciljne skupine / upravičenci</w:t>
      </w:r>
    </w:p>
    <w:p w14:paraId="110D87EA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23D780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Upravičeni prejemniki sredstev so aktivno delujoče uradno registrirane pravne osebe v zamejstvu, ki se ukvarjajo z ekonomskim razvojem avtohtone slovenske narodne skupnosti v zamejstvu. </w:t>
      </w:r>
    </w:p>
    <w:p w14:paraId="2D0F2BE2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134389" w14:textId="77777777" w:rsidR="00D70F59" w:rsidRPr="00DE1B30" w:rsidRDefault="00D70F59" w:rsidP="00D70F5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>Pogoji za kandidiranje</w:t>
      </w:r>
    </w:p>
    <w:p w14:paraId="1012AEB9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C59B6A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Vloga prijavitelja mora izpolnjevati vse pogoje javnega razpisa. Izpolnjevanje pogojev mora izhajati iz vsebine celotne vloge. Če vloga ne izpolnjuje vseh pogojev, se zavrne. </w:t>
      </w:r>
    </w:p>
    <w:p w14:paraId="32E811CB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FF5BE3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Glede izpolnjevanja razpisnih pogojev prijavitelj podpiše </w:t>
      </w:r>
      <w:r>
        <w:rPr>
          <w:rFonts w:ascii="Arial" w:eastAsia="Times New Roman" w:hAnsi="Arial" w:cs="Arial"/>
          <w:sz w:val="20"/>
          <w:szCs w:val="20"/>
          <w:lang w:eastAsia="sl-SI"/>
        </w:rPr>
        <w:t>obrazec 2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, s katero pod kazensko in materialno pravno odgovornostjo potrdi izpolnjevanje in sprejemanje razpisnih pogojev za kandidiranje na tem javnem razpisu (izjava je del razpisne dokumentacije). </w:t>
      </w:r>
    </w:p>
    <w:p w14:paraId="5E74BD59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90EDC7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V primeru dvoma glede izpolnjevanja pogojev za kandidiranje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lahko ministrstvo zahteva dodatna pojasnila in dokazila. </w:t>
      </w:r>
    </w:p>
    <w:p w14:paraId="35FEBB18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5C4C5B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V primeru, da se neizpolnjevanje pogojev ugotovi po izdaji sklepa o dodelitvi sredstev, se pogodba o sofinanciranju ne bo podpisala, sklep o dodelitvi sredstev pa se odpravi oziroma razveljavi. </w:t>
      </w:r>
    </w:p>
    <w:p w14:paraId="57EA0138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3DAA18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V primeru, da se neizpolnjevanje pogojev ugotovi po podpisu pogodbe o sofinanciranju, bo ministrstvo odstopilo od pogodbe o sofinanciranju, pri čemer je upravičenec dolžan vrniti vsa že prejeta sredstva skupaj z zakonskimi zamudnimi obrestmi od dneva prejema sredstev na njegov transakcijski račun do dneva vračila sredstev v državni proračun Republike Slovenije.</w:t>
      </w:r>
    </w:p>
    <w:p w14:paraId="23B33203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926805" w14:textId="77777777" w:rsidR="00D70F59" w:rsidRPr="00DE1B30" w:rsidRDefault="00D70F59" w:rsidP="00D70F59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>Splošni pogoji za kandidiranje so:</w:t>
      </w:r>
    </w:p>
    <w:p w14:paraId="07AD53DF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775380" w14:textId="77777777" w:rsidR="00D70F59" w:rsidRPr="00DE1B30" w:rsidRDefault="00D70F59" w:rsidP="00D70F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bookmarkStart w:id="6" w:name="_Hlk160629692"/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uradno registrirana pravna oseba v tujini - evidentirana v uradnem registru države, v kateri ima sedež. Prijavitelj je evidentiran v uradnem registru pred dnevom objave javnega razpisa. </w:t>
      </w:r>
    </w:p>
    <w:p w14:paraId="3FCB25E6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79BE92" w14:textId="77777777" w:rsidR="00D70F59" w:rsidRPr="00DE1B30" w:rsidRDefault="00D70F59" w:rsidP="00D70F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za iste že povrnjene upravičene stroške in aktivnosti, ki so predmet sofinanciranja v tem razpisu, ni in ne bo pridobil sredstev iz drugih javnih virov (sredstev evropskega, državnega ali lokalnega proračuna) (prepoved dvojnega sofinanciranja). </w:t>
      </w:r>
    </w:p>
    <w:p w14:paraId="2C90D4F6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46A6D3" w14:textId="77777777" w:rsidR="00D70F59" w:rsidRPr="00DE1B30" w:rsidRDefault="00D70F59" w:rsidP="00D70F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se je seznanil in se z oddajo vloge na ta javni razpis strinja z vsemi pogoji, ki so navedeni v tem javnem razpisu in razpisni dokumentaciji. </w:t>
      </w:r>
    </w:p>
    <w:p w14:paraId="707AD51A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4E283A" w14:textId="77777777" w:rsidR="00D70F59" w:rsidRPr="00DE1B30" w:rsidRDefault="00D70F59" w:rsidP="00D70F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izjavlja, da vse kopije, ki so priložene k vlogi, ustrezajo originalom. </w:t>
      </w:r>
    </w:p>
    <w:p w14:paraId="586A148E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A38378" w14:textId="77777777" w:rsidR="00D70F59" w:rsidRPr="00DE1B30" w:rsidRDefault="00D70F59" w:rsidP="00D70F5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izjavlja, da so vse navedbe, ki so podane v vlogi, resnične in ustrezajo dejanskemu stanju. </w:t>
      </w:r>
    </w:p>
    <w:p w14:paraId="33F78469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9F86B0" w14:textId="77777777" w:rsidR="00D70F59" w:rsidRPr="00DE1B30" w:rsidRDefault="00D70F59" w:rsidP="00D70F59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Posebni pogoji za kandidiranje so: </w:t>
      </w:r>
    </w:p>
    <w:p w14:paraId="37FEDFE9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E0BC8B" w14:textId="77777777" w:rsidR="00D70F59" w:rsidRPr="00DE1B30" w:rsidRDefault="00D70F59" w:rsidP="00D70F59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mora imeti pozitiven odnos do povezovanja z matično domovino Republiko Slovenijo. </w:t>
      </w:r>
    </w:p>
    <w:p w14:paraId="13AE049A" w14:textId="77777777" w:rsidR="00D70F59" w:rsidRPr="00DE1B30" w:rsidRDefault="00D70F59" w:rsidP="00D70F59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F35533" w14:textId="77777777" w:rsidR="00D70F59" w:rsidRPr="00DE1B30" w:rsidRDefault="00D70F59" w:rsidP="00D70F59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lastRenderedPageBreak/>
        <w:t>Prijavitelj izvaja dejavnost, ki je usmerjen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v gospodarski razvoj avtohtone slovenske narodne skupnosti, in sicer pred dnevom objave javnega razpisa, kar mora biti razvidno iz internih aktov prijavitelja oziroma drugih zadevajočih dokumentov. </w:t>
      </w:r>
    </w:p>
    <w:p w14:paraId="3318436B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F3B0F" w14:textId="77777777" w:rsidR="00D70F59" w:rsidRPr="00DE1B30" w:rsidRDefault="00D70F59" w:rsidP="00D70F59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ima odprt svoj transakcijski račun v državi, kjer je registriran. </w:t>
      </w:r>
    </w:p>
    <w:p w14:paraId="42E98A76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71ACCF" w14:textId="77777777" w:rsidR="00D70F59" w:rsidRPr="00DE1B30" w:rsidRDefault="00D70F59" w:rsidP="00D70F59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Prijavitelj ima sprejet Program dela za leto 2024 ali drug ekvivalenten dokument, ki vsebuje tudi aktivnosti, ki so predmet javnega razpisa.</w:t>
      </w:r>
    </w:p>
    <w:p w14:paraId="67FF2FCD" w14:textId="77777777" w:rsidR="00D70F59" w:rsidRPr="00DE1B30" w:rsidRDefault="00D70F59" w:rsidP="00D70F59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D9CAED" w14:textId="77777777" w:rsidR="00D70F59" w:rsidRPr="00DE1B30" w:rsidRDefault="00D70F59" w:rsidP="00D70F59">
      <w:pPr>
        <w:numPr>
          <w:ilvl w:val="0"/>
          <w:numId w:val="5"/>
        </w:num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Prijavitelj ima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na dan oddaje vloge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registrirano in aktivno delujočo spletno stran oziroma družbeno omrežje, na katerih so objavljene njegove aktivnosti. </w:t>
      </w:r>
      <w:bookmarkEnd w:id="6"/>
    </w:p>
    <w:p w14:paraId="154ABED1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870DCC" w14:textId="77777777" w:rsidR="00D70F59" w:rsidRPr="00DE1B30" w:rsidRDefault="00D70F59" w:rsidP="00D70F5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Merila za ocenjevanje vlog</w:t>
      </w:r>
    </w:p>
    <w:p w14:paraId="2B293BF4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1547"/>
      </w:tblGrid>
      <w:tr w:rsidR="00D70F59" w:rsidRPr="00DE1B30" w14:paraId="7C32CE60" w14:textId="77777777" w:rsidTr="00BE77CA">
        <w:tc>
          <w:tcPr>
            <w:tcW w:w="6941" w:type="dxa"/>
            <w:gridSpan w:val="2"/>
          </w:tcPr>
          <w:p w14:paraId="67EDC865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MERILO</w:t>
            </w:r>
          </w:p>
        </w:tc>
        <w:tc>
          <w:tcPr>
            <w:tcW w:w="1547" w:type="dxa"/>
          </w:tcPr>
          <w:p w14:paraId="282DB2D8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točk</w:t>
            </w:r>
          </w:p>
        </w:tc>
      </w:tr>
      <w:tr w:rsidR="00D70F59" w:rsidRPr="00DE1B30" w14:paraId="752D120A" w14:textId="77777777" w:rsidTr="00BE77CA">
        <w:tc>
          <w:tcPr>
            <w:tcW w:w="421" w:type="dxa"/>
          </w:tcPr>
          <w:p w14:paraId="442424C6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520" w:type="dxa"/>
          </w:tcPr>
          <w:p w14:paraId="39A388FC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Prispevek k pospeševanju gospodarskega razvoja v zamejstvu</w:t>
            </w:r>
          </w:p>
        </w:tc>
        <w:tc>
          <w:tcPr>
            <w:tcW w:w="1547" w:type="dxa"/>
          </w:tcPr>
          <w:p w14:paraId="51CB0935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</w:tr>
      <w:tr w:rsidR="00D70F59" w:rsidRPr="00DE1B30" w14:paraId="66EDF9E2" w14:textId="77777777" w:rsidTr="00BE77CA">
        <w:tc>
          <w:tcPr>
            <w:tcW w:w="421" w:type="dxa"/>
          </w:tcPr>
          <w:p w14:paraId="5D19F707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520" w:type="dxa"/>
          </w:tcPr>
          <w:p w14:paraId="4826A8E0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Obseg in kakovost delovanja</w:t>
            </w:r>
          </w:p>
        </w:tc>
        <w:tc>
          <w:tcPr>
            <w:tcW w:w="1547" w:type="dxa"/>
          </w:tcPr>
          <w:p w14:paraId="0E297158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</w:tr>
      <w:tr w:rsidR="00D70F59" w:rsidRPr="00DE1B30" w14:paraId="1EBD7A44" w14:textId="77777777" w:rsidTr="00BE77CA">
        <w:tc>
          <w:tcPr>
            <w:tcW w:w="421" w:type="dxa"/>
          </w:tcPr>
          <w:p w14:paraId="529846CA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520" w:type="dxa"/>
          </w:tcPr>
          <w:p w14:paraId="36E09E9B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Pomen prosilca znotraj posamezne slovenske zamejske skupnosti z vidika gospodarstva</w:t>
            </w:r>
          </w:p>
        </w:tc>
        <w:tc>
          <w:tcPr>
            <w:tcW w:w="1547" w:type="dxa"/>
          </w:tcPr>
          <w:p w14:paraId="62317760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D70F59" w:rsidRPr="00DE1B30" w14:paraId="4FEA46A5" w14:textId="77777777" w:rsidTr="00BE77CA">
        <w:tc>
          <w:tcPr>
            <w:tcW w:w="421" w:type="dxa"/>
          </w:tcPr>
          <w:p w14:paraId="660834C1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520" w:type="dxa"/>
          </w:tcPr>
          <w:p w14:paraId="63DCB6D7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Skrb za ohranjanje slovenstva zunaj matične domovine na podlagi spodbujanja gospodarske dejavnosti</w:t>
            </w:r>
          </w:p>
        </w:tc>
        <w:tc>
          <w:tcPr>
            <w:tcW w:w="1547" w:type="dxa"/>
          </w:tcPr>
          <w:p w14:paraId="255F3112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</w:tr>
      <w:tr w:rsidR="00D70F59" w:rsidRPr="00DE1B30" w14:paraId="242AFBCB" w14:textId="77777777" w:rsidTr="00BE77CA">
        <w:tc>
          <w:tcPr>
            <w:tcW w:w="421" w:type="dxa"/>
          </w:tcPr>
          <w:p w14:paraId="69A5103D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520" w:type="dxa"/>
          </w:tcPr>
          <w:p w14:paraId="7C6CEE5D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Načrt delovanja</w:t>
            </w:r>
          </w:p>
        </w:tc>
        <w:tc>
          <w:tcPr>
            <w:tcW w:w="1547" w:type="dxa"/>
          </w:tcPr>
          <w:p w14:paraId="7A016FCD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</w:tr>
      <w:tr w:rsidR="00D70F59" w:rsidRPr="00DE1B30" w14:paraId="036567EA" w14:textId="77777777" w:rsidTr="00BE77CA">
        <w:tc>
          <w:tcPr>
            <w:tcW w:w="421" w:type="dxa"/>
          </w:tcPr>
          <w:p w14:paraId="200A5904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520" w:type="dxa"/>
          </w:tcPr>
          <w:p w14:paraId="48059FC1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Nujnost finančne podpore</w:t>
            </w:r>
          </w:p>
        </w:tc>
        <w:tc>
          <w:tcPr>
            <w:tcW w:w="1547" w:type="dxa"/>
          </w:tcPr>
          <w:p w14:paraId="1ACE9CE3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D70F59" w:rsidRPr="00DE1B30" w14:paraId="77AC120D" w14:textId="77777777" w:rsidTr="00BE77CA">
        <w:tc>
          <w:tcPr>
            <w:tcW w:w="6941" w:type="dxa"/>
            <w:gridSpan w:val="2"/>
          </w:tcPr>
          <w:p w14:paraId="64503F5E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547" w:type="dxa"/>
          </w:tcPr>
          <w:p w14:paraId="759BDE4C" w14:textId="77777777" w:rsidR="00D70F59" w:rsidRPr="00DE1B30" w:rsidRDefault="00D70F59" w:rsidP="00BE77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E1B3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</w:t>
            </w:r>
          </w:p>
        </w:tc>
      </w:tr>
    </w:tbl>
    <w:p w14:paraId="1F3D7416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9B311C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Način uporabe meril je opredeljen v poglavju 3.</w:t>
      </w:r>
      <w:r>
        <w:rPr>
          <w:rFonts w:ascii="Arial" w:eastAsia="Times New Roman" w:hAnsi="Arial" w:cs="Arial"/>
          <w:sz w:val="20"/>
          <w:szCs w:val="20"/>
          <w:lang w:eastAsia="sl-SI"/>
        </w:rPr>
        <w:t>b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razpisne dokumentacije.</w:t>
      </w:r>
    </w:p>
    <w:p w14:paraId="43B7ACBA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6A4631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Maksimalno število točk, ki jih je mogoče doseči, je 100. </w:t>
      </w:r>
    </w:p>
    <w:p w14:paraId="2013B1DA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9AA8FA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Za sofinanciranje bodo lahko izbrani le tisti prijavitelji, ki bodo v postopku ocenjevanja dosegli prag najmanj 60 točk. </w:t>
      </w:r>
    </w:p>
    <w:p w14:paraId="7E513BCF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706EDC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E565DF">
        <w:rPr>
          <w:rFonts w:ascii="Arial" w:eastAsia="Times New Roman" w:hAnsi="Arial" w:cs="Arial"/>
          <w:sz w:val="20"/>
          <w:szCs w:val="20"/>
          <w:lang w:eastAsia="sl-SI"/>
        </w:rPr>
        <w:t xml:space="preserve">Komisija bo pri ocenjevanju vlog upoštevala tudi dodatno omejitev, in sicer da prijavitelj v okviru razpisa ne more prejeti več sredstev, kot je višina zaprošene subvencije, ki jo prijavitelj opredeli v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točki 5 </w:t>
      </w:r>
      <w:r w:rsidRPr="00E565DF">
        <w:rPr>
          <w:rFonts w:ascii="Arial" w:eastAsia="Times New Roman" w:hAnsi="Arial" w:cs="Arial"/>
          <w:sz w:val="20"/>
          <w:szCs w:val="20"/>
          <w:lang w:eastAsia="sl-SI"/>
        </w:rPr>
        <w:t>obrazca št. 1 »Prijava«, ki je del razpisne dokumentacije.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D59AEBC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49140B4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Iz vsakega teritorialnega sklopa zamejstva bo izbran le en prijavitelj. V kolikor bosta iz istega sklopa zamejstva kandidirala dva prijavitelja, bo sredstva pridobil tisti, ki bo v fazi ocenjevanja dobil več točk. V primeru enakega števila točk prijaviteljev iz istega teritorialnega sklopa zamejstva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sredstva prejme tisti, ki bo v letu 2024 organiziral večje število poslovnih dogodkov. V primeru enakega števila poslovnih dogodkov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sredstva prejme prijavitelj, čigar vloga je prispela prva.</w:t>
      </w:r>
    </w:p>
    <w:p w14:paraId="336C3480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26D6AF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Posamezne vloge se lahko pred dokončno odločitvijo strokovne komisije glede sofinanciranja uskladijo tudi z drugimi državnimi institucijami. </w:t>
      </w:r>
    </w:p>
    <w:p w14:paraId="4206DCA7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4BCDC9" w14:textId="77777777" w:rsidR="00D70F59" w:rsidRPr="00DE1B30" w:rsidRDefault="00D70F59" w:rsidP="00D70F5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Okvirna višina razpoložljivih sredstev </w:t>
      </w:r>
    </w:p>
    <w:p w14:paraId="232246B4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FF2115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Okvirna višina sredstev, ki je na razpolago za izvedbo predmeta tega javnega razpisa, znaša 300.000,00 EUR, in sicer za naslednje teritorialne sklope:</w:t>
      </w:r>
    </w:p>
    <w:p w14:paraId="7AA51D95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6CE02E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Calibri" w:hAnsi="Arial" w:cs="Arial"/>
          <w:sz w:val="20"/>
          <w:szCs w:val="20"/>
          <w:lang w:eastAsia="sl-SI"/>
        </w:rPr>
        <w:t xml:space="preserve">Sklop </w:t>
      </w:r>
      <w:r w:rsidRPr="00AF22FA">
        <w:rPr>
          <w:rFonts w:ascii="Arial" w:eastAsia="Calibri" w:hAnsi="Arial" w:cs="Arial"/>
          <w:sz w:val="20"/>
          <w:szCs w:val="20"/>
          <w:lang w:eastAsia="sl-SI"/>
        </w:rPr>
        <w:t>1</w:t>
      </w:r>
      <w:r w:rsidRPr="00DE1B30">
        <w:rPr>
          <w:rFonts w:ascii="Arial" w:eastAsia="Calibri" w:hAnsi="Arial" w:cs="Arial"/>
          <w:sz w:val="20"/>
          <w:szCs w:val="20"/>
          <w:lang w:eastAsia="sl-SI"/>
        </w:rPr>
        <w:t xml:space="preserve"> -  gospodarske strukture avtohtone slovenske narodne skupnosti v Avstriji: 60.000,00 EUR,</w:t>
      </w:r>
    </w:p>
    <w:p w14:paraId="0AE112B7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Sklop 2 - gospodarske strukture avtohtone slovenske narodne skupnosti v Italiji; 60.000,00 EUR,</w:t>
      </w:r>
    </w:p>
    <w:p w14:paraId="7797AD53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Sklop 3 - gospodarske strukture avtohtone slovenske narodne skupnosti na Madžarskem: 60.000,00 EUR,</w:t>
      </w:r>
    </w:p>
    <w:p w14:paraId="10E147DC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Sklop 4 - gospodarske strukture avtohtone slovenske narodne skupnosti na Hrvaškem (območje severne Istre, reško zaledje, Gorski Kotar): 60.000,00 EUR in</w:t>
      </w:r>
    </w:p>
    <w:p w14:paraId="2D8E7C65" w14:textId="77777777" w:rsidR="00D70F59" w:rsidRPr="00DE1B30" w:rsidRDefault="00D70F59" w:rsidP="00D70F59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lastRenderedPageBreak/>
        <w:t>Sklop 5 - gospodarske strukture avtohtone slovenske narodne skupnosti na Hrvaškem (Med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(</w:t>
      </w:r>
      <w:proofErr w:type="spellStart"/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ž</w:t>
      </w:r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i</w:t>
      </w:r>
      <w:proofErr w:type="spellEnd"/>
      <w:r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)</w:t>
      </w:r>
      <w:proofErr w:type="spellStart"/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murje</w:t>
      </w:r>
      <w:proofErr w:type="spellEnd"/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 xml:space="preserve">, </w:t>
      </w:r>
      <w:proofErr w:type="spellStart"/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Obkolpje</w:t>
      </w:r>
      <w:proofErr w:type="spellEnd"/>
      <w:r w:rsidRPr="00DE1B30">
        <w:rPr>
          <w:rFonts w:ascii="Arial" w:eastAsia="Times New Roman" w:hAnsi="Arial" w:cs="Arial"/>
          <w:color w:val="212529"/>
          <w:sz w:val="20"/>
          <w:szCs w:val="20"/>
          <w:shd w:val="clear" w:color="auto" w:fill="FFFFFF"/>
          <w:lang w:eastAsia="sl-SI"/>
        </w:rPr>
        <w:t>, Obsotelje, Zagreb z okolico): 60.000,00 EUR.</w:t>
      </w:r>
    </w:p>
    <w:p w14:paraId="4E46EE61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33E837" w14:textId="3566CE22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Finančna sredstva so zagotovljena v proračunu Republike Slovenije, na proračunski postavki Ministrstva za gospodarstvo, turizem in šport Republike Slovenije, PP 231093 – Zamejska gospodarska koordinacija</w:t>
      </w:r>
      <w:r w:rsidR="00957C44">
        <w:rPr>
          <w:rFonts w:ascii="Arial" w:eastAsia="Times New Roman" w:hAnsi="Arial" w:cs="Arial"/>
          <w:sz w:val="20"/>
          <w:szCs w:val="20"/>
          <w:lang w:eastAsia="sl-SI"/>
        </w:rPr>
        <w:t xml:space="preserve"> (NRP 2180-23-0007 – Zamejska gospodarska koordinacija)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C604BD0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494F7E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V primeru spremembe višine proračunskih sredstev na omenjeni postavki se uskladi tudi višina sredstev za ta javni razpis. </w:t>
      </w:r>
    </w:p>
    <w:p w14:paraId="287B6207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6C6470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Ministrstvo si pridržuje pravico, da lahko javni razpis kadarkoli do izdaje sklepov o dodelitvi sredstev, prekliče z objavo v Uradnem listu Republike Slovenije. </w:t>
      </w:r>
    </w:p>
    <w:p w14:paraId="7955D182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C536A99" w14:textId="77777777" w:rsidR="00D70F59" w:rsidRPr="00DE1B30" w:rsidRDefault="00D70F59" w:rsidP="00D70F5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Način financiranja</w:t>
      </w:r>
    </w:p>
    <w:p w14:paraId="572D71E2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76C026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Ministrstvo bo sofinanciralo upravičene stroške do višine 100%. Upravičenec dobi povrnjene stroške za nazaj. </w:t>
      </w:r>
      <w:r>
        <w:rPr>
          <w:rFonts w:ascii="Arial" w:eastAsia="Times New Roman" w:hAnsi="Arial" w:cs="Arial"/>
          <w:sz w:val="20"/>
          <w:szCs w:val="20"/>
          <w:lang w:eastAsia="sl-SI"/>
        </w:rPr>
        <w:t>Sofinanciranje upravičenih stroškov bo izvedeno na osnovi dejanskih upravičenih stroškov, ki se bodo dokazovali z dokazili o obračunu, izplačilu stroškov plač ter pogodbenega dela in poročilu o aktivnostih.</w:t>
      </w:r>
    </w:p>
    <w:p w14:paraId="37B62B80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AFA218" w14:textId="77777777" w:rsidR="00D70F59" w:rsidRPr="00DE1B30" w:rsidRDefault="00D70F59" w:rsidP="00D70F5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Obdobje, v katerem morajo biti porabljena dodeljena sredstva</w:t>
      </w:r>
    </w:p>
    <w:p w14:paraId="06EA4F55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5F236D6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Koriščenje sredstev je možno v letu 2024. </w:t>
      </w:r>
    </w:p>
    <w:p w14:paraId="182E8A1C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7509E5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Obdobje upravičenosti stroškov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je od 1. 1. 2024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in traja do 20. 11. 2024. </w:t>
      </w:r>
    </w:p>
    <w:p w14:paraId="41097919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7784EF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Do sofinanciranja bodo upravičeni stroški, plačani znotraj obdobja upravičenosti. </w:t>
      </w:r>
    </w:p>
    <w:p w14:paraId="3B3377ED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8C944B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Osnova za izplačilo sredstev po tem javnem razpisu je s strani ministrstva potrjen zahtevek za izplačilo, ki ga posreduje upravičenec.</w:t>
      </w:r>
    </w:p>
    <w:p w14:paraId="6C21C8E0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242C17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Upravičenec dokazuje upravičenost stroškov z ustreznimi dokazili, ki jih je potrebno predložiti v skladu z določbami javnega razpisa in razpisne dokumentacije. </w:t>
      </w:r>
    </w:p>
    <w:p w14:paraId="71BC4BCA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B471A0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Roki in obdobja poročanja ter izdaje zahtevkov za izplačilo so podrobno opredeljeni v obrazcu </w:t>
      </w:r>
      <w:r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»Vzorec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«, ki je del razpisne dokumentacije.</w:t>
      </w:r>
    </w:p>
    <w:p w14:paraId="28780109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CC7E0E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Zadnji rok za oddajo zahtevkov za izplačilo je 2</w:t>
      </w:r>
      <w:r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11.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2024. </w:t>
      </w:r>
    </w:p>
    <w:p w14:paraId="260C9303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70AF35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Stroški, ki bodo nastali po zadnjem roku za prispetje zahtevka za izplačilo, se ne morejo uveljavljati kot upravičeni in ne bodo priznani za sofinanciranje. </w:t>
      </w:r>
    </w:p>
    <w:p w14:paraId="3CFE6B48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6679A2" w14:textId="77777777" w:rsidR="00D70F59" w:rsidRPr="00DE1B30" w:rsidRDefault="00D70F59" w:rsidP="00D70F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Upravičeni stroški </w:t>
      </w:r>
    </w:p>
    <w:p w14:paraId="0154F27A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E6F5C2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Upravičeni stroški, ki so predmet sofinanciranja, so stroški dela redno zaposlenih (plače/celoten strošek delodajalca) ter pogodbenega dela (v bruto zneskih) v zamejskih gospodarskih strukturah.</w:t>
      </w:r>
    </w:p>
    <w:p w14:paraId="616ED93C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90BC41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Ministrstvo bo sofinanciralo upravičene stroške eni osebi iz vsakega teritorialnega sklopa zamejstva.</w:t>
      </w:r>
    </w:p>
    <w:p w14:paraId="6F930FE2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D53E1F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>Upravičenci stroške dokazujejo z dokazili o obračunu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izplačilu stroškov plač ter pogodbenega dela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poročilu o aktivnostih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ABD1031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22F50D" w14:textId="77777777" w:rsidR="00D70F59" w:rsidRPr="00DE1B30" w:rsidRDefault="00D70F59" w:rsidP="00D70F5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outlineLvl w:val="5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>11. Dokumentacija javnega razpisa</w:t>
      </w:r>
    </w:p>
    <w:p w14:paraId="221FD7FB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AD6D02" w14:textId="77777777" w:rsidR="00D70F59" w:rsidRPr="00DE1B30" w:rsidRDefault="00D70F59" w:rsidP="00D70F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Dokumentacija javnega razpisa (obrazec za pripravo vloge, pogoji in merila za dodeljevanje sredstev, navodila ter vzorec pogodbe) je objavljena na spletni strani Ministrstva za gospodarstvo, turizem in šport: </w:t>
      </w:r>
      <w:hyperlink r:id="rId29" w:history="1">
        <w:r w:rsidRPr="00DE1B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Javne objave Ministrstva za gospodarstvo, turizem in šport | GOV.SI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A3BC1BD" w14:textId="77777777" w:rsidR="00D70F59" w:rsidRPr="00DE1B30" w:rsidRDefault="00D70F59" w:rsidP="00D70F59">
      <w:pPr>
        <w:widowControl w:val="0"/>
        <w:tabs>
          <w:tab w:val="left" w:pos="708"/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1844B99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12. Roki in način prijave na javni razpis </w:t>
      </w:r>
    </w:p>
    <w:p w14:paraId="5B55018D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729574F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Cs/>
          <w:sz w:val="20"/>
          <w:szCs w:val="20"/>
          <w:lang w:eastAsia="sl-SI"/>
        </w:rPr>
        <w:t>Vloga mora biti pripravljena v slovenskem jeziku in skladno z določili tega javnega razpisa, razpisne dokumentacije in navodil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i</w:t>
      </w:r>
      <w:r w:rsidRPr="00DE1B3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na obrazcih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, ki so del razpisne dokumentacije</w:t>
      </w:r>
      <w:r w:rsidRPr="00DE1B3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. </w:t>
      </w:r>
    </w:p>
    <w:p w14:paraId="380770C7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07E5E88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Prijavitelji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vloge pošljejo po elektronski pošti na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podpisanem in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skeniranem prijavnem obrazcu na elektronski naslov: </w:t>
      </w:r>
      <w:hyperlink r:id="rId30" w:history="1">
        <w:r w:rsidRPr="00DE1B3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gp.mgts@gov.si</w:t>
        </w:r>
      </w:hyperlink>
      <w:r w:rsidRPr="00DE1B3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AFD51E2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3B3A12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Pri posredovanju po elektronski pošti mora biti v naslovu zadeve elektronske pošte navedeno: </w:t>
      </w:r>
      <w:r w:rsidRPr="00194F1B">
        <w:rPr>
          <w:rFonts w:ascii="Arial" w:eastAsia="Times New Roman" w:hAnsi="Arial" w:cs="Arial"/>
          <w:sz w:val="20"/>
          <w:szCs w:val="20"/>
          <w:lang w:eastAsia="sl-SI"/>
        </w:rPr>
        <w:t>»NE ODPIRAJ – Vloga na JAVNI RAZPIS za sofinanciranje gospodarskih struktur avtohtone slovenske narodne skupnosti v zamejstvu v letu 2024 - Gospodarske strukture Slovencev v zamejstvu v letu 2024«.</w:t>
      </w:r>
    </w:p>
    <w:p w14:paraId="522F9EC0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EA2044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Če vloge zaradi objektivnih razlogov ni mogoče poslati po elektronski pošti, lahko prosilci vlogo pošljejo na natisnjenem in podpisanem prijavnem obrazcu in v zaprti ovojnici oz. jo  osebno predložijo na sedež Ministrstva za gospodarstvo, turizem in šport, Kotnikova 5, 1000 Ljubljana, Slovenija. </w:t>
      </w:r>
    </w:p>
    <w:p w14:paraId="3BE4957D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47AC82" w14:textId="77777777" w:rsidR="00D70F59" w:rsidRPr="00194F1B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Cs/>
          <w:sz w:val="20"/>
          <w:szCs w:val="20"/>
          <w:lang w:eastAsia="sl-SI"/>
        </w:rPr>
        <w:t>Pri posredovanju po pošti oziroma osebni predložitvi mora biti vloga oddana v zaprti ovojnici, ki je opremljena z obrazcem št. 4 »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>Oddaja vloge</w:t>
      </w:r>
      <w:r w:rsidRPr="00DE1B3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«, ki je del razpisne dokumentacije. Iz ovojnice mora biti razvidno, da gre za vlogo na Javni razpis za sofinanciranje gospodarskih struktur avtohtone slovenske narodne skupnosti v zamejstvu v letu 2024 </w:t>
      </w:r>
      <w:r w:rsidRPr="00194F1B">
        <w:rPr>
          <w:rFonts w:ascii="Arial" w:eastAsia="Times New Roman" w:hAnsi="Arial" w:cs="Arial"/>
          <w:sz w:val="20"/>
          <w:szCs w:val="20"/>
          <w:lang w:eastAsia="sl-SI"/>
        </w:rPr>
        <w:t>(»NE ODPIRAJ – Vloga na JAVNI RAZPIS za sofinanciranje gospodarskih struktur avtohtone slovenske narodne skupnosti v zamejstvu v letu 2024 - Gospodarske strukture Slovencev v zamejstvu v letu 2024«).</w:t>
      </w:r>
    </w:p>
    <w:p w14:paraId="17B1D7BD" w14:textId="77777777" w:rsidR="00D70F59" w:rsidRPr="00194F1B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AE1F57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Vloge, ki ne bodo podane v skladu z napisanim, ne bodo uvrščene v nadaljnji postopek. </w:t>
      </w:r>
    </w:p>
    <w:p w14:paraId="5EF5107D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867AFA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Stroški priprave vloge in oddaje vloge na predmetni javni razpis bremenijo prijavitelja. </w:t>
      </w:r>
    </w:p>
    <w:p w14:paraId="1428B46C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9E406A" w14:textId="77777777" w:rsidR="00D70F59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Rok za oddajo vlog na javni razpis je </w:t>
      </w:r>
      <w:r w:rsidRPr="005304C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28.</w:t>
      </w:r>
      <w:r w:rsidRPr="00194F1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junij 2024.</w:t>
      </w:r>
      <w:r w:rsidRPr="00834154">
        <w:rPr>
          <w:rFonts w:ascii="Arial" w:eastAsia="Times New Roman" w:hAnsi="Arial" w:cs="Arial"/>
          <w:sz w:val="20"/>
          <w:szCs w:val="20"/>
          <w:lang w:eastAsia="sl-SI"/>
        </w:rPr>
        <w:t xml:space="preserve"> Za pravočasne vloge štejejo vloge, ki bodo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do tega datuma </w:t>
      </w:r>
      <w:r w:rsidRPr="00834154">
        <w:rPr>
          <w:rFonts w:ascii="Arial" w:eastAsia="Times New Roman" w:hAnsi="Arial" w:cs="Arial"/>
          <w:sz w:val="20"/>
          <w:szCs w:val="20"/>
          <w:lang w:eastAsia="sl-SI"/>
        </w:rPr>
        <w:t xml:space="preserve">prispele na elektronski naslov: </w:t>
      </w:r>
      <w:hyperlink r:id="rId31" w:history="1">
        <w:r w:rsidRPr="0083415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sl-SI"/>
          </w:rPr>
          <w:t>gp.mgts@gov.si</w:t>
        </w:r>
      </w:hyperlink>
      <w:r>
        <w:rPr>
          <w:rFonts w:ascii="Arial" w:eastAsia="Times New Roman" w:hAnsi="Arial" w:cs="Arial"/>
          <w:color w:val="0000FF"/>
          <w:sz w:val="20"/>
          <w:szCs w:val="20"/>
          <w:u w:val="single"/>
          <w:lang w:eastAsia="sl-SI"/>
        </w:rPr>
        <w:t>.</w:t>
      </w:r>
      <w:r w:rsidRPr="00F622D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A1A10A6" w14:textId="77777777" w:rsidR="00D70F59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FDB11C" w14:textId="77777777" w:rsidR="00D70F59" w:rsidRPr="008604F9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604F9">
        <w:rPr>
          <w:rFonts w:ascii="Arial" w:eastAsia="Times New Roman" w:hAnsi="Arial" w:cs="Arial"/>
          <w:sz w:val="20"/>
          <w:szCs w:val="20"/>
          <w:lang w:eastAsia="sl-SI"/>
        </w:rPr>
        <w:t>Če se vloga pošlje priporočeno po pošti, se za dan oddaje vloge šteje datum oddaje na pošto (poštni žig). Če se vloga pošlje z navadno pošiljko, se za dan oddaje šteje dan, ko ministrstvo vlogo prejme. Osebno se vloga lahko odda v sprejemni pisarni ministrstva, na lokaciji Kotnikova ulica 5, Ljubljana, od 9.00 do 15.30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ure</w:t>
      </w:r>
      <w:r w:rsidRPr="008604F9">
        <w:rPr>
          <w:rFonts w:ascii="Arial" w:eastAsia="Times New Roman" w:hAnsi="Arial" w:cs="Arial"/>
          <w:sz w:val="20"/>
          <w:szCs w:val="20"/>
          <w:lang w:eastAsia="sl-SI"/>
        </w:rPr>
        <w:t xml:space="preserve"> (v petek do 14.30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ure</w:t>
      </w:r>
      <w:r w:rsidRPr="008604F9">
        <w:rPr>
          <w:rFonts w:ascii="Arial" w:eastAsia="Times New Roman" w:hAnsi="Arial" w:cs="Arial"/>
          <w:sz w:val="20"/>
          <w:szCs w:val="20"/>
          <w:lang w:eastAsia="sl-SI"/>
        </w:rPr>
        <w:t>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Pr="008604F9">
        <w:rPr>
          <w:rFonts w:ascii="Arial" w:eastAsia="Times New Roman" w:hAnsi="Arial" w:cs="Arial"/>
          <w:sz w:val="20"/>
          <w:szCs w:val="20"/>
          <w:lang w:eastAsia="sl-SI"/>
        </w:rPr>
        <w:t>Merilo za pravočasno prispelo vlogo je poštni žig, odtisnjen na ovojnici, ki za obravnavo ne sme biti kasnejši od datuma roka za predložitev vlog. V primeru, da iz ovojnice ne bo razviden datum na poštnem žigu in v primeru neposredne predložitve vloge na sedežu ministrstva, pa velja datum, vpisan na potrdilu ministrstva o prejemu pošiljke, ki prav tako ne sme biti kasnejši od datuma roka za predložitev vlog.</w:t>
      </w:r>
    </w:p>
    <w:p w14:paraId="13803BDE" w14:textId="77777777" w:rsidR="00D70F59" w:rsidRPr="008604F9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856C12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4E8FBFC3" w14:textId="77777777" w:rsidR="00D70F59" w:rsidRPr="00DE1B30" w:rsidRDefault="00D70F59" w:rsidP="00D70F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>Odpiranje vlog</w:t>
      </w:r>
    </w:p>
    <w:p w14:paraId="7BBC71C7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65EC9D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94F1B">
        <w:rPr>
          <w:rFonts w:ascii="Arial" w:eastAsia="Times New Roman" w:hAnsi="Arial" w:cs="Arial"/>
          <w:sz w:val="20"/>
          <w:szCs w:val="20"/>
          <w:lang w:eastAsia="sl-SI"/>
        </w:rPr>
        <w:t xml:space="preserve">Odpiranje vlog ne bo javno in bo izvedeno v prostorih ministrstva najkasneje v 8 delovnih dneh po datumu za prispetje vlog. </w:t>
      </w:r>
    </w:p>
    <w:p w14:paraId="6C32E653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BAED31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94F1B">
        <w:rPr>
          <w:rFonts w:ascii="Arial" w:eastAsia="Times New Roman" w:hAnsi="Arial" w:cs="Arial"/>
          <w:sz w:val="20"/>
          <w:szCs w:val="20"/>
          <w:lang w:eastAsia="sl-SI"/>
        </w:rPr>
        <w:t xml:space="preserve">Obravnavane bodo samo pravočasne vloge, ki bodo pravilno označene. </w:t>
      </w:r>
    </w:p>
    <w:p w14:paraId="592A787F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D782D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94F1B">
        <w:rPr>
          <w:rFonts w:ascii="Arial" w:eastAsia="Times New Roman" w:hAnsi="Arial" w:cs="Arial"/>
          <w:sz w:val="20"/>
          <w:szCs w:val="20"/>
          <w:lang w:eastAsia="sl-SI"/>
        </w:rPr>
        <w:t xml:space="preserve">Vse nepravočasne in/ali nepravilno označene vloge bodo s sklepom zavržene. </w:t>
      </w:r>
    </w:p>
    <w:p w14:paraId="15D84099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32F6CA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94F1B">
        <w:rPr>
          <w:rFonts w:ascii="Arial" w:eastAsia="Times New Roman" w:hAnsi="Arial" w:cs="Arial"/>
          <w:sz w:val="20"/>
          <w:szCs w:val="20"/>
          <w:lang w:eastAsia="sl-SI"/>
        </w:rPr>
        <w:t>Na odpiranju bo komisija preverila popolnost pravočasnih in pravilno označenih vlog.</w:t>
      </w:r>
    </w:p>
    <w:p w14:paraId="5232689E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E448F1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F50835">
        <w:rPr>
          <w:rFonts w:ascii="Arial" w:eastAsia="Times New Roman" w:hAnsi="Arial" w:cs="Arial"/>
          <w:sz w:val="20"/>
          <w:szCs w:val="20"/>
          <w:lang w:eastAsia="sl-SI"/>
        </w:rPr>
        <w:t xml:space="preserve">V primeru ugotovitve nepopolnosti vloge, bo komisija prijavitelja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elektronsko </w:t>
      </w:r>
      <w:r w:rsidRPr="00F50835">
        <w:rPr>
          <w:rFonts w:ascii="Arial" w:eastAsia="Times New Roman" w:hAnsi="Arial" w:cs="Arial"/>
          <w:sz w:val="20"/>
          <w:szCs w:val="20"/>
          <w:lang w:eastAsia="sl-SI"/>
        </w:rPr>
        <w:t xml:space="preserve">pozvala k dopolnitvi vloge. </w:t>
      </w:r>
      <w:r w:rsidRPr="00194F1B">
        <w:rPr>
          <w:rFonts w:ascii="Arial" w:eastAsia="Times New Roman" w:hAnsi="Arial" w:cs="Arial"/>
          <w:sz w:val="20"/>
          <w:szCs w:val="20"/>
          <w:lang w:eastAsia="sl-SI"/>
        </w:rPr>
        <w:t>Rok za dopolnitev vlog je osem (8) dni od prejema poziva. Nepopolne vloge, ki jih prijavitelji v roku za dopolnitev ne bodo dopolnili, bodo s sklepom zavržene.</w:t>
      </w:r>
      <w:r w:rsidRPr="00DE1B3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3ACF33B2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9FF0E1A" w14:textId="77777777" w:rsidR="00D70F59" w:rsidRPr="00DE1B30" w:rsidRDefault="00D70F59" w:rsidP="00D70F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Rok, v katerem bodo prijavitelji obveščeni o izidu javnega razpisa</w:t>
      </w:r>
    </w:p>
    <w:p w14:paraId="08CCDE81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80B349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94F1B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Po strokovnem pregledu in ocenjevanju vlog bo komisija pripravila končni predlog finančne podpore. Na osnovi končnega predloga finančne podpore bo odgovorna oseba ministrstva ali od nje pooblaščena oseba s sklepom odločila o razdelitvi sredstev. </w:t>
      </w:r>
    </w:p>
    <w:p w14:paraId="026AC8BF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A3F6F7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94F1B">
        <w:rPr>
          <w:rFonts w:ascii="Arial" w:eastAsia="Times New Roman" w:hAnsi="Arial" w:cs="Arial"/>
          <w:sz w:val="20"/>
          <w:szCs w:val="20"/>
          <w:lang w:eastAsia="sl-SI"/>
        </w:rPr>
        <w:t xml:space="preserve">Prijavitelji bodo o izidu njihove vloge obveščeni predvidoma v roku 60 dni od datuma odpiranja vlog. Hkrati s sklepom o dodelitvi sredstev bodo upravičenci pozvani k podpisu pogodbe. Če se upravičenec v roku osme (8) dni od prejema poziva k podpisu pogodbe na poziv pisno ne odzove, se šteje, da je umaknil vlogo za pridobitev sredstev. </w:t>
      </w:r>
    </w:p>
    <w:p w14:paraId="0E4648B0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5F4215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194F1B">
        <w:rPr>
          <w:rFonts w:ascii="Arial" w:eastAsia="Times New Roman" w:hAnsi="Arial" w:cs="Arial"/>
          <w:sz w:val="20"/>
          <w:szCs w:val="20"/>
          <w:lang w:eastAsia="sl-SI"/>
        </w:rPr>
        <w:t xml:space="preserve">Upravičenec sredstev je dolžan v tridesetih (30) dneh po prejemu pogodbe o sofinanciranju posredovati dva podpisana izvoda na naslov: Ministrstvo za gospodarstvo, turizem in šport, Kotnikova 5, 1000 Ljubljana, Slovenija. V nasprotnem primeru se šteje, da odstopa od podpisa pogodbe. </w:t>
      </w:r>
    </w:p>
    <w:p w14:paraId="1676F7AC" w14:textId="77777777" w:rsidR="00D70F59" w:rsidRPr="00194F1B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08455E" w14:textId="77777777" w:rsidR="00D70F59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87599F">
        <w:rPr>
          <w:rFonts w:ascii="Arial" w:eastAsia="Times New Roman" w:hAnsi="Arial" w:cs="Arial"/>
          <w:sz w:val="20"/>
          <w:szCs w:val="20"/>
          <w:lang w:eastAsia="sl-SI"/>
        </w:rPr>
        <w:t>Rezultati predmetnega javnega razpisa so informacije javnega značaja in bodo objavljeni na spletni strani ministrstva.</w:t>
      </w:r>
      <w:r w:rsidRPr="00EA25D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15A16B7" w14:textId="77777777" w:rsidR="00D70F59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265627" w14:textId="77777777" w:rsidR="00D70F59" w:rsidRPr="00DE1B30" w:rsidRDefault="00D70F59" w:rsidP="00D70F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E1B30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Dodatne informacije </w:t>
      </w:r>
    </w:p>
    <w:p w14:paraId="61C3F0C1" w14:textId="77777777" w:rsidR="00D70F59" w:rsidRPr="00DE1B30" w:rsidRDefault="00D70F59" w:rsidP="00D70F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80D1B" w14:textId="77777777" w:rsidR="00D70F59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B1B9B5A" w14:textId="77777777" w:rsidR="00D70F59" w:rsidRPr="0087599F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7599F">
        <w:rPr>
          <w:rFonts w:ascii="Arial" w:eastAsia="Times New Roman" w:hAnsi="Arial" w:cs="Arial"/>
          <w:bCs/>
          <w:sz w:val="20"/>
          <w:szCs w:val="20"/>
          <w:lang w:eastAsia="sl-SI"/>
        </w:rPr>
        <w:t>Za dodatne informacije o javnem razpisu lahko zainteresirani prijavitelji zaprosijo izključno po elektronski pošti na naslovu: gp.mgts@gov.si s pripisom: »Javni razpis za sofinanciranje gospodarskih struktur avtohtone slovenske narodne skupnosti v zamejstvu v letu 2024 - Gospodarske strukture Slovencev v zamejstvu v letu 2024«.</w:t>
      </w:r>
    </w:p>
    <w:p w14:paraId="5D239DAA" w14:textId="77777777" w:rsidR="00D70F59" w:rsidRPr="0087599F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A647805" w14:textId="77777777" w:rsidR="00D70F59" w:rsidRPr="0087599F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B5D3BEC" w14:textId="77777777" w:rsidR="00D70F59" w:rsidRPr="00DE1B30" w:rsidRDefault="00D70F59" w:rsidP="00D70F59">
      <w:pPr>
        <w:keepNext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2D099FD" w14:textId="77777777" w:rsidR="00D70F59" w:rsidRPr="00DE1B30" w:rsidRDefault="00D70F59" w:rsidP="00D70F59"/>
    <w:p w14:paraId="5FC23BC7" w14:textId="77777777" w:rsidR="004F6F25" w:rsidRDefault="004F6F25" w:rsidP="004F6F25">
      <w:pPr>
        <w:ind w:left="5664"/>
      </w:pPr>
      <w:r>
        <w:t>Matjaž HAN</w:t>
      </w:r>
    </w:p>
    <w:p w14:paraId="17B03CCE" w14:textId="58248D59" w:rsidR="00D70F59" w:rsidRDefault="004F6F25" w:rsidP="004F6F25">
      <w:pPr>
        <w:ind w:left="5664"/>
      </w:pPr>
      <w:r>
        <w:t xml:space="preserve">MINISTER </w:t>
      </w:r>
    </w:p>
    <w:p w14:paraId="75401F65" w14:textId="77777777" w:rsidR="004F6F25" w:rsidRDefault="004F6F25" w:rsidP="00D70F59"/>
    <w:p w14:paraId="5F195FA9" w14:textId="77777777" w:rsidR="00D70F59" w:rsidRPr="00DE1B30" w:rsidRDefault="00D70F59" w:rsidP="00D70F59"/>
    <w:bookmarkEnd w:id="0"/>
    <w:p w14:paraId="6B77C968" w14:textId="77777777" w:rsidR="00D70F59" w:rsidRPr="00520904" w:rsidRDefault="00D70F59" w:rsidP="00D70F59"/>
    <w:p w14:paraId="32035707" w14:textId="77777777" w:rsidR="00AB660A" w:rsidRPr="00D70F59" w:rsidRDefault="00AB660A" w:rsidP="00D70F59"/>
    <w:sectPr w:rsidR="00AB660A" w:rsidRPr="00D70F59" w:rsidSect="00783310">
      <w:headerReference w:type="default" r:id="rId32"/>
      <w:footerReference w:type="even" r:id="rId33"/>
      <w:footerReference w:type="default" r:id="rId34"/>
      <w:headerReference w:type="first" r:id="rId3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9915" w14:textId="77777777" w:rsidR="00D70F59" w:rsidRDefault="00D70F59" w:rsidP="008A4089">
      <w:pPr>
        <w:spacing w:line="240" w:lineRule="auto"/>
      </w:pPr>
      <w:r>
        <w:separator/>
      </w:r>
    </w:p>
  </w:endnote>
  <w:endnote w:type="continuationSeparator" w:id="0">
    <w:p w14:paraId="61ADC828" w14:textId="77777777" w:rsidR="00D70F59" w:rsidRDefault="00D70F5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7A4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792228" w14:textId="77777777" w:rsidR="00E678B9" w:rsidRDefault="00E678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DAC" w14:textId="77777777" w:rsidR="00E678B9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390080D" w14:textId="77777777" w:rsidR="00E678B9" w:rsidRDefault="00E678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C07" w14:textId="77777777" w:rsidR="00D70F59" w:rsidRDefault="00D70F59" w:rsidP="008A4089">
      <w:pPr>
        <w:spacing w:line="240" w:lineRule="auto"/>
      </w:pPr>
      <w:r>
        <w:separator/>
      </w:r>
    </w:p>
  </w:footnote>
  <w:footnote w:type="continuationSeparator" w:id="0">
    <w:p w14:paraId="084B78E5" w14:textId="77777777" w:rsidR="00D70F59" w:rsidRDefault="00D70F5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45D0" w14:textId="77777777" w:rsidR="00E678B9" w:rsidRPr="00110CBD" w:rsidRDefault="00E678B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7956296" w14:textId="77777777" w:rsidTr="00CA6DCC">
      <w:trPr>
        <w:trHeight w:hRule="exact" w:val="847"/>
      </w:trPr>
      <w:tc>
        <w:tcPr>
          <w:tcW w:w="649" w:type="dxa"/>
        </w:tcPr>
        <w:p w14:paraId="6A0E1DE6" w14:textId="77777777" w:rsidR="00E678B9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9DEEC6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7DE032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B2D196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C359EB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017128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102E6710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5F34961F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F700B6D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08735F5E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D1E5BE9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20B8CD6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CAD3831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4C51A417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7310DC9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68EBB60B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  <w:p w14:paraId="35B3A388" w14:textId="77777777" w:rsidR="00E678B9" w:rsidRPr="006D42D9" w:rsidRDefault="00E678B9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008503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F3E796" w14:textId="77777777" w:rsidR="00E678B9" w:rsidRPr="006D42D9" w:rsidRDefault="00E678B9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F93473" w14:textId="77777777" w:rsidR="00E678B9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55FB4C" wp14:editId="589643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FDEE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5E1904" w14:textId="77777777" w:rsidR="00E678B9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CF25DE1" w14:textId="77777777" w:rsidR="00D66869" w:rsidRPr="008F3500" w:rsidRDefault="00D66869" w:rsidP="00E678B9">
    <w:pPr>
      <w:pStyle w:val="Glava"/>
      <w:tabs>
        <w:tab w:val="clear" w:pos="4320"/>
        <w:tab w:val="clear" w:pos="8640"/>
        <w:tab w:val="left" w:pos="5112"/>
      </w:tabs>
      <w:spacing w:before="240" w:after="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908801E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627D0A5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007C2A4E" w14:textId="77777777" w:rsidR="00E678B9" w:rsidRPr="008F3500" w:rsidRDefault="00E678B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193"/>
    <w:multiLevelType w:val="multilevel"/>
    <w:tmpl w:val="5860C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4203AF"/>
    <w:multiLevelType w:val="hybridMultilevel"/>
    <w:tmpl w:val="58C84442"/>
    <w:lvl w:ilvl="0" w:tplc="44BA11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C6C47"/>
    <w:multiLevelType w:val="hybridMultilevel"/>
    <w:tmpl w:val="CF72F9C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6EF8"/>
    <w:multiLevelType w:val="hybridMultilevel"/>
    <w:tmpl w:val="E80EF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70AF1"/>
    <w:multiLevelType w:val="hybridMultilevel"/>
    <w:tmpl w:val="719C08F0"/>
    <w:lvl w:ilvl="0" w:tplc="44BA1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34CE0"/>
    <w:multiLevelType w:val="multilevel"/>
    <w:tmpl w:val="E3B4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6415256">
    <w:abstractNumId w:val="0"/>
  </w:num>
  <w:num w:numId="2" w16cid:durableId="1456757276">
    <w:abstractNumId w:val="1"/>
  </w:num>
  <w:num w:numId="3" w16cid:durableId="1081561839">
    <w:abstractNumId w:val="4"/>
  </w:num>
  <w:num w:numId="4" w16cid:durableId="1936673020">
    <w:abstractNumId w:val="5"/>
  </w:num>
  <w:num w:numId="5" w16cid:durableId="1037926120">
    <w:abstractNumId w:val="3"/>
  </w:num>
  <w:num w:numId="6" w16cid:durableId="155662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59"/>
    <w:rsid w:val="000150D5"/>
    <w:rsid w:val="002041F5"/>
    <w:rsid w:val="00291EE2"/>
    <w:rsid w:val="00352551"/>
    <w:rsid w:val="003702FA"/>
    <w:rsid w:val="00374230"/>
    <w:rsid w:val="004941CD"/>
    <w:rsid w:val="004F6F25"/>
    <w:rsid w:val="005141A8"/>
    <w:rsid w:val="00631DA0"/>
    <w:rsid w:val="00722E8D"/>
    <w:rsid w:val="0079510C"/>
    <w:rsid w:val="007A64F5"/>
    <w:rsid w:val="00863AA6"/>
    <w:rsid w:val="008A4089"/>
    <w:rsid w:val="00957C44"/>
    <w:rsid w:val="00AB660A"/>
    <w:rsid w:val="00AC1684"/>
    <w:rsid w:val="00B12F1A"/>
    <w:rsid w:val="00BA0488"/>
    <w:rsid w:val="00C3025A"/>
    <w:rsid w:val="00C77296"/>
    <w:rsid w:val="00D66869"/>
    <w:rsid w:val="00D70F59"/>
    <w:rsid w:val="00E678B9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0EE"/>
  <w15:chartTrackingRefBased/>
  <w15:docId w15:val="{8668A444-20C2-47E5-826C-1B7B1E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F59"/>
  </w:style>
  <w:style w:type="paragraph" w:styleId="Naslov1">
    <w:name w:val="heading 1"/>
    <w:basedOn w:val="Navaden"/>
    <w:next w:val="Navaden"/>
    <w:link w:val="Naslov1Znak"/>
    <w:qFormat/>
    <w:rsid w:val="00D70F59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D70F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"/>
    <w:rsid w:val="00D70F59"/>
    <w:rPr>
      <w:rFonts w:ascii="Arial" w:eastAsia="Times New Roman" w:hAnsi="Arial" w:cs="Times New Roman"/>
      <w:b/>
      <w:bCs/>
      <w:kern w:val="32"/>
      <w:szCs w:val="32"/>
    </w:rPr>
  </w:style>
  <w:style w:type="paragraph" w:styleId="Naslov">
    <w:name w:val="Title"/>
    <w:basedOn w:val="Navaden"/>
    <w:next w:val="Naslov1"/>
    <w:link w:val="NaslovZnak"/>
    <w:autoRedefine/>
    <w:qFormat/>
    <w:rsid w:val="00D70F5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D70F59"/>
    <w:rPr>
      <w:rFonts w:ascii="Arial" w:eastAsia="Times New Roman" w:hAnsi="Arial" w:cs="Times New Roman"/>
      <w:b/>
      <w:color w:val="000000"/>
      <w:sz w:val="24"/>
      <w:szCs w:val="20"/>
    </w:rPr>
  </w:style>
  <w:style w:type="table" w:customStyle="1" w:styleId="Tabelamrea3">
    <w:name w:val="Tabela – mreža3"/>
    <w:basedOn w:val="Navadnatabela"/>
    <w:next w:val="Tabelamre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20-01-3501" TargetMode="External"/><Relationship Id="rId18" Type="http://schemas.openxmlformats.org/officeDocument/2006/relationships/hyperlink" Target="http://www.uradni-list.si/1/objava.jsp?sop=2023-01-3596" TargetMode="External"/><Relationship Id="rId26" Type="http://schemas.openxmlformats.org/officeDocument/2006/relationships/hyperlink" Target="http://www.uradni-list.si/1/objava.jsp?sop=2022-01-2603" TargetMode="External"/><Relationship Id="rId21" Type="http://schemas.openxmlformats.org/officeDocument/2006/relationships/hyperlink" Target="http://www.uradni-list.si/1/objava.jsp?sop=2009-01-4372" TargetMode="External"/><Relationship Id="rId34" Type="http://schemas.openxmlformats.org/officeDocument/2006/relationships/footer" Target="footer2.xml"/><Relationship Id="rId7" Type="http://schemas.openxmlformats.org/officeDocument/2006/relationships/hyperlink" Target="http://www.uradni-list.si/1/objava.jsp?sop=2011-01-0449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yperlink" Target="http://www.uradni-list.si/1/objava.jsp?sop=2023-01-3594" TargetMode="External"/><Relationship Id="rId25" Type="http://schemas.openxmlformats.org/officeDocument/2006/relationships/hyperlink" Target="http://www.uradni-list.si/1/objava.jsp?sop=2022-01-239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2-01-3735" TargetMode="External"/><Relationship Id="rId20" Type="http://schemas.openxmlformats.org/officeDocument/2006/relationships/hyperlink" Target="http://www.uradni-list.si/1/objava.jsp?sop=2008-01-2615" TargetMode="External"/><Relationship Id="rId29" Type="http://schemas.openxmlformats.org/officeDocument/2006/relationships/hyperlink" Target="https://www.gov.si/drzavni-organi/ministrstva/ministrstvo-za-gospodarstvo-turizem-in-sport/javne-objav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5-01-3772" TargetMode="External"/><Relationship Id="rId24" Type="http://schemas.openxmlformats.org/officeDocument/2006/relationships/hyperlink" Target="http://www.uradni-list.si/1/objava.jsp?sop=2022-01-0202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3-01-2386" TargetMode="External"/><Relationship Id="rId23" Type="http://schemas.openxmlformats.org/officeDocument/2006/relationships/hyperlink" Target="http://www.uradni-list.si/1/objava.jsp?sop=2016-01-3446" TargetMode="External"/><Relationship Id="rId28" Type="http://schemas.openxmlformats.org/officeDocument/2006/relationships/hyperlink" Target="http://www.uradni-list.si/1/objava.jsp?sop=2023-01-305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radni-list.si/1/objava.jsp?sop=2015-01-2277" TargetMode="External"/><Relationship Id="rId19" Type="http://schemas.openxmlformats.org/officeDocument/2006/relationships/hyperlink" Target="http://www.uradni-list.si/1/objava.jsp?sop=2007-01-2694" TargetMode="External"/><Relationship Id="rId31" Type="http://schemas.openxmlformats.org/officeDocument/2006/relationships/hyperlink" Target="mailto:gp.mgts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3677" TargetMode="External"/><Relationship Id="rId14" Type="http://schemas.openxmlformats.org/officeDocument/2006/relationships/hyperlink" Target="http://www.uradni-list.si/1/objava.jsp?sop=2023-01-0348" TargetMode="External"/><Relationship Id="rId22" Type="http://schemas.openxmlformats.org/officeDocument/2006/relationships/hyperlink" Target="http://www.uradni-list.si/1/objava.jsp?sop=2013-01-0109" TargetMode="External"/><Relationship Id="rId27" Type="http://schemas.openxmlformats.org/officeDocument/2006/relationships/hyperlink" Target="http://www.uradni-list.si/1/objava.jsp?sop=2022-01-3730" TargetMode="External"/><Relationship Id="rId30" Type="http://schemas.openxmlformats.org/officeDocument/2006/relationships/hyperlink" Target="mailto:gp.mgts@gov.si" TargetMode="External"/><Relationship Id="rId35" Type="http://schemas.openxmlformats.org/officeDocument/2006/relationships/header" Target="header2.xml"/><Relationship Id="rId8" Type="http://schemas.openxmlformats.org/officeDocument/2006/relationships/hyperlink" Target="http://www.uradni-list.si/1/objava.jsp?sop=2013-21-0433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16</TotalTime>
  <Pages>6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Grilc</dc:creator>
  <cp:keywords/>
  <dc:description/>
  <cp:lastModifiedBy>Petra Grilc</cp:lastModifiedBy>
  <cp:revision>5</cp:revision>
  <cp:lastPrinted>2024-06-11T14:18:00Z</cp:lastPrinted>
  <dcterms:created xsi:type="dcterms:W3CDTF">2024-06-11T13:59:00Z</dcterms:created>
  <dcterms:modified xsi:type="dcterms:W3CDTF">2024-06-11T15:21:00Z</dcterms:modified>
</cp:coreProperties>
</file>