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D0" w:rsidRDefault="00D573D0" w:rsidP="0080517C">
      <w:pPr>
        <w:ind w:left="392"/>
      </w:pPr>
    </w:p>
    <w:p w:rsidR="00C009A2" w:rsidRPr="00F82572" w:rsidRDefault="003D1B3E" w:rsidP="00F82572">
      <w:pPr>
        <w:pStyle w:val="Naslov1"/>
        <w:rPr>
          <w:rFonts w:asciiTheme="minorHAnsi" w:hAnsiTheme="minorHAnsi" w:cstheme="minorHAnsi"/>
          <w:sz w:val="20"/>
          <w:szCs w:val="20"/>
        </w:rPr>
      </w:pPr>
      <w:r w:rsidRPr="00F82572">
        <w:rPr>
          <w:rFonts w:asciiTheme="minorHAnsi" w:hAnsiTheme="minorHAnsi" w:cstheme="minorHAnsi"/>
          <w:sz w:val="20"/>
          <w:szCs w:val="20"/>
        </w:rPr>
        <w:t>OKVIRNI TERMINSKI NAČRT OBJAVE NOVIH JAVNIH RAZPISOV DO KONCA 2020</w:t>
      </w:r>
    </w:p>
    <w:p w:rsidR="0080517C" w:rsidRDefault="00253095" w:rsidP="00F82572">
      <w:pPr>
        <w:jc w:val="both"/>
        <w:rPr>
          <w:rFonts w:cstheme="minorHAnsi"/>
          <w:sz w:val="20"/>
          <w:szCs w:val="20"/>
        </w:rPr>
      </w:pPr>
      <w:r w:rsidRPr="00F82572">
        <w:rPr>
          <w:rFonts w:cstheme="minorHAnsi"/>
          <w:sz w:val="20"/>
          <w:szCs w:val="20"/>
        </w:rPr>
        <w:t xml:space="preserve">V letu 2020 bomo objavili 18 novih javnih razpisov v skupni razpisani vrednosti 51,9 mio EUR. </w:t>
      </w:r>
      <w:r w:rsidR="0080517C" w:rsidRPr="00F82572">
        <w:rPr>
          <w:rFonts w:cstheme="minorHAnsi"/>
          <w:sz w:val="20"/>
          <w:szCs w:val="20"/>
        </w:rPr>
        <w:t>Do vključno marca 2020 bomo objavili 10 razpisov v skupni vrednosti 26,4 mio EUR</w:t>
      </w:r>
      <w:r w:rsidR="00DB2D1B">
        <w:rPr>
          <w:rFonts w:cstheme="minorHAnsi"/>
          <w:sz w:val="20"/>
          <w:szCs w:val="20"/>
        </w:rPr>
        <w:t>,</w:t>
      </w:r>
      <w:r w:rsidR="0080517C" w:rsidRPr="00F82572">
        <w:rPr>
          <w:rFonts w:cstheme="minorHAnsi"/>
          <w:sz w:val="20"/>
          <w:szCs w:val="20"/>
        </w:rPr>
        <w:t xml:space="preserve"> </w:t>
      </w:r>
      <w:r w:rsidR="00DB2D1B">
        <w:rPr>
          <w:rFonts w:cstheme="minorHAnsi"/>
          <w:sz w:val="20"/>
          <w:szCs w:val="20"/>
        </w:rPr>
        <w:t>K</w:t>
      </w:r>
      <w:r w:rsidR="0080517C" w:rsidRPr="00F82572">
        <w:rPr>
          <w:rFonts w:cstheme="minorHAnsi"/>
          <w:sz w:val="20"/>
          <w:szCs w:val="20"/>
        </w:rPr>
        <w:t>ar je 50,8%</w:t>
      </w:r>
      <w:r w:rsidR="00DB2D1B">
        <w:rPr>
          <w:rFonts w:cstheme="minorHAnsi"/>
          <w:sz w:val="20"/>
          <w:szCs w:val="20"/>
        </w:rPr>
        <w:t xml:space="preserve"> vrednosti</w:t>
      </w:r>
      <w:r w:rsidR="0080517C" w:rsidRPr="00F82572">
        <w:rPr>
          <w:rFonts w:cstheme="minorHAnsi"/>
          <w:sz w:val="20"/>
          <w:szCs w:val="20"/>
        </w:rPr>
        <w:t xml:space="preserve"> vseh na novo objavljenih javnih razpisov. V preostanku leta 2020, bomo objavili še vse preostale razpise, in sicer 8 razpi</w:t>
      </w:r>
      <w:r w:rsidR="00DB2D1B">
        <w:rPr>
          <w:rFonts w:cstheme="minorHAnsi"/>
          <w:sz w:val="20"/>
          <w:szCs w:val="20"/>
        </w:rPr>
        <w:t>sov v skupni vrednosti 25,5 mio EUR, k</w:t>
      </w:r>
      <w:r w:rsidR="0080517C" w:rsidRPr="00F82572">
        <w:rPr>
          <w:rFonts w:cstheme="minorHAnsi"/>
          <w:sz w:val="20"/>
          <w:szCs w:val="20"/>
        </w:rPr>
        <w:t>ar predstavlja 49,2% na novo objavljenih javnih razpisov.</w:t>
      </w:r>
    </w:p>
    <w:p w:rsidR="00F82572" w:rsidRPr="00F82572" w:rsidRDefault="00F82572" w:rsidP="00F82572">
      <w:pPr>
        <w:jc w:val="both"/>
        <w:rPr>
          <w:rFonts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tblpXSpec="right" w:tblpY="1"/>
        <w:tblOverlap w:val="never"/>
        <w:tblW w:w="14312" w:type="dxa"/>
        <w:jc w:val="right"/>
        <w:tblLayout w:type="fixed"/>
        <w:tblLook w:val="04A0" w:firstRow="1" w:lastRow="0" w:firstColumn="1" w:lastColumn="0" w:noHBand="0" w:noVBand="1"/>
      </w:tblPr>
      <w:tblGrid>
        <w:gridCol w:w="2410"/>
        <w:gridCol w:w="8358"/>
        <w:gridCol w:w="1843"/>
        <w:gridCol w:w="1701"/>
      </w:tblGrid>
      <w:tr w:rsidR="0080517C" w:rsidRPr="00F82572" w:rsidTr="0012406E">
        <w:trPr>
          <w:jc w:val="right"/>
        </w:trPr>
        <w:tc>
          <w:tcPr>
            <w:tcW w:w="2410" w:type="dxa"/>
          </w:tcPr>
          <w:p w:rsidR="003D1B3E" w:rsidRPr="00F82572" w:rsidRDefault="00DB2D1B" w:rsidP="0080517C">
            <w:pPr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</w:pPr>
            <w:r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  <w:t>NAZIV</w:t>
            </w:r>
            <w:r w:rsidR="0012406E" w:rsidRPr="00F82572"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  <w:t xml:space="preserve"> javnega razpisa</w:t>
            </w:r>
          </w:p>
        </w:tc>
        <w:tc>
          <w:tcPr>
            <w:tcW w:w="8358" w:type="dxa"/>
          </w:tcPr>
          <w:p w:rsidR="003D1B3E" w:rsidRPr="00F82572" w:rsidRDefault="0012406E" w:rsidP="0080517C">
            <w:pPr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</w:pPr>
            <w:r w:rsidRPr="00F82572"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  <w:t>Namen javnega razpisa</w:t>
            </w:r>
          </w:p>
        </w:tc>
        <w:tc>
          <w:tcPr>
            <w:tcW w:w="1843" w:type="dxa"/>
          </w:tcPr>
          <w:p w:rsidR="003D1B3E" w:rsidRPr="00F82572" w:rsidRDefault="0012406E" w:rsidP="0080517C">
            <w:pPr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</w:pPr>
            <w:r w:rsidRPr="00F82572"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  <w:t>Predvidena objava</w:t>
            </w:r>
            <w:r w:rsidR="00DB2D1B"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  <w:t xml:space="preserve"> v 2020</w:t>
            </w:r>
          </w:p>
        </w:tc>
        <w:tc>
          <w:tcPr>
            <w:tcW w:w="1701" w:type="dxa"/>
          </w:tcPr>
          <w:p w:rsidR="003D1B3E" w:rsidRPr="00F82572" w:rsidRDefault="005831FC" w:rsidP="0080517C">
            <w:pPr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</w:pPr>
            <w:r w:rsidRPr="00F82572"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  <w:t xml:space="preserve">Predvidena finančna sredstva </w:t>
            </w:r>
          </w:p>
        </w:tc>
      </w:tr>
      <w:tr w:rsidR="0080517C" w:rsidRPr="00F82572" w:rsidTr="0012406E">
        <w:trPr>
          <w:jc w:val="right"/>
        </w:trPr>
        <w:tc>
          <w:tcPr>
            <w:tcW w:w="2410" w:type="dxa"/>
          </w:tcPr>
          <w:p w:rsidR="00705650" w:rsidRPr="00F82572" w:rsidRDefault="00705650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 xml:space="preserve">Začetne investicije </w:t>
            </w:r>
            <w:proofErr w:type="spellStart"/>
            <w:r w:rsidRPr="00F82572">
              <w:rPr>
                <w:rFonts w:cstheme="minorHAnsi"/>
                <w:sz w:val="20"/>
                <w:szCs w:val="20"/>
              </w:rPr>
              <w:t>Pokolpje</w:t>
            </w:r>
            <w:proofErr w:type="spellEnd"/>
          </w:p>
        </w:tc>
        <w:tc>
          <w:tcPr>
            <w:tcW w:w="8358" w:type="dxa"/>
          </w:tcPr>
          <w:p w:rsidR="00705650" w:rsidRPr="00F82572" w:rsidRDefault="00C7059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705650" w:rsidRPr="00F82572">
              <w:rPr>
                <w:rFonts w:cstheme="minorHAnsi"/>
                <w:color w:val="000000"/>
                <w:sz w:val="20"/>
                <w:szCs w:val="20"/>
              </w:rPr>
              <w:t xml:space="preserve">ofinanciranje začetnih investicij v (ne)opredmetena osnovna sredstva na območju </w:t>
            </w:r>
            <w:proofErr w:type="spellStart"/>
            <w:r w:rsidR="00705650" w:rsidRPr="00F82572">
              <w:rPr>
                <w:rFonts w:cstheme="minorHAnsi"/>
                <w:color w:val="000000"/>
                <w:sz w:val="20"/>
                <w:szCs w:val="20"/>
              </w:rPr>
              <w:t>Pokolpja</w:t>
            </w:r>
            <w:proofErr w:type="spellEnd"/>
            <w:r w:rsidR="00705650" w:rsidRPr="00F82572">
              <w:rPr>
                <w:rFonts w:cstheme="minorHAnsi"/>
                <w:color w:val="000000"/>
                <w:sz w:val="20"/>
                <w:szCs w:val="20"/>
              </w:rPr>
              <w:t xml:space="preserve"> (povezava z vzpostavitvijo nove poslovne enote, razširitvijo zmogljivosti, bistveno spremembo proizvodnega ali storitvenega procesa; poseben sklop so investicije v turizmu).</w:t>
            </w:r>
          </w:p>
        </w:tc>
        <w:tc>
          <w:tcPr>
            <w:tcW w:w="1843" w:type="dxa"/>
          </w:tcPr>
          <w:p w:rsidR="00705650" w:rsidRPr="00F82572" w:rsidRDefault="003A5C11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OBJAVLJEN 24.1.2020</w:t>
            </w:r>
          </w:p>
        </w:tc>
        <w:tc>
          <w:tcPr>
            <w:tcW w:w="1701" w:type="dxa"/>
          </w:tcPr>
          <w:p w:rsidR="00705650" w:rsidRPr="00F82572" w:rsidRDefault="005831FC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410.344</w:t>
            </w:r>
            <w:r w:rsidR="009C080D" w:rsidRPr="00F82572">
              <w:rPr>
                <w:rFonts w:cstheme="minorHAnsi"/>
                <w:sz w:val="20"/>
                <w:szCs w:val="20"/>
              </w:rPr>
              <w:t xml:space="preserve">,00 </w:t>
            </w:r>
            <w:r w:rsidR="009C080D" w:rsidRPr="00F82572">
              <w:rPr>
                <w:rFonts w:cstheme="minorHAnsi"/>
                <w:color w:val="000000"/>
                <w:sz w:val="20"/>
                <w:szCs w:val="20"/>
              </w:rPr>
              <w:t>€</w:t>
            </w:r>
          </w:p>
        </w:tc>
      </w:tr>
      <w:tr w:rsidR="003A5C11" w:rsidRPr="00F82572" w:rsidTr="0012406E">
        <w:trPr>
          <w:jc w:val="right"/>
        </w:trPr>
        <w:tc>
          <w:tcPr>
            <w:tcW w:w="2410" w:type="dxa"/>
          </w:tcPr>
          <w:p w:rsidR="007F5E5A" w:rsidRPr="00F82572" w:rsidRDefault="007F5E5A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Spodbude za problemska območja z visoko brezposelnostjo HRT in </w:t>
            </w:r>
            <w:proofErr w:type="spellStart"/>
            <w:r w:rsidRPr="00F82572">
              <w:rPr>
                <w:rFonts w:cstheme="minorHAnsi"/>
                <w:color w:val="000000"/>
                <w:sz w:val="20"/>
                <w:szCs w:val="20"/>
              </w:rPr>
              <w:t>Pokolpje</w:t>
            </w:r>
            <w:proofErr w:type="spellEnd"/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 P2R</w:t>
            </w:r>
          </w:p>
        </w:tc>
        <w:tc>
          <w:tcPr>
            <w:tcW w:w="8358" w:type="dxa"/>
          </w:tcPr>
          <w:p w:rsidR="007F5E5A" w:rsidRPr="00F82572" w:rsidRDefault="007F5E5A" w:rsidP="0080517C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Spodbuditi zagon novoustanovljenih podjetij na problemskih območjih (</w:t>
            </w:r>
            <w:proofErr w:type="spellStart"/>
            <w:r w:rsidRPr="00F82572">
              <w:rPr>
                <w:rFonts w:cstheme="minorHAnsi"/>
                <w:color w:val="000000"/>
                <w:sz w:val="20"/>
                <w:szCs w:val="20"/>
              </w:rPr>
              <w:t>Pokolpje</w:t>
            </w:r>
            <w:proofErr w:type="spellEnd"/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, HRT) z visoko brezposelnostjo in obmejnih problemskih območjih. S podporo se izboljša poslovanje in izvedba razvojnih potencialov z namenom zniževanja stopnje umrljivosti v začetnem obdobju poslovanja ter izboljša lastna konkurenčnost na domačih oz. tujih trgih. Zasledujeta se razvoj podprtih podjetij in uspešen prenos idej podjetnih posameznikov in skupin v tržno uspešne podjeme in ustvarjanje novih podjetij s potencialom rasti, s poudarkom na razvoju in komercializaciji proizvodov, procesov in storitev. </w:t>
            </w:r>
          </w:p>
        </w:tc>
        <w:tc>
          <w:tcPr>
            <w:tcW w:w="1843" w:type="dxa"/>
          </w:tcPr>
          <w:p w:rsidR="007F5E5A" w:rsidRPr="00F82572" w:rsidRDefault="0049673A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Februar</w:t>
            </w:r>
          </w:p>
        </w:tc>
        <w:tc>
          <w:tcPr>
            <w:tcW w:w="1701" w:type="dxa"/>
          </w:tcPr>
          <w:p w:rsidR="005831FC" w:rsidRPr="00F82572" w:rsidRDefault="005831FC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2.909.900,59 € </w:t>
            </w:r>
          </w:p>
          <w:p w:rsidR="007F5E5A" w:rsidRPr="00F82572" w:rsidRDefault="007F5E5A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517C" w:rsidRPr="00F82572" w:rsidTr="0012406E">
        <w:trPr>
          <w:jc w:val="right"/>
        </w:trPr>
        <w:tc>
          <w:tcPr>
            <w:tcW w:w="2410" w:type="dxa"/>
          </w:tcPr>
          <w:p w:rsidR="00705650" w:rsidRPr="00F82572" w:rsidRDefault="00705650" w:rsidP="0080517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572">
              <w:rPr>
                <w:rFonts w:cstheme="minorHAnsi"/>
                <w:sz w:val="20"/>
                <w:szCs w:val="20"/>
              </w:rPr>
              <w:t>Eurostars</w:t>
            </w:r>
            <w:proofErr w:type="spellEnd"/>
          </w:p>
        </w:tc>
        <w:tc>
          <w:tcPr>
            <w:tcW w:w="8358" w:type="dxa"/>
          </w:tcPr>
          <w:p w:rsidR="00705650" w:rsidRPr="00F82572" w:rsidRDefault="00705650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 xml:space="preserve">Namen javnega razpisa je izvajanje programa </w:t>
            </w:r>
            <w:proofErr w:type="spellStart"/>
            <w:r w:rsidRPr="00F82572">
              <w:rPr>
                <w:rFonts w:cstheme="minorHAnsi"/>
                <w:sz w:val="20"/>
                <w:szCs w:val="20"/>
              </w:rPr>
              <w:t>Eurostars</w:t>
            </w:r>
            <w:proofErr w:type="spellEnd"/>
            <w:r w:rsidRPr="00F82572">
              <w:rPr>
                <w:rFonts w:cstheme="minorHAnsi"/>
                <w:sz w:val="20"/>
                <w:szCs w:val="20"/>
              </w:rPr>
              <w:t xml:space="preserve"> 2. </w:t>
            </w:r>
            <w:proofErr w:type="spellStart"/>
            <w:r w:rsidRPr="00F82572">
              <w:rPr>
                <w:rFonts w:cstheme="minorHAnsi"/>
                <w:sz w:val="20"/>
                <w:szCs w:val="20"/>
              </w:rPr>
              <w:t>Eurostars</w:t>
            </w:r>
            <w:proofErr w:type="spellEnd"/>
            <w:r w:rsidRPr="00F82572">
              <w:rPr>
                <w:rFonts w:cstheme="minorHAnsi"/>
                <w:sz w:val="20"/>
                <w:szCs w:val="20"/>
              </w:rPr>
              <w:t xml:space="preserve"> 2 je program, ki s sofinanciranjem podpira </w:t>
            </w:r>
            <w:proofErr w:type="spellStart"/>
            <w:r w:rsidRPr="00F82572">
              <w:rPr>
                <w:rFonts w:cstheme="minorHAnsi"/>
                <w:sz w:val="20"/>
                <w:szCs w:val="20"/>
              </w:rPr>
              <w:t>MSPje</w:t>
            </w:r>
            <w:proofErr w:type="spellEnd"/>
            <w:r w:rsidRPr="00F82572">
              <w:rPr>
                <w:rFonts w:cstheme="minorHAnsi"/>
                <w:sz w:val="20"/>
                <w:szCs w:val="20"/>
              </w:rPr>
              <w:t>, ki se intenzivno ukvarjajo z raziskavami in razvojem in njihove partnerje, pri izvajanju njihovih skupnih inovativnih projektov, ki imajo predviden kratek čas vstopa na trg.</w:t>
            </w:r>
          </w:p>
        </w:tc>
        <w:tc>
          <w:tcPr>
            <w:tcW w:w="1843" w:type="dxa"/>
          </w:tcPr>
          <w:p w:rsidR="00705650" w:rsidRPr="00F82572" w:rsidRDefault="00705650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Februar</w:t>
            </w:r>
          </w:p>
        </w:tc>
        <w:tc>
          <w:tcPr>
            <w:tcW w:w="1701" w:type="dxa"/>
          </w:tcPr>
          <w:p w:rsidR="005831FC" w:rsidRPr="00F82572" w:rsidRDefault="005831FC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1.500.000,00 €</w:t>
            </w:r>
          </w:p>
          <w:p w:rsidR="005831FC" w:rsidRPr="00F82572" w:rsidRDefault="005831FC" w:rsidP="0080517C">
            <w:pPr>
              <w:rPr>
                <w:rFonts w:cstheme="minorHAnsi"/>
                <w:vanish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vanish/>
                <w:color w:val="000000"/>
                <w:sz w:val="20"/>
                <w:szCs w:val="20"/>
              </w:rPr>
              <w:t>2.909.900,59 €</w:t>
            </w:r>
          </w:p>
          <w:p w:rsidR="00705650" w:rsidRPr="00F82572" w:rsidRDefault="00705650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2EF" w:rsidRPr="00F82572" w:rsidTr="0012406E">
        <w:trPr>
          <w:jc w:val="right"/>
        </w:trPr>
        <w:tc>
          <w:tcPr>
            <w:tcW w:w="2410" w:type="dxa"/>
          </w:tcPr>
          <w:p w:rsidR="00E952EF" w:rsidRPr="00F82572" w:rsidRDefault="00E952EF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Začetne investicije HRT</w:t>
            </w:r>
          </w:p>
        </w:tc>
        <w:tc>
          <w:tcPr>
            <w:tcW w:w="8358" w:type="dxa"/>
          </w:tcPr>
          <w:p w:rsidR="00E952EF" w:rsidRPr="00F82572" w:rsidRDefault="00E952EF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Sofinanciranje začetnih investicij v opredmetena in neopredmetena osnovna sredstva v upravičenih občinah, z namenom vzpostavitve nove poslovne enote, razširitve zmogljivosti ali diverzifikacije proizvodnje.</w:t>
            </w:r>
          </w:p>
        </w:tc>
        <w:tc>
          <w:tcPr>
            <w:tcW w:w="1843" w:type="dxa"/>
          </w:tcPr>
          <w:p w:rsidR="00E952EF" w:rsidRPr="00F82572" w:rsidRDefault="00147259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Februar</w:t>
            </w:r>
          </w:p>
        </w:tc>
        <w:tc>
          <w:tcPr>
            <w:tcW w:w="1701" w:type="dxa"/>
          </w:tcPr>
          <w:p w:rsidR="00E952EF" w:rsidRPr="00F82572" w:rsidRDefault="00E952EF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681.000,00 € </w:t>
            </w:r>
          </w:p>
          <w:p w:rsidR="00E952EF" w:rsidRPr="00F82572" w:rsidRDefault="00E952EF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406E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A" w:rsidRPr="00F82572" w:rsidRDefault="007F5E5A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Integralni turistični produkti 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A" w:rsidRPr="00F82572" w:rsidRDefault="007F5E5A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Namen javnega razpisa je spodbuditi podjetja k bolj inovativnemu pristopu pri oblikovanju turističnih produktov/storitev in pomagati pri trženju in promociji. Prav tako se želi s sofinanciranjem razvoja in promocije turističnih produktov turističnemu gospodarstvu (malim in srednje velikim podjetjem: MSP) omogočiti pogoje za pospešen razvoj turistične dejavnosti malih in srednjih podjetij. Spodbuditi se želi tudi način poslovanja, ki temelji na načelih trajnostnega razvoja in digitalnega trženja</w:t>
            </w:r>
          </w:p>
        </w:tc>
        <w:tc>
          <w:tcPr>
            <w:tcW w:w="1843" w:type="dxa"/>
          </w:tcPr>
          <w:p w:rsidR="007F5E5A" w:rsidRPr="00F82572" w:rsidRDefault="007F5E5A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Februar</w:t>
            </w:r>
          </w:p>
        </w:tc>
        <w:tc>
          <w:tcPr>
            <w:tcW w:w="1701" w:type="dxa"/>
          </w:tcPr>
          <w:p w:rsidR="005831FC" w:rsidRPr="00F82572" w:rsidRDefault="005831FC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3.000.000,00 €</w:t>
            </w:r>
          </w:p>
          <w:p w:rsidR="007F5E5A" w:rsidRPr="00F82572" w:rsidRDefault="007F5E5A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517C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E0" w:rsidRPr="00F82572" w:rsidRDefault="002738E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Spodbujanje uvajanja okolijskih znakov za turistične nastanitve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E0" w:rsidRPr="00F82572" w:rsidRDefault="002738E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Spodbuditi deležnike, ki opravljajo turistično dejavnost (nastanitvene zmogljivosti) k uvajanju ekološkega managementa in ekoloških standardov v turističnih nastanitvenih objektih</w:t>
            </w:r>
          </w:p>
        </w:tc>
        <w:tc>
          <w:tcPr>
            <w:tcW w:w="1843" w:type="dxa"/>
          </w:tcPr>
          <w:p w:rsidR="002738E0" w:rsidRPr="00F82572" w:rsidRDefault="002738E0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Marec</w:t>
            </w:r>
          </w:p>
        </w:tc>
        <w:tc>
          <w:tcPr>
            <w:tcW w:w="1701" w:type="dxa"/>
          </w:tcPr>
          <w:p w:rsidR="009C080D" w:rsidRPr="00F82572" w:rsidRDefault="009C080D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105.000,00 €</w:t>
            </w:r>
          </w:p>
          <w:p w:rsidR="002738E0" w:rsidRPr="00F82572" w:rsidRDefault="002738E0" w:rsidP="00805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406E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4" w:rsidRPr="00F82572" w:rsidRDefault="00930B04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Spodbude za zagon podjetij P2 v letu 2020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4" w:rsidRPr="00F82572" w:rsidRDefault="00C7059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930B04" w:rsidRPr="00F82572">
              <w:rPr>
                <w:rFonts w:cstheme="minorHAnsi"/>
                <w:color w:val="000000"/>
                <w:sz w:val="20"/>
                <w:szCs w:val="20"/>
              </w:rPr>
              <w:t>podbujanje ustanovitve, zagona in razvoja nastajajočih podjetij (inovativnih start-upov) v prvi razvojni fazi s poudarkom na razvoju in komercializaciji proizvodov, procesov in storitev.</w:t>
            </w:r>
          </w:p>
        </w:tc>
        <w:tc>
          <w:tcPr>
            <w:tcW w:w="1843" w:type="dxa"/>
          </w:tcPr>
          <w:p w:rsidR="00930B04" w:rsidRPr="00F82572" w:rsidRDefault="00930B04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Marec</w:t>
            </w:r>
          </w:p>
        </w:tc>
        <w:tc>
          <w:tcPr>
            <w:tcW w:w="1701" w:type="dxa"/>
          </w:tcPr>
          <w:p w:rsidR="009C080D" w:rsidRPr="00F82572" w:rsidRDefault="009C080D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2.160.000,00 €</w:t>
            </w:r>
          </w:p>
          <w:p w:rsidR="00930B04" w:rsidRPr="00F82572" w:rsidRDefault="00930B04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1FC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A" w:rsidRPr="00F82572" w:rsidRDefault="007F5E5A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Spodbude za MSP za razvoj in uvajanje novih produktov v lesarstvu 4.0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A" w:rsidRPr="00F82572" w:rsidRDefault="00C7059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7F5E5A" w:rsidRPr="00F82572">
              <w:rPr>
                <w:rFonts w:cstheme="minorHAnsi"/>
                <w:color w:val="000000"/>
                <w:sz w:val="20"/>
                <w:szCs w:val="20"/>
              </w:rPr>
              <w:t>podbujanje uvajanja izdelkov, storitev in procesov na področju predelave lesa in lesnih tvoriv, ki bodo prispevali k večji snovni in energetski učinkovitosti. S spodbudami želimo povečati rast MSP ter dodane vrednosti na zaposlenega oz. zaposlovati nove ljudi.</w:t>
            </w:r>
          </w:p>
        </w:tc>
        <w:tc>
          <w:tcPr>
            <w:tcW w:w="1843" w:type="dxa"/>
          </w:tcPr>
          <w:p w:rsidR="007F5E5A" w:rsidRPr="00F82572" w:rsidRDefault="007F5E5A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Marec</w:t>
            </w:r>
          </w:p>
        </w:tc>
        <w:tc>
          <w:tcPr>
            <w:tcW w:w="1701" w:type="dxa"/>
          </w:tcPr>
          <w:p w:rsidR="009C080D" w:rsidRPr="00F82572" w:rsidRDefault="009C080D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7.193.022,21 €</w:t>
            </w:r>
          </w:p>
          <w:p w:rsidR="007F5E5A" w:rsidRPr="00F82572" w:rsidRDefault="007F5E5A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517C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50" w:rsidRPr="00F82572" w:rsidRDefault="006B0EC6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Poslovni klubi </w:t>
            </w:r>
            <w:r w:rsidR="00705650" w:rsidRPr="00F82572">
              <w:rPr>
                <w:rFonts w:cstheme="minorHAnsi"/>
                <w:color w:val="000000"/>
                <w:sz w:val="20"/>
                <w:szCs w:val="20"/>
              </w:rPr>
              <w:t>v letu 2020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50" w:rsidRPr="00F82572" w:rsidRDefault="0070565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Namen javnega razpisa je podpreti delovanje že delujočih slovenskih poslovnih klubov v tujini pri izvajanju aktivnosti, povezanih z internacionalizacijo slovenskega gospodarstva</w:t>
            </w:r>
          </w:p>
        </w:tc>
        <w:tc>
          <w:tcPr>
            <w:tcW w:w="1843" w:type="dxa"/>
          </w:tcPr>
          <w:p w:rsidR="00705650" w:rsidRPr="00F82572" w:rsidRDefault="00705650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Marec</w:t>
            </w:r>
          </w:p>
        </w:tc>
        <w:tc>
          <w:tcPr>
            <w:tcW w:w="1701" w:type="dxa"/>
          </w:tcPr>
          <w:p w:rsidR="009C080D" w:rsidRPr="00F82572" w:rsidRDefault="009C080D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450.000,00 €</w:t>
            </w:r>
          </w:p>
          <w:p w:rsidR="00705650" w:rsidRPr="00F82572" w:rsidRDefault="00705650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1FC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A" w:rsidRPr="00F82572" w:rsidRDefault="007F5E5A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Planinske koče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A" w:rsidRPr="00F82572" w:rsidRDefault="007F5E5A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Namen javnega razpisa je spodbuda k ukrepom za rabo obnovljivih virov energije in za zmanjšanje rabe energije in snovi, prav tako spodbuda k razvoju oziroma preoblikovanju turističnih proizvodov in načinov poslovanja v skladu s trajnostnimi usmeritvami (zeleni proizvodi) za izboljšanje konkurenčnega položaja na globalnem trgu.</w:t>
            </w:r>
          </w:p>
        </w:tc>
        <w:tc>
          <w:tcPr>
            <w:tcW w:w="1843" w:type="dxa"/>
          </w:tcPr>
          <w:p w:rsidR="007F5E5A" w:rsidRPr="00F82572" w:rsidRDefault="007F5E5A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Marec</w:t>
            </w:r>
          </w:p>
        </w:tc>
        <w:tc>
          <w:tcPr>
            <w:tcW w:w="1701" w:type="dxa"/>
          </w:tcPr>
          <w:p w:rsidR="009C080D" w:rsidRPr="00F82572" w:rsidRDefault="009C080D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7.971.865,40 €</w:t>
            </w:r>
          </w:p>
          <w:p w:rsidR="007F5E5A" w:rsidRPr="00F82572" w:rsidRDefault="007F5E5A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2EF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F" w:rsidRPr="00F82572" w:rsidRDefault="00E952EF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Socialna podjetja - spodbude za nastajanje podjetij in mladinskih zadrug 2020-2022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F" w:rsidRPr="00F82572" w:rsidRDefault="00E952EF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Povečanje števila socialnih podjetij ter izboljšanje poslovanja obstoječih socialnih podjetij v zagonski fazi. </w:t>
            </w:r>
          </w:p>
        </w:tc>
        <w:tc>
          <w:tcPr>
            <w:tcW w:w="1843" w:type="dxa"/>
          </w:tcPr>
          <w:p w:rsidR="00E952EF" w:rsidRPr="00F82572" w:rsidRDefault="00E952EF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1701" w:type="dxa"/>
          </w:tcPr>
          <w:p w:rsidR="00E952EF" w:rsidRPr="00F82572" w:rsidRDefault="00E952EF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2.217.207,39 €</w:t>
            </w:r>
          </w:p>
          <w:p w:rsidR="00E952EF" w:rsidRPr="00F82572" w:rsidRDefault="00E952EF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1FC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4" w:rsidRPr="00F82572" w:rsidRDefault="00930B04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Kompetenčne centre za dizajn management 3.0 (2020-2022)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4" w:rsidRPr="00F82572" w:rsidRDefault="00930B04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Predstaviti, vpeljati in nadgraditi dizajn management in </w:t>
            </w:r>
            <w:proofErr w:type="spellStart"/>
            <w:r w:rsidRPr="00F82572">
              <w:rPr>
                <w:rFonts w:cstheme="minorHAnsi"/>
                <w:color w:val="000000"/>
                <w:sz w:val="20"/>
                <w:szCs w:val="20"/>
              </w:rPr>
              <w:t>zna</w:t>
            </w:r>
            <w:r w:rsidR="006B0EC6">
              <w:rPr>
                <w:rFonts w:cstheme="minorHAnsi"/>
                <w:color w:val="000000"/>
                <w:sz w:val="20"/>
                <w:szCs w:val="20"/>
              </w:rPr>
              <w:t>mčenje</w:t>
            </w:r>
            <w:proofErr w:type="spellEnd"/>
            <w:r w:rsidR="006B0EC6">
              <w:rPr>
                <w:rFonts w:cstheme="minorHAnsi"/>
                <w:color w:val="000000"/>
                <w:sz w:val="20"/>
                <w:szCs w:val="20"/>
              </w:rPr>
              <w:t xml:space="preserve"> v slovenskih podjetjih, </w:t>
            </w:r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načrtno razvijati s tem povezane </w:t>
            </w:r>
            <w:r w:rsidR="006B0EC6">
              <w:rPr>
                <w:rFonts w:cstheme="minorHAnsi"/>
                <w:color w:val="000000"/>
                <w:sz w:val="20"/>
                <w:szCs w:val="20"/>
              </w:rPr>
              <w:t>kompetence vodij in zaposlenih,</w:t>
            </w:r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 skozi dizajn management podjetja usmeriti proti trajnostnim poslovnim modelom, okrepiti uspešnost delovanja in povečati konkurenčnost slovenskih podjetij, vključno s storitvenim sektorjem, ohraniti oz. povečati število delovnih mest v vključenih podjetjih, izboljšati prepoznavnost slovenskih blagovnih znamk in produktov slovenskega oblikovanja.</w:t>
            </w:r>
          </w:p>
        </w:tc>
        <w:tc>
          <w:tcPr>
            <w:tcW w:w="1843" w:type="dxa"/>
          </w:tcPr>
          <w:p w:rsidR="00930B04" w:rsidRPr="00F82572" w:rsidRDefault="00930B04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1701" w:type="dxa"/>
          </w:tcPr>
          <w:p w:rsidR="009C080D" w:rsidRPr="00F82572" w:rsidRDefault="009C080D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2.100.000,00 €</w:t>
            </w:r>
          </w:p>
          <w:p w:rsidR="00930B04" w:rsidRPr="00F82572" w:rsidRDefault="00930B04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1FC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4" w:rsidRPr="00F82572" w:rsidRDefault="00930B04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Spodbude za problemska območja z visoko brezposelnostjo HRT in </w:t>
            </w:r>
            <w:proofErr w:type="spellStart"/>
            <w:r w:rsidRPr="00F82572">
              <w:rPr>
                <w:rFonts w:cstheme="minorHAnsi"/>
                <w:color w:val="000000"/>
                <w:sz w:val="20"/>
                <w:szCs w:val="20"/>
              </w:rPr>
              <w:t>Pokolpje</w:t>
            </w:r>
            <w:proofErr w:type="spellEnd"/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4" w:rsidRPr="00F82572" w:rsidRDefault="00C7059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="00930B04" w:rsidRPr="00F82572">
              <w:rPr>
                <w:rFonts w:cstheme="minorHAnsi"/>
                <w:color w:val="000000"/>
                <w:sz w:val="20"/>
                <w:szCs w:val="20"/>
              </w:rPr>
              <w:t>ečji krediti</w:t>
            </w:r>
          </w:p>
        </w:tc>
        <w:tc>
          <w:tcPr>
            <w:tcW w:w="1843" w:type="dxa"/>
          </w:tcPr>
          <w:p w:rsidR="00930B04" w:rsidRPr="00F82572" w:rsidRDefault="00930B04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Junij</w:t>
            </w:r>
          </w:p>
        </w:tc>
        <w:tc>
          <w:tcPr>
            <w:tcW w:w="1701" w:type="dxa"/>
          </w:tcPr>
          <w:p w:rsidR="009C080D" w:rsidRPr="00F82572" w:rsidRDefault="009C080D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4.056.000,00 €</w:t>
            </w:r>
          </w:p>
          <w:p w:rsidR="00930B04" w:rsidRPr="00F82572" w:rsidRDefault="00930B04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1FC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90" w:rsidRPr="00F82572" w:rsidRDefault="00C7059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Spodbujanje partnerstev za učinkovitejši nastop na tujih trgih - povezava na S4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90" w:rsidRPr="00F82572" w:rsidRDefault="00C7059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spodbujanje povezovanj podjetij z namenom nižanja tveganj vstopa na izbrani tuji trg, pov</w:t>
            </w:r>
            <w:r w:rsidR="006B0EC6">
              <w:rPr>
                <w:rFonts w:cstheme="minorHAnsi"/>
                <w:color w:val="000000"/>
                <w:sz w:val="20"/>
                <w:szCs w:val="20"/>
              </w:rPr>
              <w:t xml:space="preserve">ezovanja kompetenc, kapacitet, </w:t>
            </w:r>
            <w:r w:rsidRPr="00F82572">
              <w:rPr>
                <w:rFonts w:cstheme="minorHAnsi"/>
                <w:color w:val="000000"/>
                <w:sz w:val="20"/>
                <w:szCs w:val="20"/>
              </w:rPr>
              <w:t>prenos izkušenj, znanj in drugih poslovnih povezav, nižanje stroškov podjetjem in spodbujanje mednarodne aktivnosti. Povezava na SRIP-e, vsebina iz Strategije pametne specializacije.</w:t>
            </w:r>
          </w:p>
        </w:tc>
        <w:tc>
          <w:tcPr>
            <w:tcW w:w="1843" w:type="dxa"/>
          </w:tcPr>
          <w:p w:rsidR="00C70590" w:rsidRPr="00F82572" w:rsidRDefault="00C70590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Junij</w:t>
            </w:r>
          </w:p>
        </w:tc>
        <w:tc>
          <w:tcPr>
            <w:tcW w:w="1701" w:type="dxa"/>
          </w:tcPr>
          <w:p w:rsidR="009C080D" w:rsidRPr="00F82572" w:rsidRDefault="009C080D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2.560.000,00 €</w:t>
            </w:r>
          </w:p>
          <w:p w:rsidR="00C70590" w:rsidRPr="00F82572" w:rsidRDefault="00C70590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365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365" w:rsidRPr="00F82572" w:rsidRDefault="00BC4365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Javni razpis za dodeljevanje spodbud v okviru iniciative EUREKA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365" w:rsidRPr="00F82572" w:rsidRDefault="00BC4365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Omogočiti podjetjem, ki svojo dejavnost izvajajo na območju Republike Slovenije, polnopravno vključevanje v projekte mednarodnega programa EUREKA in spodbujanje njihove udeležbe na vseh tehnoloških področjih programa EUREKA, v skladu s cilji Operativnega programa za izvajanje evropske kohezijske politike in s prednostnimi področji uporabe veljavne S4. </w:t>
            </w:r>
          </w:p>
        </w:tc>
        <w:tc>
          <w:tcPr>
            <w:tcW w:w="1843" w:type="dxa"/>
          </w:tcPr>
          <w:p w:rsidR="00BC4365" w:rsidRPr="00F82572" w:rsidRDefault="00BC4365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Julij</w:t>
            </w:r>
          </w:p>
        </w:tc>
        <w:tc>
          <w:tcPr>
            <w:tcW w:w="1701" w:type="dxa"/>
          </w:tcPr>
          <w:p w:rsidR="009C080D" w:rsidRPr="00F82572" w:rsidRDefault="009C080D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3.000.000,00 €</w:t>
            </w:r>
          </w:p>
          <w:p w:rsidR="00BC4365" w:rsidRPr="00F82572" w:rsidRDefault="00BC4365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1FC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90" w:rsidRPr="00F82572" w:rsidRDefault="00C7059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Mladi raziskovalci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90" w:rsidRPr="00F82572" w:rsidRDefault="00C7059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Financiranja mladih raziskovalcev v podjetjih</w:t>
            </w:r>
          </w:p>
        </w:tc>
        <w:tc>
          <w:tcPr>
            <w:tcW w:w="1843" w:type="dxa"/>
          </w:tcPr>
          <w:p w:rsidR="00C70590" w:rsidRPr="00F82572" w:rsidRDefault="00C70590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Julij</w:t>
            </w:r>
          </w:p>
        </w:tc>
        <w:tc>
          <w:tcPr>
            <w:tcW w:w="1701" w:type="dxa"/>
          </w:tcPr>
          <w:p w:rsidR="009C080D" w:rsidRPr="00F82572" w:rsidRDefault="009C080D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5.600.000,00 €</w:t>
            </w:r>
          </w:p>
          <w:p w:rsidR="00C70590" w:rsidRPr="00F82572" w:rsidRDefault="00C70590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1FC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90" w:rsidRPr="00F82572" w:rsidRDefault="00C7059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Spodbujanje procesnih izboljšav podjetij v letu 2020-2021 (Procesne izboljšave 2020-2021)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90" w:rsidRPr="00F82572" w:rsidRDefault="00C7059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Izboljšati konkurenčnost podjetij preko procesnih izboljšav in spodbujanje prehoda v (S)Industrijo 4.0</w:t>
            </w:r>
          </w:p>
        </w:tc>
        <w:tc>
          <w:tcPr>
            <w:tcW w:w="1843" w:type="dxa"/>
          </w:tcPr>
          <w:p w:rsidR="00C70590" w:rsidRPr="00F82572" w:rsidRDefault="00C70590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September</w:t>
            </w:r>
          </w:p>
        </w:tc>
        <w:tc>
          <w:tcPr>
            <w:tcW w:w="1701" w:type="dxa"/>
          </w:tcPr>
          <w:p w:rsidR="006254B4" w:rsidRPr="00F82572" w:rsidRDefault="006254B4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1.500.000,00 €</w:t>
            </w:r>
          </w:p>
          <w:p w:rsidR="00C70590" w:rsidRPr="00F82572" w:rsidRDefault="00C70590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517C" w:rsidRPr="00F82572" w:rsidTr="0012406E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Pr="00F82572" w:rsidRDefault="001543BB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 xml:space="preserve">Spodbude za problemska območja z visoko brezposelnostjo HRT in </w:t>
            </w:r>
            <w:proofErr w:type="spellStart"/>
            <w:r w:rsidRPr="00F82572">
              <w:rPr>
                <w:rFonts w:cstheme="minorHAnsi"/>
                <w:color w:val="000000"/>
                <w:sz w:val="20"/>
                <w:szCs w:val="20"/>
              </w:rPr>
              <w:t>Pokolpje</w:t>
            </w:r>
            <w:proofErr w:type="spellEnd"/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Pr="00F82572" w:rsidRDefault="00C70590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1543BB" w:rsidRPr="00F82572">
              <w:rPr>
                <w:rFonts w:cstheme="minorHAnsi"/>
                <w:color w:val="000000"/>
                <w:sz w:val="20"/>
                <w:szCs w:val="20"/>
              </w:rPr>
              <w:t>eposredni kredit Slovenskega podjetniškega sklada po ugodni pogodbeni obrestni meri, ki omogoča lažji dostop do ugodnih virov financiranja za financiranje rasti in razvoja podjetij, investicij in tekočega poslovanja.</w:t>
            </w:r>
          </w:p>
        </w:tc>
        <w:tc>
          <w:tcPr>
            <w:tcW w:w="1843" w:type="dxa"/>
          </w:tcPr>
          <w:p w:rsidR="001543BB" w:rsidRPr="00F82572" w:rsidRDefault="001543BB" w:rsidP="0080517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1701" w:type="dxa"/>
          </w:tcPr>
          <w:p w:rsidR="00E952EF" w:rsidRPr="00F82572" w:rsidRDefault="00E952EF" w:rsidP="0080517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572">
              <w:rPr>
                <w:rFonts w:cstheme="minorHAnsi"/>
                <w:color w:val="000000"/>
                <w:sz w:val="20"/>
                <w:szCs w:val="20"/>
              </w:rPr>
              <w:t>4.540.000,00 €</w:t>
            </w:r>
          </w:p>
          <w:p w:rsidR="001543BB" w:rsidRPr="00F82572" w:rsidRDefault="001543BB" w:rsidP="0080517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0517C" w:rsidRPr="00F82572" w:rsidRDefault="0080517C">
      <w:pPr>
        <w:rPr>
          <w:rFonts w:cstheme="minorHAnsi"/>
          <w:sz w:val="20"/>
          <w:szCs w:val="20"/>
        </w:rPr>
      </w:pPr>
    </w:p>
    <w:p w:rsidR="00D5158C" w:rsidRPr="00F82572" w:rsidRDefault="00D5158C" w:rsidP="003176B1">
      <w:pPr>
        <w:pStyle w:val="Naslov1"/>
        <w:ind w:left="284"/>
        <w:rPr>
          <w:rFonts w:asciiTheme="minorHAnsi" w:hAnsiTheme="minorHAnsi" w:cstheme="minorHAnsi"/>
          <w:sz w:val="20"/>
          <w:szCs w:val="20"/>
        </w:rPr>
      </w:pPr>
      <w:r w:rsidRPr="00F82572">
        <w:rPr>
          <w:rFonts w:asciiTheme="minorHAnsi" w:hAnsiTheme="minorHAnsi" w:cstheme="minorHAnsi"/>
          <w:sz w:val="20"/>
          <w:szCs w:val="20"/>
        </w:rPr>
        <w:t xml:space="preserve">TERMINSKI NAČRT </w:t>
      </w:r>
      <w:r w:rsidR="00105A8A" w:rsidRPr="00F82572">
        <w:rPr>
          <w:rFonts w:asciiTheme="minorHAnsi" w:hAnsiTheme="minorHAnsi" w:cstheme="minorHAnsi"/>
          <w:sz w:val="20"/>
          <w:szCs w:val="20"/>
        </w:rPr>
        <w:t>ODPI</w:t>
      </w:r>
      <w:r w:rsidR="00DB2D1B">
        <w:rPr>
          <w:rFonts w:asciiTheme="minorHAnsi" w:hAnsiTheme="minorHAnsi" w:cstheme="minorHAnsi"/>
          <w:sz w:val="20"/>
          <w:szCs w:val="20"/>
        </w:rPr>
        <w:t>RANJ</w:t>
      </w:r>
      <w:r w:rsidR="00105A8A" w:rsidRPr="00F82572">
        <w:rPr>
          <w:rFonts w:asciiTheme="minorHAnsi" w:hAnsiTheme="minorHAnsi" w:cstheme="minorHAnsi"/>
          <w:sz w:val="20"/>
          <w:szCs w:val="20"/>
        </w:rPr>
        <w:t xml:space="preserve"> JAVNIH RAZPISOV IZ PREJŠNJIH LET</w:t>
      </w:r>
    </w:p>
    <w:p w:rsidR="00D64124" w:rsidRPr="00F82572" w:rsidRDefault="00D64124" w:rsidP="00D5158C">
      <w:pPr>
        <w:ind w:left="392"/>
        <w:rPr>
          <w:rFonts w:cstheme="minorHAnsi"/>
          <w:sz w:val="20"/>
          <w:szCs w:val="20"/>
        </w:rPr>
      </w:pPr>
      <w:r w:rsidRPr="00F82572">
        <w:rPr>
          <w:rFonts w:cstheme="minorHAnsi"/>
          <w:sz w:val="20"/>
          <w:szCs w:val="20"/>
        </w:rPr>
        <w:t>V letu 2020 je predvideni</w:t>
      </w:r>
      <w:r w:rsidR="008F6FEE" w:rsidRPr="00F82572">
        <w:rPr>
          <w:rFonts w:cstheme="minorHAnsi"/>
          <w:sz w:val="20"/>
          <w:szCs w:val="20"/>
        </w:rPr>
        <w:t>h tudi več rokov za oddajo vlog</w:t>
      </w:r>
      <w:r w:rsidR="00B94260">
        <w:rPr>
          <w:rFonts w:cstheme="minorHAnsi"/>
          <w:sz w:val="20"/>
          <w:szCs w:val="20"/>
        </w:rPr>
        <w:t xml:space="preserve"> na razpise, k</w:t>
      </w:r>
      <w:r w:rsidRPr="00F82572">
        <w:rPr>
          <w:rFonts w:cstheme="minorHAnsi"/>
          <w:sz w:val="20"/>
          <w:szCs w:val="20"/>
        </w:rPr>
        <w:t>i so bili objavljeni v preteklih letih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8305"/>
        <w:gridCol w:w="1943"/>
        <w:gridCol w:w="1654"/>
      </w:tblGrid>
      <w:tr w:rsidR="00105A8A" w:rsidRPr="00F82572" w:rsidTr="00F82572">
        <w:tc>
          <w:tcPr>
            <w:tcW w:w="2410" w:type="dxa"/>
          </w:tcPr>
          <w:p w:rsidR="00105A8A" w:rsidRPr="00F82572" w:rsidRDefault="00105A8A" w:rsidP="00105A8A">
            <w:pPr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</w:pPr>
            <w:r w:rsidRPr="00F82572"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  <w:t>Ime javnega razpisa</w:t>
            </w:r>
          </w:p>
        </w:tc>
        <w:tc>
          <w:tcPr>
            <w:tcW w:w="8305" w:type="dxa"/>
          </w:tcPr>
          <w:p w:rsidR="00105A8A" w:rsidRPr="00F82572" w:rsidRDefault="00105A8A" w:rsidP="00105A8A">
            <w:pPr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</w:pPr>
            <w:r w:rsidRPr="00F82572"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  <w:t>Namen javnega razpisa</w:t>
            </w:r>
          </w:p>
        </w:tc>
        <w:tc>
          <w:tcPr>
            <w:tcW w:w="1943" w:type="dxa"/>
          </w:tcPr>
          <w:p w:rsidR="00105A8A" w:rsidRPr="00F82572" w:rsidRDefault="00105A8A" w:rsidP="00105A8A">
            <w:pPr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</w:pPr>
            <w:r w:rsidRPr="00F82572"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  <w:t xml:space="preserve">Objavljen </w:t>
            </w:r>
          </w:p>
        </w:tc>
        <w:tc>
          <w:tcPr>
            <w:tcW w:w="1654" w:type="dxa"/>
          </w:tcPr>
          <w:p w:rsidR="00105A8A" w:rsidRPr="00F82572" w:rsidRDefault="00105A8A" w:rsidP="00105A8A">
            <w:pPr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</w:pPr>
            <w:r w:rsidRPr="00F82572">
              <w:rPr>
                <w:rFonts w:eastAsia="SimSun" w:cstheme="minorHAnsi"/>
                <w:b/>
                <w:bCs/>
                <w:caps/>
                <w:spacing w:val="4"/>
                <w:sz w:val="20"/>
                <w:szCs w:val="20"/>
                <w:lang w:eastAsia="sl-SI"/>
              </w:rPr>
              <w:t xml:space="preserve">Roki oddaje vlog </w:t>
            </w:r>
          </w:p>
        </w:tc>
      </w:tr>
      <w:tr w:rsidR="00F82572" w:rsidRPr="00F82572" w:rsidTr="00F82572">
        <w:tc>
          <w:tcPr>
            <w:tcW w:w="2410" w:type="dxa"/>
          </w:tcPr>
          <w:p w:rsidR="00105A8A" w:rsidRPr="00F82572" w:rsidRDefault="00105A8A" w:rsidP="00105A8A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bCs/>
                <w:sz w:val="20"/>
                <w:szCs w:val="20"/>
              </w:rPr>
              <w:t xml:space="preserve">Javni razpis Krepitev blagovnih znamk </w:t>
            </w:r>
          </w:p>
          <w:p w:rsidR="00105A8A" w:rsidRPr="00F82572" w:rsidRDefault="00105A8A" w:rsidP="00105A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5" w:type="dxa"/>
          </w:tcPr>
          <w:p w:rsidR="00105A8A" w:rsidRPr="00105A8A" w:rsidRDefault="00105A8A" w:rsidP="00105A8A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P</w:t>
            </w:r>
            <w:r w:rsidRPr="00105A8A">
              <w:rPr>
                <w:rFonts w:cstheme="minorHAnsi"/>
                <w:sz w:val="20"/>
                <w:szCs w:val="20"/>
              </w:rPr>
              <w:t xml:space="preserve">odpreti podjetja, ki želijo krepiti trženje blagovnih znamk na tujih trgih in na ta način na trgu dosegati višjo dodatno vrednost in konkurenčno prednost, tako pri </w:t>
            </w:r>
            <w:proofErr w:type="spellStart"/>
            <w:r w:rsidRPr="00105A8A">
              <w:rPr>
                <w:rFonts w:cstheme="minorHAnsi"/>
                <w:sz w:val="20"/>
                <w:szCs w:val="20"/>
              </w:rPr>
              <w:t>pozicioniranju</w:t>
            </w:r>
            <w:proofErr w:type="spellEnd"/>
            <w:r w:rsidRPr="00105A8A">
              <w:rPr>
                <w:rFonts w:cstheme="minorHAnsi"/>
                <w:sz w:val="20"/>
                <w:szCs w:val="20"/>
              </w:rPr>
              <w:t xml:space="preserve"> končnih produktov na tujem trgu, kakor tudi pri vključevanju v globalne verige vrednosti na različnih nivojih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  <w:lang w:val="pl-PL"/>
              </w:rPr>
              <w:t>31.5.2019</w:t>
            </w:r>
          </w:p>
        </w:tc>
        <w:tc>
          <w:tcPr>
            <w:tcW w:w="1654" w:type="dxa"/>
          </w:tcPr>
          <w:p w:rsidR="00105A8A" w:rsidRPr="00F82572" w:rsidRDefault="00ED3B84" w:rsidP="00D5158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2572">
              <w:rPr>
                <w:rFonts w:cstheme="minorHAnsi"/>
                <w:sz w:val="20"/>
                <w:szCs w:val="20"/>
                <w:lang w:val="pl-PL"/>
              </w:rPr>
              <w:t>30. 9. 2020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F82572" w:rsidRPr="00F82572" w:rsidTr="00F82572">
        <w:tc>
          <w:tcPr>
            <w:tcW w:w="2410" w:type="dxa"/>
          </w:tcPr>
          <w:p w:rsidR="006370BA" w:rsidRPr="00F82572" w:rsidRDefault="006370BA" w:rsidP="006370BA">
            <w:pPr>
              <w:rPr>
                <w:rFonts w:cstheme="minorHAnsi"/>
                <w:bCs/>
                <w:sz w:val="20"/>
                <w:szCs w:val="20"/>
              </w:rPr>
            </w:pPr>
            <w:r w:rsidRPr="00F82572">
              <w:rPr>
                <w:rFonts w:cstheme="minorHAnsi"/>
                <w:bCs/>
                <w:sz w:val="20"/>
                <w:szCs w:val="20"/>
              </w:rPr>
              <w:t>Spodbude za d</w:t>
            </w:r>
            <w:r w:rsidR="006B0EC6">
              <w:rPr>
                <w:rFonts w:cstheme="minorHAnsi"/>
                <w:bCs/>
                <w:sz w:val="20"/>
                <w:szCs w:val="20"/>
              </w:rPr>
              <w:t xml:space="preserve">igitalno transformacijo MSP </w:t>
            </w:r>
            <w:r w:rsidRPr="00F82572">
              <w:rPr>
                <w:rFonts w:cstheme="minorHAnsi"/>
                <w:bCs/>
                <w:sz w:val="20"/>
                <w:szCs w:val="20"/>
              </w:rPr>
              <w:t>(P4D 2019 - 2023)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5" w:type="dxa"/>
          </w:tcPr>
          <w:p w:rsidR="006370BA" w:rsidRPr="00F82572" w:rsidRDefault="006370BA" w:rsidP="006370BA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Namen razpisa je spodbuditi rast in razvoj podprtih podjetij na osnovi vlaganj v uporabo digitalnega poslovanja v svojih dobaviteljskih in/ali prodajnih verigah, dviga upravljavskih kapacitet, vpeljava digitalnih poslovnih modelov, izvedbe investicij za namene digitalne preobrazbe v proizvodnjo in poslovanje podprtih podjetij ter povečanje dodane vrednosti na zaposlenega v podprtih podjetjih.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5A8A" w:rsidRPr="00F82572" w:rsidRDefault="006370BA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18.10.2019</w:t>
            </w:r>
          </w:p>
        </w:tc>
        <w:tc>
          <w:tcPr>
            <w:tcW w:w="1654" w:type="dxa"/>
          </w:tcPr>
          <w:p w:rsidR="006370BA" w:rsidRPr="00F82572" w:rsidRDefault="00ED3B84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1. 4. 2020</w:t>
            </w:r>
          </w:p>
          <w:p w:rsidR="006370BA" w:rsidRPr="00F82572" w:rsidRDefault="00ED3B84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1. 6. 2020</w:t>
            </w:r>
          </w:p>
          <w:p w:rsidR="00105A8A" w:rsidRPr="00F82572" w:rsidRDefault="006370BA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1. 9. 2020</w:t>
            </w:r>
          </w:p>
        </w:tc>
      </w:tr>
      <w:tr w:rsidR="00F82572" w:rsidRPr="00F82572" w:rsidTr="00F82572">
        <w:tc>
          <w:tcPr>
            <w:tcW w:w="2410" w:type="dxa"/>
          </w:tcPr>
          <w:p w:rsidR="006370BA" w:rsidRPr="00F82572" w:rsidRDefault="006370BA" w:rsidP="006370BA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bCs/>
                <w:sz w:val="20"/>
                <w:szCs w:val="20"/>
                <w:lang w:val="pl-PL"/>
              </w:rPr>
              <w:t>Spodbude za razvoj lesarstva na področju polproizvodov 2.0 2019-2020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5" w:type="dxa"/>
          </w:tcPr>
          <w:p w:rsidR="006370BA" w:rsidRPr="00F82572" w:rsidRDefault="00ED3B84" w:rsidP="006370BA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S</w:t>
            </w:r>
            <w:r w:rsidR="006370BA" w:rsidRPr="00F82572">
              <w:rPr>
                <w:rFonts w:cstheme="minorHAnsi"/>
                <w:sz w:val="20"/>
                <w:szCs w:val="20"/>
              </w:rPr>
              <w:t>podbujati uvajanje ali povečanje proizvodnje polproizvodov z namenom zapolnjevanja manjkajočih členov v gozdno-lesni verigi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5A8A" w:rsidRPr="00F82572" w:rsidRDefault="006370BA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  <w:lang w:val="pl-PL"/>
              </w:rPr>
              <w:t>12.07.2019</w:t>
            </w:r>
          </w:p>
        </w:tc>
        <w:tc>
          <w:tcPr>
            <w:tcW w:w="1654" w:type="dxa"/>
          </w:tcPr>
          <w:p w:rsidR="00105A8A" w:rsidRPr="00F82572" w:rsidRDefault="006370BA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  <w:lang w:val="pl-PL"/>
              </w:rPr>
              <w:t>6. 4. 2020</w:t>
            </w:r>
          </w:p>
        </w:tc>
      </w:tr>
      <w:tr w:rsidR="00F82572" w:rsidRPr="00F82572" w:rsidTr="00F82572">
        <w:tc>
          <w:tcPr>
            <w:tcW w:w="2410" w:type="dxa"/>
          </w:tcPr>
          <w:p w:rsidR="006370BA" w:rsidRPr="00F82572" w:rsidRDefault="006370BA" w:rsidP="006370BA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bCs/>
                <w:sz w:val="20"/>
                <w:szCs w:val="20"/>
              </w:rPr>
              <w:t>Vzpostavitev ali nadgradnja elektronskega poslovanja v MSP v letih 2019-2022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5" w:type="dxa"/>
          </w:tcPr>
          <w:p w:rsidR="006370BA" w:rsidRPr="00F82572" w:rsidRDefault="00ED3B84" w:rsidP="006370BA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P</w:t>
            </w:r>
            <w:r w:rsidR="006370BA" w:rsidRPr="00F82572">
              <w:rPr>
                <w:rFonts w:cstheme="minorHAnsi"/>
                <w:sz w:val="20"/>
                <w:szCs w:val="20"/>
              </w:rPr>
              <w:t xml:space="preserve">odpora podjetjem pri vzpostavitvi elektronskega poslovanja z namenom lažjega poslovanja na tujih trgih. Povezava na strategijo pametne specializacije in na strategijo digitalizacije v smeri do dobavitelja oz. končnega uporabnika. 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5A8A" w:rsidRPr="00F82572" w:rsidRDefault="006370BA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7.9.2018</w:t>
            </w:r>
          </w:p>
        </w:tc>
        <w:tc>
          <w:tcPr>
            <w:tcW w:w="1654" w:type="dxa"/>
          </w:tcPr>
          <w:p w:rsidR="00105A8A" w:rsidRPr="00F82572" w:rsidRDefault="006370BA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1.10.2020</w:t>
            </w:r>
          </w:p>
        </w:tc>
      </w:tr>
      <w:tr w:rsidR="00F82572" w:rsidRPr="00F82572" w:rsidTr="00F82572">
        <w:tc>
          <w:tcPr>
            <w:tcW w:w="2410" w:type="dxa"/>
          </w:tcPr>
          <w:p w:rsidR="00ED3B84" w:rsidRPr="00F82572" w:rsidRDefault="00ED3B84" w:rsidP="00ED3B84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bCs/>
                <w:sz w:val="20"/>
                <w:szCs w:val="20"/>
              </w:rPr>
              <w:t>Sofinanciranje individualnih nastopov podjetij na mednarodnih sejmih v tujini v letih 2019-2023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5" w:type="dxa"/>
          </w:tcPr>
          <w:p w:rsidR="00ED3B84" w:rsidRPr="00F82572" w:rsidRDefault="00ED3B84" w:rsidP="00ED3B84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Sofinanciranje predstavitve proizvodov in storitev MSP-jev na mednarodnih sejmih v tujini v letih 2019-2023 zaradi okrepitve mednarodne konkurenčnosti MSP, uvajanja izdelkov na tujih trgih ter povečanja možnosti poslovnega sodelovanja MSP-jev s tujimi partnerji.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5A8A" w:rsidRPr="00F82572" w:rsidRDefault="00ED3B84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16.11.2018</w:t>
            </w:r>
          </w:p>
        </w:tc>
        <w:tc>
          <w:tcPr>
            <w:tcW w:w="1654" w:type="dxa"/>
          </w:tcPr>
          <w:p w:rsidR="00ED3B84" w:rsidRPr="00F82572" w:rsidRDefault="00ED3B84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15. 5. 2020</w:t>
            </w:r>
          </w:p>
          <w:p w:rsidR="00105A8A" w:rsidRPr="00F82572" w:rsidRDefault="00ED3B84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 xml:space="preserve"> 4. 9. 2020</w:t>
            </w:r>
          </w:p>
        </w:tc>
      </w:tr>
      <w:tr w:rsidR="00F82572" w:rsidRPr="00F82572" w:rsidTr="00F82572">
        <w:tc>
          <w:tcPr>
            <w:tcW w:w="2410" w:type="dxa"/>
          </w:tcPr>
          <w:p w:rsidR="0003403D" w:rsidRPr="00F82572" w:rsidRDefault="006B0EC6" w:rsidP="0003403D">
            <w:pPr>
              <w:textAlignment w:val="baseline"/>
              <w:outlineLv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03403D" w:rsidRPr="00F82572">
              <w:rPr>
                <w:rFonts w:cstheme="minorHAnsi"/>
                <w:bCs/>
                <w:sz w:val="20"/>
                <w:szCs w:val="20"/>
              </w:rPr>
              <w:t>odpora MSP s področja turizma za povečanje snovne in energetske učinkovitosti</w:t>
            </w:r>
          </w:p>
          <w:p w:rsidR="00105A8A" w:rsidRPr="00F82572" w:rsidRDefault="00105A8A" w:rsidP="0003403D">
            <w:pPr>
              <w:textAlignment w:val="baseline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5" w:type="dxa"/>
          </w:tcPr>
          <w:p w:rsidR="0003403D" w:rsidRPr="00F82572" w:rsidRDefault="006B0EC6" w:rsidP="0003403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="0003403D" w:rsidRPr="00F82572">
              <w:rPr>
                <w:rFonts w:cstheme="minorHAnsi"/>
                <w:bCs/>
                <w:sz w:val="20"/>
                <w:szCs w:val="20"/>
              </w:rPr>
              <w:t>bnova obstoječih ter degradiranih turističnih in gostinskih objektov, spodbuda k ukrepom za rabo obnovljivih virov energije in za zmanjšanje rabe energije in snovi, prav tako spodbuda k razvoju oziroma preoblikovanju turističnih proizvodov in načinov poslovanja v skladu s trajnostnimi usmeritvami (zeleni proizvodi) za izboljšanje konkurenčnega položaja na globalnem trgu.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5A8A" w:rsidRPr="00F82572" w:rsidRDefault="0003403D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bCs/>
                <w:sz w:val="20"/>
                <w:szCs w:val="20"/>
              </w:rPr>
              <w:t>6.12.2019</w:t>
            </w:r>
          </w:p>
        </w:tc>
        <w:tc>
          <w:tcPr>
            <w:tcW w:w="1654" w:type="dxa"/>
          </w:tcPr>
          <w:p w:rsidR="00105A8A" w:rsidRPr="00F82572" w:rsidRDefault="0003403D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bCs/>
                <w:sz w:val="20"/>
                <w:szCs w:val="20"/>
              </w:rPr>
              <w:t>30. 11. 2020</w:t>
            </w:r>
          </w:p>
        </w:tc>
      </w:tr>
      <w:tr w:rsidR="00F82572" w:rsidRPr="00F82572" w:rsidTr="00F82572">
        <w:tc>
          <w:tcPr>
            <w:tcW w:w="2410" w:type="dxa"/>
          </w:tcPr>
          <w:p w:rsidR="0003403D" w:rsidRPr="00F82572" w:rsidRDefault="0003403D" w:rsidP="0003403D">
            <w:pPr>
              <w:textAlignment w:val="baseline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F82572">
              <w:rPr>
                <w:rFonts w:cstheme="minorHAnsi"/>
                <w:bCs/>
                <w:sz w:val="20"/>
                <w:szCs w:val="20"/>
              </w:rPr>
              <w:t>Dvig kompetenc in promocija vodilnih turističnih destinacij 2020-2021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5" w:type="dxa"/>
          </w:tcPr>
          <w:p w:rsidR="0003403D" w:rsidRPr="00F82572" w:rsidRDefault="0003403D" w:rsidP="0003403D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Omogočiti pogoje za pospešen razvoj turizma v turističnih destinacijah z aktivnostmi usposabljanja relevantnih deležnikov in dviga kompetenc za dosego večje konkurenčnosti. Z javnim razpisom se želi doseči tudi višja promocijska učinkovitost vodilnih destinacij.</w:t>
            </w:r>
          </w:p>
          <w:p w:rsidR="00105A8A" w:rsidRPr="00F82572" w:rsidRDefault="00105A8A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5A8A" w:rsidRPr="00F82572" w:rsidRDefault="0003403D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18.10.2019</w:t>
            </w:r>
          </w:p>
        </w:tc>
        <w:tc>
          <w:tcPr>
            <w:tcW w:w="1654" w:type="dxa"/>
          </w:tcPr>
          <w:p w:rsidR="00105A8A" w:rsidRPr="00F82572" w:rsidRDefault="0003403D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20. 4. 2020</w:t>
            </w:r>
          </w:p>
        </w:tc>
      </w:tr>
      <w:tr w:rsidR="0003403D" w:rsidRPr="00F82572" w:rsidTr="00F82572">
        <w:tc>
          <w:tcPr>
            <w:tcW w:w="2410" w:type="dxa"/>
          </w:tcPr>
          <w:p w:rsidR="00AC3B4C" w:rsidRPr="00F82572" w:rsidRDefault="00AC3B4C" w:rsidP="00AC3B4C">
            <w:pPr>
              <w:rPr>
                <w:rFonts w:cstheme="minorHAnsi"/>
                <w:bCs/>
                <w:sz w:val="20"/>
                <w:szCs w:val="20"/>
              </w:rPr>
            </w:pPr>
            <w:r w:rsidRPr="00F82572">
              <w:rPr>
                <w:rFonts w:cstheme="minorHAnsi"/>
                <w:bCs/>
                <w:sz w:val="20"/>
                <w:szCs w:val="20"/>
              </w:rPr>
              <w:t>Javni razpis »v slovenskih podjetjih za lažje vključevanje v globalne verige vrednosti«</w:t>
            </w:r>
          </w:p>
          <w:p w:rsidR="0003403D" w:rsidRPr="00F82572" w:rsidRDefault="0003403D" w:rsidP="00D51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5" w:type="dxa"/>
          </w:tcPr>
          <w:p w:rsidR="0003403D" w:rsidRPr="00F82572" w:rsidRDefault="006B0EC6" w:rsidP="006B0E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Podpreti </w:t>
            </w:r>
            <w:r w:rsidR="00AC3B4C" w:rsidRPr="00F82572">
              <w:rPr>
                <w:rFonts w:cstheme="minorHAnsi"/>
                <w:sz w:val="20"/>
                <w:szCs w:val="20"/>
              </w:rPr>
              <w:t xml:space="preserve">mala in srednje velika podjetja, ki želijo vključiti trajnostne vidike poslovanja v poslovne/korporativne strategije in poslovne modele, ter tako s trajnostno poslovno strateško transformacijo dosegati višjo dodano vrednost in konkurenčno prednost pri </w:t>
            </w:r>
            <w:proofErr w:type="spellStart"/>
            <w:r w:rsidR="00AC3B4C" w:rsidRPr="00F82572">
              <w:rPr>
                <w:rFonts w:cstheme="minorHAnsi"/>
                <w:sz w:val="20"/>
                <w:szCs w:val="20"/>
              </w:rPr>
              <w:t>pozicioniranju</w:t>
            </w:r>
            <w:proofErr w:type="spellEnd"/>
            <w:r w:rsidR="00AC3B4C" w:rsidRPr="00F82572">
              <w:rPr>
                <w:rFonts w:cstheme="minorHAnsi"/>
                <w:sz w:val="20"/>
                <w:szCs w:val="20"/>
              </w:rPr>
              <w:t xml:space="preserve"> končnih produktov in storitev na trgu ter izboljšati vključevanje v globalne verige vrednosti.</w:t>
            </w:r>
          </w:p>
        </w:tc>
        <w:tc>
          <w:tcPr>
            <w:tcW w:w="1943" w:type="dxa"/>
          </w:tcPr>
          <w:p w:rsidR="0003403D" w:rsidRPr="00F82572" w:rsidRDefault="00AC3B4C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654" w:type="dxa"/>
          </w:tcPr>
          <w:p w:rsidR="00AC3B4C" w:rsidRPr="00F82572" w:rsidRDefault="00AC3B4C" w:rsidP="00AC3B4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 xml:space="preserve">30. 4. 2020 </w:t>
            </w:r>
          </w:p>
          <w:p w:rsidR="0003403D" w:rsidRPr="00F82572" w:rsidRDefault="00AC3B4C" w:rsidP="00AC3B4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 xml:space="preserve">30. 9. 2020 </w:t>
            </w:r>
          </w:p>
        </w:tc>
      </w:tr>
      <w:tr w:rsidR="0003403D" w:rsidRPr="00F82572" w:rsidTr="00F82572">
        <w:tc>
          <w:tcPr>
            <w:tcW w:w="2410" w:type="dxa"/>
          </w:tcPr>
          <w:p w:rsidR="0003403D" w:rsidRPr="00F82572" w:rsidRDefault="00FB5C45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bCs/>
                <w:color w:val="000000"/>
                <w:sz w:val="20"/>
                <w:szCs w:val="20"/>
                <w:u w:val="single"/>
              </w:rPr>
              <w:t xml:space="preserve">Vavčerji </w:t>
            </w:r>
          </w:p>
        </w:tc>
        <w:tc>
          <w:tcPr>
            <w:tcW w:w="8305" w:type="dxa"/>
          </w:tcPr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certifikate kakovosti</w:t>
            </w:r>
          </w:p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2.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patente, modele, znamke</w:t>
            </w:r>
          </w:p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3.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tržne raziskave tujih trgov</w:t>
            </w:r>
          </w:p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4.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udeležbe na mednarodnih forumih</w:t>
            </w:r>
          </w:p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5.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udeležbo v gospodarskih delegacijah v tujino</w:t>
            </w:r>
          </w:p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6.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skupinske predstavitve slovenskega gospodarstva na sejmih v tujini</w:t>
            </w:r>
          </w:p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7.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dvig digitalnih kompetenc</w:t>
            </w:r>
          </w:p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8.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digitalni marketing</w:t>
            </w:r>
          </w:p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9.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pripravo digitalne strategije</w:t>
            </w:r>
          </w:p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10.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kibernetsko varnost</w:t>
            </w:r>
          </w:p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11.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statusno preoblikovanje družb</w:t>
            </w:r>
          </w:p>
          <w:p w:rsidR="00FB5C45" w:rsidRPr="00F82572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12.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uvajanje poslovne odličnosti po modelu EFQM v mala in srednje velika podjetja</w:t>
            </w:r>
          </w:p>
          <w:p w:rsidR="0003403D" w:rsidRDefault="00FB5C45" w:rsidP="00FB5C45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13.</w:t>
            </w:r>
            <w:r w:rsidRPr="00F82572">
              <w:rPr>
                <w:rFonts w:cstheme="minorHAnsi"/>
                <w:sz w:val="20"/>
                <w:szCs w:val="20"/>
              </w:rPr>
              <w:tab/>
              <w:t>Vavčer za prenos lastništva</w:t>
            </w:r>
          </w:p>
          <w:p w:rsidR="00DB2D1B" w:rsidRPr="00F82572" w:rsidRDefault="00DB2D1B" w:rsidP="00FB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14.          </w:t>
            </w:r>
            <w:r w:rsidRPr="00DB2D1B">
              <w:rPr>
                <w:rFonts w:cstheme="minorHAnsi"/>
                <w:sz w:val="20"/>
                <w:szCs w:val="20"/>
              </w:rPr>
              <w:t xml:space="preserve">Vavčer za </w:t>
            </w:r>
            <w:proofErr w:type="spellStart"/>
            <w:r w:rsidRPr="00DB2D1B">
              <w:rPr>
                <w:rFonts w:cstheme="minorHAnsi"/>
                <w:sz w:val="20"/>
                <w:szCs w:val="20"/>
              </w:rPr>
              <w:t>prototipiranje</w:t>
            </w:r>
            <w:proofErr w:type="spellEnd"/>
          </w:p>
        </w:tc>
        <w:tc>
          <w:tcPr>
            <w:tcW w:w="1943" w:type="dxa"/>
          </w:tcPr>
          <w:p w:rsidR="0003403D" w:rsidRPr="00F82572" w:rsidRDefault="00BF5C9D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654" w:type="dxa"/>
          </w:tcPr>
          <w:p w:rsidR="0003403D" w:rsidRPr="00F82572" w:rsidRDefault="00BF5C9D" w:rsidP="00D5158C">
            <w:pPr>
              <w:rPr>
                <w:rFonts w:cstheme="minorHAnsi"/>
                <w:sz w:val="20"/>
                <w:szCs w:val="20"/>
              </w:rPr>
            </w:pPr>
            <w:r w:rsidRPr="00F82572">
              <w:rPr>
                <w:rFonts w:cstheme="minorHAnsi"/>
                <w:sz w:val="20"/>
                <w:szCs w:val="20"/>
              </w:rPr>
              <w:t>Do 2023</w:t>
            </w:r>
          </w:p>
        </w:tc>
      </w:tr>
    </w:tbl>
    <w:p w:rsidR="00105A8A" w:rsidRDefault="00105A8A" w:rsidP="00D5158C">
      <w:pPr>
        <w:ind w:left="392"/>
      </w:pPr>
    </w:p>
    <w:p w:rsidR="008F6FEE" w:rsidRDefault="008F6FEE" w:rsidP="00D5158C">
      <w:pPr>
        <w:ind w:left="392"/>
      </w:pPr>
    </w:p>
    <w:sectPr w:rsidR="008F6FEE" w:rsidSect="00F82572">
      <w:pgSz w:w="16838" w:h="11906" w:orient="landscape"/>
      <w:pgMar w:top="720" w:right="138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DE7"/>
    <w:multiLevelType w:val="multilevel"/>
    <w:tmpl w:val="5F04A5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711741"/>
    <w:multiLevelType w:val="hybridMultilevel"/>
    <w:tmpl w:val="0A1C4F54"/>
    <w:lvl w:ilvl="0" w:tplc="F55C8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164D"/>
    <w:multiLevelType w:val="hybridMultilevel"/>
    <w:tmpl w:val="F3EE8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3E"/>
    <w:rsid w:val="0003403D"/>
    <w:rsid w:val="00095485"/>
    <w:rsid w:val="000954D3"/>
    <w:rsid w:val="00105A8A"/>
    <w:rsid w:val="0012406E"/>
    <w:rsid w:val="00147259"/>
    <w:rsid w:val="001543BB"/>
    <w:rsid w:val="00253095"/>
    <w:rsid w:val="002738E0"/>
    <w:rsid w:val="003176B1"/>
    <w:rsid w:val="003A5C11"/>
    <w:rsid w:val="003D1B3E"/>
    <w:rsid w:val="0049673A"/>
    <w:rsid w:val="005076E0"/>
    <w:rsid w:val="005831FC"/>
    <w:rsid w:val="006254B4"/>
    <w:rsid w:val="006370BA"/>
    <w:rsid w:val="006B0EC6"/>
    <w:rsid w:val="006E6D82"/>
    <w:rsid w:val="00705650"/>
    <w:rsid w:val="00767269"/>
    <w:rsid w:val="007F4B13"/>
    <w:rsid w:val="007F5E5A"/>
    <w:rsid w:val="0080517C"/>
    <w:rsid w:val="008664D4"/>
    <w:rsid w:val="008F6FEE"/>
    <w:rsid w:val="00902437"/>
    <w:rsid w:val="00930B04"/>
    <w:rsid w:val="00985981"/>
    <w:rsid w:val="009C080D"/>
    <w:rsid w:val="00AC3B4C"/>
    <w:rsid w:val="00B53E09"/>
    <w:rsid w:val="00B94260"/>
    <w:rsid w:val="00BC4365"/>
    <w:rsid w:val="00BF5C9D"/>
    <w:rsid w:val="00C009A2"/>
    <w:rsid w:val="00C70590"/>
    <w:rsid w:val="00D30A9F"/>
    <w:rsid w:val="00D5158C"/>
    <w:rsid w:val="00D573D0"/>
    <w:rsid w:val="00D64124"/>
    <w:rsid w:val="00DB2D1B"/>
    <w:rsid w:val="00E813D8"/>
    <w:rsid w:val="00E952EF"/>
    <w:rsid w:val="00ED3B84"/>
    <w:rsid w:val="00F82572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8E56"/>
  <w15:chartTrackingRefBased/>
  <w15:docId w15:val="{6A42F398-C592-424B-AB06-EA3E04A6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F6FEE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530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5A8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8F6FEE"/>
    <w:rPr>
      <w:rFonts w:ascii="Calibri Light" w:eastAsia="SimSun" w:hAnsi="Calibri Light" w:cs="Times New Roman"/>
      <w:b/>
      <w:bCs/>
      <w:caps/>
      <w:spacing w:val="4"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BD71DD-BECF-41DC-9857-28914ACF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:)</dc:creator>
  <cp:keywords/>
  <dc:description/>
  <cp:lastModifiedBy>:)</cp:lastModifiedBy>
  <cp:revision>36</cp:revision>
  <cp:lastPrinted>2020-02-03T13:27:00Z</cp:lastPrinted>
  <dcterms:created xsi:type="dcterms:W3CDTF">2020-02-03T07:59:00Z</dcterms:created>
  <dcterms:modified xsi:type="dcterms:W3CDTF">2020-02-03T13:33:00Z</dcterms:modified>
</cp:coreProperties>
</file>