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957" w:rsidRDefault="0039238B">
      <w:pPr>
        <w:spacing w:before="79"/>
        <w:ind w:left="216"/>
        <w:jc w:val="both"/>
        <w:rPr>
          <w:b/>
          <w:sz w:val="26"/>
        </w:rPr>
      </w:pPr>
      <w:r>
        <w:rPr>
          <w:b/>
          <w:sz w:val="26"/>
        </w:rPr>
        <w:t>Obrazec 4: Varovanje osebnih podatkov in poslovnih skrivnosti</w:t>
      </w:r>
    </w:p>
    <w:p w:rsidR="00BD5957" w:rsidRDefault="00BD5957">
      <w:pPr>
        <w:pStyle w:val="Telobesedila"/>
        <w:rPr>
          <w:b/>
          <w:sz w:val="28"/>
        </w:rPr>
      </w:pPr>
    </w:p>
    <w:p w:rsidR="00BD5957" w:rsidRDefault="00BD5957">
      <w:pPr>
        <w:pStyle w:val="Telobesedila"/>
        <w:rPr>
          <w:b/>
          <w:sz w:val="24"/>
        </w:rPr>
      </w:pPr>
    </w:p>
    <w:p w:rsidR="00BD5957" w:rsidRDefault="0039238B">
      <w:pPr>
        <w:pStyle w:val="Naslov1"/>
        <w:numPr>
          <w:ilvl w:val="0"/>
          <w:numId w:val="1"/>
        </w:numPr>
        <w:tabs>
          <w:tab w:val="left" w:pos="466"/>
        </w:tabs>
      </w:pPr>
      <w:r>
        <w:t>Varstvo osebnih</w:t>
      </w:r>
      <w:r>
        <w:rPr>
          <w:spacing w:val="-1"/>
        </w:rPr>
        <w:t xml:space="preserve"> </w:t>
      </w:r>
      <w:r>
        <w:t>podatkov</w:t>
      </w:r>
    </w:p>
    <w:p w:rsidR="00BD5957" w:rsidRDefault="00BD5957">
      <w:pPr>
        <w:pStyle w:val="Telobesedila"/>
        <w:rPr>
          <w:b/>
          <w:sz w:val="24"/>
        </w:rPr>
      </w:pPr>
    </w:p>
    <w:p w:rsidR="00BD5957" w:rsidRDefault="0039238B">
      <w:pPr>
        <w:pStyle w:val="Naslov2"/>
        <w:spacing w:before="195"/>
      </w:pPr>
      <w:r>
        <w:t>Pravna podlaga</w:t>
      </w:r>
    </w:p>
    <w:p w:rsidR="00BD5957" w:rsidRDefault="00BD5957">
      <w:pPr>
        <w:pStyle w:val="Telobesedila"/>
        <w:spacing w:before="8"/>
        <w:rPr>
          <w:b/>
          <w:sz w:val="19"/>
        </w:rPr>
      </w:pPr>
    </w:p>
    <w:p w:rsidR="00BD5957" w:rsidRDefault="0039238B">
      <w:pPr>
        <w:pStyle w:val="Telobesedila"/>
        <w:ind w:left="216" w:right="144"/>
        <w:jc w:val="both"/>
      </w:pPr>
      <w:r>
        <w:t xml:space="preserve">Varovanje osebnih podatkov bo zagotovljeno v skladu z veljavno zakonodajo, torej Splošno uredbo o varstvu podatkov (General Data </w:t>
      </w:r>
      <w:proofErr w:type="spellStart"/>
      <w:r>
        <w:t>Protection</w:t>
      </w:r>
      <w:proofErr w:type="spellEnd"/>
      <w:r>
        <w:t xml:space="preserve"> </w:t>
      </w:r>
      <w:proofErr w:type="spellStart"/>
      <w:r>
        <w:t>Regulation</w:t>
      </w:r>
      <w:proofErr w:type="spellEnd"/>
      <w:r>
        <w:t>, GDPR – Uredba (EU) 2016/679 Evropskega parlamenta in Sveta, v nadaljevanju; Splošna uredba o varstvu pod</w:t>
      </w:r>
      <w:r>
        <w:t>atkov) in Zakonom o varstvu osebnih podatkov (ZVOP-1), ki ureja varstvo osebnih podatkov, vključno s 140. členom Uredbe št. 1303/2013/EU ter povezano vsebino Pravilnika o varstvu osebnih podatkov Ministrstva za gospodarski razvoj in tehnologijo.</w:t>
      </w:r>
    </w:p>
    <w:p w:rsidR="00BD5957" w:rsidRDefault="00BD5957">
      <w:pPr>
        <w:pStyle w:val="Telobesedila"/>
        <w:spacing w:before="3"/>
      </w:pPr>
    </w:p>
    <w:p w:rsidR="00BD5957" w:rsidRDefault="0039238B">
      <w:pPr>
        <w:pStyle w:val="Naslov2"/>
      </w:pPr>
      <w:r>
        <w:t>Osnovni p</w:t>
      </w:r>
      <w:r>
        <w:t>odatki o upravljavcu</w:t>
      </w:r>
    </w:p>
    <w:p w:rsidR="00BD5957" w:rsidRDefault="00BD5957">
      <w:pPr>
        <w:pStyle w:val="Telobesedila"/>
        <w:spacing w:before="10"/>
        <w:rPr>
          <w:b/>
          <w:sz w:val="23"/>
        </w:rPr>
      </w:pPr>
    </w:p>
    <w:p w:rsidR="00BD5957" w:rsidRDefault="0039238B">
      <w:pPr>
        <w:pStyle w:val="Telobesedila"/>
        <w:ind w:left="216"/>
        <w:jc w:val="both"/>
      </w:pPr>
      <w:r>
        <w:t>Identiteta in kontaktni podatki upravljavca osebnih podatkov;</w:t>
      </w:r>
    </w:p>
    <w:p w:rsidR="00BD5957" w:rsidRDefault="0039238B">
      <w:pPr>
        <w:pStyle w:val="Telobesedila"/>
        <w:spacing w:before="25" w:line="264" w:lineRule="auto"/>
        <w:ind w:left="216" w:right="148"/>
        <w:jc w:val="both"/>
      </w:pPr>
      <w:r>
        <w:t xml:space="preserve">Ministrstvo za gospodarski razvoj in tehnologijo, Kotnikova ulica 5, 1000 Ljubljana, </w:t>
      </w:r>
      <w:proofErr w:type="spellStart"/>
      <w:r>
        <w:t>tel</w:t>
      </w:r>
      <w:proofErr w:type="spellEnd"/>
      <w:r>
        <w:t xml:space="preserve">: (01) 400 33 11, e-mail: </w:t>
      </w:r>
      <w:hyperlink r:id="rId8">
        <w:r>
          <w:t>gp.mgrt@gov.si,</w:t>
        </w:r>
      </w:hyperlink>
      <w:r>
        <w:t xml:space="preserve"> s</w:t>
      </w:r>
      <w:r>
        <w:t xml:space="preserve">pletna stran: </w:t>
      </w:r>
      <w:hyperlink r:id="rId9">
        <w:r>
          <w:t>http://www.gov.si/,</w:t>
        </w:r>
      </w:hyperlink>
      <w:r>
        <w:t xml:space="preserve"> ki ga predstavlja minister Zdravko Počivalšek, </w:t>
      </w:r>
      <w:proofErr w:type="spellStart"/>
      <w:r>
        <w:t>tel</w:t>
      </w:r>
      <w:proofErr w:type="spellEnd"/>
      <w:r>
        <w:t>: 01 400 36 21,</w:t>
      </w:r>
    </w:p>
    <w:p w:rsidR="00BD5957" w:rsidRDefault="0039238B">
      <w:pPr>
        <w:pStyle w:val="Telobesedila"/>
        <w:spacing w:line="229" w:lineRule="exact"/>
        <w:ind w:left="216"/>
        <w:jc w:val="both"/>
      </w:pPr>
      <w:r>
        <w:t xml:space="preserve">e-mail: </w:t>
      </w:r>
      <w:hyperlink r:id="rId10">
        <w:r>
          <w:t>gp.mgrt@gov.si</w:t>
        </w:r>
      </w:hyperlink>
    </w:p>
    <w:p w:rsidR="00BD5957" w:rsidRDefault="00BD5957">
      <w:pPr>
        <w:pStyle w:val="Telobesedila"/>
        <w:spacing w:before="2"/>
        <w:rPr>
          <w:sz w:val="22"/>
        </w:rPr>
      </w:pPr>
    </w:p>
    <w:p w:rsidR="00BD5957" w:rsidRDefault="0039238B">
      <w:pPr>
        <w:pStyle w:val="Telobesedila"/>
        <w:ind w:left="216" w:right="143"/>
        <w:jc w:val="both"/>
      </w:pPr>
      <w:r>
        <w:t xml:space="preserve">Ministrstvo za gospodarski razvoj in tehnologijo je, </w:t>
      </w:r>
      <w:r>
        <w:t>v skladu z zahtevo iz Splošne uredbe o varstvu podatkov, imenovalo pooblaščeno osebo za varstvo osebnih podatkov, ki znotraj ministrstva preverja skladnost obdelav osebnih podatkov iz pristojnosti ministrstva v skladu s Splošno uredbo o varstvu podatkov in</w:t>
      </w:r>
      <w:r>
        <w:t xml:space="preserve"> ZVOP-1. Podatki pooblaščene osebe za varstvo osebnih podatkov so objavljeni na spletni strani ministrstva, doseči pa jo je mogoče preko elektronskega naslova </w:t>
      </w:r>
      <w:hyperlink r:id="rId11">
        <w:r>
          <w:t>dpo.mgrt@gov.si</w:t>
        </w:r>
      </w:hyperlink>
    </w:p>
    <w:p w:rsidR="00BD5957" w:rsidRDefault="00BD5957">
      <w:pPr>
        <w:pStyle w:val="Telobesedila"/>
        <w:spacing w:before="9"/>
        <w:rPr>
          <w:sz w:val="19"/>
        </w:rPr>
      </w:pPr>
    </w:p>
    <w:p w:rsidR="00BD5957" w:rsidRDefault="0039238B">
      <w:pPr>
        <w:pStyle w:val="Telobesedila"/>
        <w:spacing w:line="264" w:lineRule="auto"/>
        <w:ind w:left="216" w:right="148"/>
        <w:jc w:val="both"/>
      </w:pPr>
      <w:r>
        <w:t>Ministrstvo se kot upravljavec zaveže, da bo zagotovilo zadostna jamstva za izvedbo ustreznih tehničnih in organizacijskih ukrepov, ki so podrobneje vsebovani v Pravilniku o varstvu osebnih podatkov, na tak način, da bo njegova obdelava osebnih podatkov iz</w:t>
      </w:r>
      <w:r>
        <w:t>polnjevala zahteve iz Splošne uredbe o varstvu podatkov in ZVOP-1.</w:t>
      </w:r>
    </w:p>
    <w:p w:rsidR="00BD5957" w:rsidRDefault="00BD5957">
      <w:pPr>
        <w:pStyle w:val="Telobesedila"/>
        <w:spacing w:before="3"/>
        <w:rPr>
          <w:sz w:val="22"/>
        </w:rPr>
      </w:pPr>
    </w:p>
    <w:p w:rsidR="00BD5957" w:rsidRDefault="0039238B">
      <w:pPr>
        <w:pStyle w:val="Telobesedila"/>
        <w:spacing w:line="264" w:lineRule="auto"/>
        <w:ind w:left="216" w:right="144"/>
        <w:jc w:val="both"/>
      </w:pPr>
      <w:r>
        <w:t>V nadaljevanju tega poglavja, se besedna zveza »osebni podatki prijavitelja« oz. beseda »prijavitelj« ter beseda »posameznik« lahko nanaša tudi na druge osebe, oziroma na vse osebne podatk</w:t>
      </w:r>
      <w:r>
        <w:t>e drugih oseb, katere bodo obdelovali zaposleni na ministrstvu ter drugi javni uslužbenci, ki so posebej omenjeni v nadaljevanju, v okviru izvajanja razpisa oziroma pogodbe o sofinanciranju.</w:t>
      </w:r>
    </w:p>
    <w:p w:rsidR="00BD5957" w:rsidRDefault="00BD5957">
      <w:pPr>
        <w:pStyle w:val="Telobesedila"/>
        <w:spacing w:before="9"/>
        <w:rPr>
          <w:sz w:val="21"/>
        </w:rPr>
      </w:pPr>
    </w:p>
    <w:p w:rsidR="00BD5957" w:rsidRDefault="0039238B">
      <w:pPr>
        <w:pStyle w:val="Naslov2"/>
      </w:pPr>
      <w:r>
        <w:t>Čas obdelave oziroma rok hrambe</w:t>
      </w:r>
    </w:p>
    <w:p w:rsidR="00BD5957" w:rsidRDefault="00BD5957">
      <w:pPr>
        <w:pStyle w:val="Telobesedila"/>
        <w:spacing w:before="3"/>
        <w:rPr>
          <w:b/>
          <w:sz w:val="24"/>
        </w:rPr>
      </w:pPr>
    </w:p>
    <w:p w:rsidR="00BD5957" w:rsidRDefault="0039238B">
      <w:pPr>
        <w:pStyle w:val="Telobesedila"/>
        <w:spacing w:line="264" w:lineRule="auto"/>
        <w:ind w:left="216" w:right="147"/>
        <w:jc w:val="both"/>
      </w:pPr>
      <w:r>
        <w:t xml:space="preserve">Prejeti osebni podatki se bodo </w:t>
      </w:r>
      <w:r>
        <w:t>obdelovali le toliko časa, dokler bo to potrebno za dosego namena, zaradi katerega so se zbirali ali nadalje obdelovali, torej dokler ne bo razpis izveden oziroma operacija zaključena in roki za poročanje in spremljanje pretečeni. Po izpolnitvi namena obde</w:t>
      </w:r>
      <w:r>
        <w:t>lave, pa bodo osebni podatki izbrisani oziroma uničeni. V izjemnih primerih, ko drugače ni mogoče določiti roka hrambe osebnih podatkov po koncu njihove obdelave, je to rok petih (5) let, podobna rešitev velja tudi za primere, kadar Zakon o varstvu dokumen</w:t>
      </w:r>
      <w:r>
        <w:t>tarnega in arhivskega gradiva ter arhivih oziroma na njegovi podlagi klasifikacijski načrt Ministrstva za gospodarski razvoj in tehnologijo predpisuje hrambo in tip hrambe dokumentov, v katerih se osebni podatki nahajajo, bodo tovrstni osebni podatki arhiv</w:t>
      </w:r>
      <w:r>
        <w:t>irani in tam kjer je mogoče izbrisani – če niso trajno arhivsko gradivo.</w:t>
      </w:r>
    </w:p>
    <w:p w:rsidR="00BD5957" w:rsidRDefault="00BD5957">
      <w:pPr>
        <w:pStyle w:val="Telobesedila"/>
        <w:rPr>
          <w:sz w:val="22"/>
        </w:rPr>
      </w:pPr>
    </w:p>
    <w:p w:rsidR="00BD5957" w:rsidRDefault="0039238B">
      <w:pPr>
        <w:pStyle w:val="Telobesedila"/>
        <w:spacing w:before="1" w:line="264" w:lineRule="auto"/>
        <w:ind w:left="216" w:right="145"/>
        <w:jc w:val="both"/>
      </w:pPr>
      <w:r>
        <w:t xml:space="preserve">Skladno z b) točko prvega odstavka 5. člena Splošne uredbe o varstvu podatkov, je nadaljnja obdelava v namene arhiviranja v javnem interesu </w:t>
      </w:r>
      <w:r>
        <w:rPr>
          <w:spacing w:val="-3"/>
        </w:rPr>
        <w:t xml:space="preserve">ali </w:t>
      </w:r>
      <w:r>
        <w:t>v statistične namene združljiva s prvo</w:t>
      </w:r>
      <w:r>
        <w:t>tnim namenom obdelave, pri čemer se bodo osebni podatki, ki bodo arhivirani v javnem interesu oziroma v statistične</w:t>
      </w:r>
      <w:r>
        <w:rPr>
          <w:spacing w:val="7"/>
        </w:rPr>
        <w:t xml:space="preserve"> </w:t>
      </w:r>
      <w:r>
        <w:t>namene</w:t>
      </w:r>
      <w:r>
        <w:rPr>
          <w:spacing w:val="8"/>
        </w:rPr>
        <w:t xml:space="preserve"> </w:t>
      </w:r>
      <w:r>
        <w:t>varovali</w:t>
      </w:r>
      <w:r>
        <w:rPr>
          <w:spacing w:val="7"/>
        </w:rPr>
        <w:t xml:space="preserve"> </w:t>
      </w:r>
      <w:r>
        <w:t>z</w:t>
      </w:r>
      <w:r>
        <w:rPr>
          <w:spacing w:val="10"/>
        </w:rPr>
        <w:t xml:space="preserve"> </w:t>
      </w:r>
      <w:r>
        <w:t>ustreznimi</w:t>
      </w:r>
      <w:r>
        <w:rPr>
          <w:spacing w:val="7"/>
        </w:rPr>
        <w:t xml:space="preserve"> </w:t>
      </w:r>
      <w:r>
        <w:t>zaščitnimi</w:t>
      </w:r>
      <w:r>
        <w:rPr>
          <w:spacing w:val="8"/>
        </w:rPr>
        <w:t xml:space="preserve"> </w:t>
      </w:r>
      <w:r>
        <w:t>ukrepi,</w:t>
      </w:r>
      <w:r>
        <w:rPr>
          <w:spacing w:val="14"/>
        </w:rPr>
        <w:t xml:space="preserve"> </w:t>
      </w:r>
      <w:r>
        <w:t>ki</w:t>
      </w:r>
      <w:r>
        <w:rPr>
          <w:spacing w:val="7"/>
        </w:rPr>
        <w:t xml:space="preserve"> </w:t>
      </w:r>
      <w:r>
        <w:t>so</w:t>
      </w:r>
      <w:r>
        <w:rPr>
          <w:spacing w:val="9"/>
        </w:rPr>
        <w:t xml:space="preserve"> </w:t>
      </w:r>
      <w:r>
        <w:t>skladno</w:t>
      </w:r>
      <w:r>
        <w:rPr>
          <w:spacing w:val="7"/>
        </w:rPr>
        <w:t xml:space="preserve"> </w:t>
      </w:r>
      <w:r>
        <w:t>s</w:t>
      </w:r>
      <w:r>
        <w:rPr>
          <w:spacing w:val="10"/>
        </w:rPr>
        <w:t xml:space="preserve"> </w:t>
      </w:r>
      <w:r>
        <w:t>prvim</w:t>
      </w:r>
      <w:r>
        <w:rPr>
          <w:spacing w:val="10"/>
        </w:rPr>
        <w:t xml:space="preserve"> </w:t>
      </w:r>
      <w:r>
        <w:t>odstavkom</w:t>
      </w:r>
      <w:r>
        <w:rPr>
          <w:spacing w:val="10"/>
        </w:rPr>
        <w:t xml:space="preserve"> </w:t>
      </w:r>
      <w:r>
        <w:t>89.</w:t>
      </w:r>
      <w:r>
        <w:rPr>
          <w:spacing w:val="10"/>
        </w:rPr>
        <w:t xml:space="preserve"> </w:t>
      </w:r>
      <w:r>
        <w:t>člena</w:t>
      </w:r>
    </w:p>
    <w:p w:rsidR="00BD5957" w:rsidRDefault="00BD5957">
      <w:pPr>
        <w:spacing w:line="264" w:lineRule="auto"/>
        <w:jc w:val="both"/>
        <w:sectPr w:rsidR="00BD5957">
          <w:type w:val="continuous"/>
          <w:pgSz w:w="11910" w:h="16840"/>
          <w:pgMar w:top="1560" w:right="1260" w:bottom="280" w:left="1200" w:header="708" w:footer="708" w:gutter="0"/>
          <w:cols w:space="708"/>
        </w:sectPr>
      </w:pPr>
    </w:p>
    <w:p w:rsidR="00BD5957" w:rsidRDefault="0039238B">
      <w:pPr>
        <w:pStyle w:val="Telobesedila"/>
        <w:spacing w:before="77" w:line="266" w:lineRule="auto"/>
        <w:ind w:left="216" w:right="155"/>
        <w:jc w:val="both"/>
      </w:pPr>
      <w:r>
        <w:lastRenderedPageBreak/>
        <w:t>Splošne uredbe o varstvu podatkov enaki drugim ukrepom za varstvo osebnih podatkov in so opredeljeni v nadaljevanju.</w:t>
      </w:r>
    </w:p>
    <w:p w:rsidR="00BD5957" w:rsidRDefault="00BD5957">
      <w:pPr>
        <w:pStyle w:val="Telobesedila"/>
        <w:spacing w:before="6"/>
        <w:rPr>
          <w:sz w:val="21"/>
        </w:rPr>
      </w:pPr>
    </w:p>
    <w:p w:rsidR="00BD5957" w:rsidRDefault="0039238B">
      <w:pPr>
        <w:pStyle w:val="Telobesedila"/>
        <w:spacing w:before="1" w:line="264" w:lineRule="auto"/>
        <w:ind w:left="216" w:right="146"/>
        <w:jc w:val="both"/>
        <w:rPr>
          <w:sz w:val="13"/>
        </w:rPr>
      </w:pPr>
      <w:r>
        <w:t>Za namene presojanja prenehanja ali premestitve proizvodne dejavnosti iz programskega območja, oziroma spremembe lastništva postavke infra</w:t>
      </w:r>
      <w:r>
        <w:t xml:space="preserve">strukture, ki daje upravičencu neupravičeno prednost ali bistveno spreminja operacijo, oziroma ki vpliva na značaj, cilje ali pogoje izvajanja operacije, zaradi česar bi se razvrednotili prvotni cilji operacije, je </w:t>
      </w:r>
      <w:r>
        <w:rPr>
          <w:spacing w:val="-3"/>
        </w:rPr>
        <w:t xml:space="preserve">rok </w:t>
      </w:r>
      <w:r>
        <w:t xml:space="preserve">za hrambo dokumentov povezanih s tem </w:t>
      </w:r>
      <w:r>
        <w:t xml:space="preserve"> razpisom na podlagi 1. točke </w:t>
      </w:r>
      <w:r>
        <w:rPr>
          <w:spacing w:val="-3"/>
        </w:rPr>
        <w:t xml:space="preserve">72. </w:t>
      </w:r>
      <w:r>
        <w:t xml:space="preserve">člena Uredbe (EU) št. 1303/2013 </w:t>
      </w:r>
      <w:r>
        <w:rPr>
          <w:b/>
        </w:rPr>
        <w:t>5 let</w:t>
      </w:r>
      <w:r>
        <w:t xml:space="preserve">, ob izpolnjenosti določenih pogojev, pa se ta rok lahko podaljša na </w:t>
      </w:r>
      <w:r>
        <w:rPr>
          <w:b/>
        </w:rPr>
        <w:t>10</w:t>
      </w:r>
      <w:r>
        <w:rPr>
          <w:b/>
          <w:spacing w:val="-5"/>
        </w:rPr>
        <w:t xml:space="preserve"> </w:t>
      </w:r>
      <w:r>
        <w:rPr>
          <w:b/>
        </w:rPr>
        <w:t>let</w:t>
      </w:r>
      <w:r>
        <w:t>.</w:t>
      </w:r>
      <w:r w:rsidR="00B82A33">
        <w:rPr>
          <w:rStyle w:val="Sprotnaopomba-sklic"/>
        </w:rPr>
        <w:footnoteReference w:id="1"/>
      </w:r>
    </w:p>
    <w:p w:rsidR="00BD5957" w:rsidRDefault="00BD5957">
      <w:pPr>
        <w:pStyle w:val="Telobesedila"/>
        <w:spacing w:before="8"/>
        <w:rPr>
          <w:sz w:val="21"/>
        </w:rPr>
      </w:pPr>
    </w:p>
    <w:p w:rsidR="00BD5957" w:rsidRDefault="0039238B">
      <w:pPr>
        <w:pStyle w:val="Naslov2"/>
      </w:pPr>
      <w:r>
        <w:t>Namen obdelave</w:t>
      </w:r>
    </w:p>
    <w:p w:rsidR="00BD5957" w:rsidRDefault="00BD5957">
      <w:pPr>
        <w:pStyle w:val="Telobesedila"/>
        <w:spacing w:before="3"/>
        <w:rPr>
          <w:b/>
          <w:sz w:val="24"/>
        </w:rPr>
      </w:pPr>
    </w:p>
    <w:p w:rsidR="00BD5957" w:rsidRDefault="0039238B">
      <w:pPr>
        <w:pStyle w:val="Telobesedila"/>
        <w:spacing w:line="264" w:lineRule="auto"/>
        <w:ind w:left="216" w:right="151"/>
        <w:jc w:val="both"/>
      </w:pPr>
      <w:r>
        <w:t>Ministrstvo za gospodarski razvoj in tehnologijo se zavezuje, da bodo osebni podatki obdelani zakonito, pošteno in na pregleden način ter da bo od upravičenca zahtevalo, pridobivalo in obdelovalo zgolj osebne podatke, ki so neposredno in objektivno povezan</w:t>
      </w:r>
      <w:r>
        <w:t>i z izvajanjem tega javnega razpisa, oziroma izvrševanjem pogodbe o sofinanciranju.</w:t>
      </w:r>
    </w:p>
    <w:p w:rsidR="00BD5957" w:rsidRDefault="00BD5957">
      <w:pPr>
        <w:pStyle w:val="Telobesedila"/>
        <w:spacing w:before="9"/>
        <w:rPr>
          <w:sz w:val="21"/>
        </w:rPr>
      </w:pPr>
    </w:p>
    <w:p w:rsidR="00BD5957" w:rsidRDefault="0039238B">
      <w:pPr>
        <w:pStyle w:val="Telobesedila"/>
        <w:ind w:left="216" w:right="144"/>
        <w:jc w:val="both"/>
      </w:pPr>
      <w:r>
        <w:t>Namen obdelave je izvedba javnega razpisa ali javnega poziva (preverba izpolnjevanja razpisnih pogojev, izdelava ocene prejete vloge, preverba točnosti podatkov glede na j</w:t>
      </w:r>
      <w:r>
        <w:t>avne evidence), vodenje podatkov in evidenc (evidence izbranih in neizbranih prijaviteljev (vključno z zavrženimi vlogami), vodenje statističnih in drugih analitičnih evidenc, priprava opomnikov in drugih notranjih dopisov. Namen obdelave podatkov po sklen</w:t>
      </w:r>
      <w:r>
        <w:t>itvi pogodbe o sofinanciranju pa bo preverjanje izpolnjenosti pogojev, rokov in proračunskih možnosti za izplačilo zahtevka (nastanek dejanskih stroškov, realizacija, in druge oblike dokazil), vodenje evidence veljavnih operacij (odstopi od pogodb), poroča</w:t>
      </w:r>
      <w:r>
        <w:t>nje organu upravljanja, Ministrstvu za finance, Računskemu sodišču, Evropski komisiji, Uradu za nadzor proračuna in drugim pristojnim nadzornim organom, vodenje statističnih in drugih analitičnih evidenc, priprava opomnikov in drugih notranjih dopisov, vre</w:t>
      </w:r>
      <w:r>
        <w:t>dnotenje, objava prejemnikov sredstev, obdelava za namene sodelovanja in priprave oziroma izdelave vlog v postopkih pred pristojnimi organi (postopki pred sodnimi, preiskovalnimi ali drugimi pristojnimi organi), poročanje o dodeljenih državnih pomočeh, obd</w:t>
      </w:r>
      <w:r>
        <w:t xml:space="preserve">elava za namene programa e-RAR in ARACHNE ter učinkovitega delovanja informacijskih sistemov, ki jih uporablja ali jih je dolžno uporabljati ministrstvo (aplikacijo </w:t>
      </w:r>
      <w:proofErr w:type="spellStart"/>
      <w:r>
        <w:t>eMA</w:t>
      </w:r>
      <w:proofErr w:type="spellEnd"/>
      <w:r>
        <w:t xml:space="preserve"> oz. IS OU).</w:t>
      </w:r>
    </w:p>
    <w:p w:rsidR="00BD5957" w:rsidRDefault="00BD5957">
      <w:pPr>
        <w:pStyle w:val="Telobesedila"/>
        <w:spacing w:before="4"/>
        <w:rPr>
          <w:sz w:val="22"/>
        </w:rPr>
      </w:pPr>
    </w:p>
    <w:p w:rsidR="00BD5957" w:rsidRDefault="0039238B">
      <w:pPr>
        <w:pStyle w:val="Naslov2"/>
      </w:pPr>
      <w:r>
        <w:t>Zakonitost obdelave in pravna podlaga</w:t>
      </w:r>
    </w:p>
    <w:p w:rsidR="00BD5957" w:rsidRDefault="00BD5957">
      <w:pPr>
        <w:pStyle w:val="Telobesedila"/>
        <w:spacing w:before="10"/>
        <w:rPr>
          <w:b/>
          <w:sz w:val="23"/>
        </w:rPr>
      </w:pPr>
    </w:p>
    <w:p w:rsidR="00BD5957" w:rsidRDefault="0039238B">
      <w:pPr>
        <w:pStyle w:val="Telobesedila"/>
        <w:spacing w:line="264" w:lineRule="auto"/>
        <w:ind w:left="216" w:right="143"/>
        <w:jc w:val="both"/>
      </w:pPr>
      <w:r>
        <w:t>Temelj zakonitosti obdelave osebnih</w:t>
      </w:r>
      <w:r>
        <w:t xml:space="preserve"> podatkov, ki bodo posredovani v vlogi prijavitelja oziroma v dokazilih in drugih gradivih, tako ob prijavi na zadevni javni razpis kot tekom trajanja projekta oz. izvajanja pogodbe o sofinanciranju, izhaja iz b) točke 1. odstavka 6. člena Splošne uredbe o</w:t>
      </w:r>
      <w:r>
        <w:t xml:space="preserve"> varstvu podatkov, saj je obdelava tovrstnih podatkov potrebna za izvajanje nalog, povezanih z javnim razpisom (kot so preverba in ocenjevanje vloge, komunikacija z upravičencem, izdaja sklepa o izbiri in s tem zamejeni združljivi nameni naknadne obdelave)</w:t>
      </w:r>
      <w:r>
        <w:t>, torej nalog, ki se izvajajo na zahtevo upravičenca pred potencialno sklenitvijo pogodbe o sofinanciranju, ob njegovi prijavi na zadevni javni razpis, oziroma v nadaljnje, ob izvajanju tovrstne</w:t>
      </w:r>
      <w:r>
        <w:rPr>
          <w:spacing w:val="-2"/>
        </w:rPr>
        <w:t xml:space="preserve"> </w:t>
      </w:r>
      <w:r>
        <w:rPr>
          <w:spacing w:val="-3"/>
        </w:rPr>
        <w:t>pogodbe.</w:t>
      </w:r>
    </w:p>
    <w:p w:rsidR="00BD5957" w:rsidRDefault="00BD5957">
      <w:pPr>
        <w:pStyle w:val="Telobesedila"/>
        <w:spacing w:before="10"/>
        <w:rPr>
          <w:sz w:val="21"/>
        </w:rPr>
      </w:pPr>
    </w:p>
    <w:p w:rsidR="00BD5957" w:rsidRDefault="0039238B">
      <w:pPr>
        <w:pStyle w:val="Telobesedila"/>
        <w:ind w:left="216" w:right="145"/>
        <w:jc w:val="both"/>
      </w:pPr>
      <w:r>
        <w:t>Zagotovitev osebnih podatkov v kontekstu prijavitel</w:t>
      </w:r>
      <w:r>
        <w:t xml:space="preserve">jeve vloge in prijave na zadevni javni razpis oziroma pripadajočih dokazil, je </w:t>
      </w:r>
      <w:r>
        <w:rPr>
          <w:b/>
        </w:rPr>
        <w:t>obveznost, ki je potrebna za sklenitev pogodbe o sofinanciranju</w:t>
      </w:r>
      <w:r>
        <w:t>. Morebitne posledice, če se tovrstni podatki ne zagotovijo, torej če se odda prijava in vloga, ki je pomanjkljiva</w:t>
      </w:r>
      <w:r>
        <w:t xml:space="preserve">, saj ne vsebuje določenih osebnih podatkov, ki bi bili z vidika presoje vloge oziroma prijave nujni, je izdaja </w:t>
      </w:r>
      <w:r>
        <w:rPr>
          <w:b/>
        </w:rPr>
        <w:t xml:space="preserve">sklepa o </w:t>
      </w:r>
      <w:proofErr w:type="spellStart"/>
      <w:r>
        <w:rPr>
          <w:b/>
        </w:rPr>
        <w:t>neizbiri</w:t>
      </w:r>
      <w:proofErr w:type="spellEnd"/>
      <w:r>
        <w:rPr>
          <w:b/>
        </w:rPr>
        <w:t>, oziroma formalno zavrženje vloge</w:t>
      </w:r>
      <w:r>
        <w:t>. Prijavitelj je lahko, skladno s pravili upravnega postopka pozvan, da svojo pomanjkljivo pr</w:t>
      </w:r>
      <w:r>
        <w:t>ijavo oziroma vlogo ustrezno dopolni.</w:t>
      </w:r>
    </w:p>
    <w:p w:rsidR="00BD5957" w:rsidRDefault="0039238B">
      <w:pPr>
        <w:spacing w:before="77"/>
        <w:ind w:left="216" w:right="145"/>
        <w:jc w:val="both"/>
        <w:rPr>
          <w:sz w:val="20"/>
        </w:rPr>
      </w:pPr>
      <w:r>
        <w:rPr>
          <w:sz w:val="20"/>
        </w:rPr>
        <w:t xml:space="preserve">V kolikor bo v prihodnje pogodba o sofinanciranju sklenjena, pa bo obveznost posredovanja osebnih podatkov v kontekstu zahtevkov in pripadajočih dokazil oziroma drugih gradiv, </w:t>
      </w:r>
      <w:r>
        <w:rPr>
          <w:b/>
          <w:sz w:val="20"/>
        </w:rPr>
        <w:t>pogodbena obveznost upravičenca</w:t>
      </w:r>
      <w:r>
        <w:rPr>
          <w:sz w:val="20"/>
        </w:rPr>
        <w:t xml:space="preserve">, pri čemer bo neizpolnjevanje te pogodbene obveznosti lahko privedlo do tega, da </w:t>
      </w:r>
      <w:r>
        <w:rPr>
          <w:b/>
          <w:sz w:val="20"/>
        </w:rPr>
        <w:t xml:space="preserve">zahtevki ne bodo mogli biti plačani </w:t>
      </w:r>
      <w:r>
        <w:rPr>
          <w:sz w:val="20"/>
        </w:rPr>
        <w:t xml:space="preserve">oziroma, v izjemnih primerih, celo do </w:t>
      </w:r>
      <w:r>
        <w:rPr>
          <w:b/>
          <w:sz w:val="20"/>
        </w:rPr>
        <w:t>odstopa od pogodbe</w:t>
      </w:r>
      <w:r>
        <w:rPr>
          <w:sz w:val="20"/>
        </w:rPr>
        <w:t>.</w:t>
      </w:r>
    </w:p>
    <w:p w:rsidR="00BD5957" w:rsidRDefault="00BD5957">
      <w:pPr>
        <w:pStyle w:val="Telobesedila"/>
        <w:rPr>
          <w:sz w:val="22"/>
        </w:rPr>
      </w:pPr>
    </w:p>
    <w:p w:rsidR="00BD5957" w:rsidRDefault="0039238B">
      <w:pPr>
        <w:pStyle w:val="Naslov2"/>
        <w:spacing w:before="1"/>
      </w:pPr>
      <w:r>
        <w:t>Ukrepi za varovanje osebnih podatkov</w:t>
      </w:r>
    </w:p>
    <w:p w:rsidR="00BD5957" w:rsidRDefault="00BD5957">
      <w:pPr>
        <w:pStyle w:val="Telobesedila"/>
        <w:spacing w:before="2"/>
        <w:rPr>
          <w:b/>
          <w:sz w:val="24"/>
        </w:rPr>
      </w:pPr>
    </w:p>
    <w:p w:rsidR="00BD5957" w:rsidRDefault="0039238B">
      <w:pPr>
        <w:pStyle w:val="Telobesedila"/>
        <w:spacing w:line="264" w:lineRule="auto"/>
        <w:ind w:left="216" w:right="148"/>
        <w:jc w:val="both"/>
      </w:pPr>
      <w:r>
        <w:t xml:space="preserve">Zaposleni na Ministrstvu za gospodarski </w:t>
      </w:r>
      <w:r>
        <w:t xml:space="preserve">razvoj in tehnologijo (skrbniki pogodb, kontrolorji) in drugi javni uslužbenci, ki morajo po službeni dolžnosti imeti dostop do osebnih podatkov, so po Splošni uredbi o varstvu podatkov, Zakonu o varstvu osebnih podatkov ter kazensko in civilno zavezani k </w:t>
      </w:r>
      <w:r>
        <w:t>varovanju osebnih podatkov ter tudi k varovanju z njimi povezanih podatkov ali osebnih podatkov označenih na drug način (na podlagi Zakona o tajnih podatkih, Zakona o gospodarskih družbah in drugimi predpisi, za celotno obdobje trajanja pogodbe o zaposlitv</w:t>
      </w:r>
      <w:r>
        <w:t>i in tudi po njenem</w:t>
      </w:r>
      <w:r>
        <w:rPr>
          <w:spacing w:val="-8"/>
        </w:rPr>
        <w:t xml:space="preserve"> </w:t>
      </w:r>
      <w:r>
        <w:t>prenehanju.</w:t>
      </w:r>
    </w:p>
    <w:p w:rsidR="00BD5957" w:rsidRDefault="00BD5957">
      <w:pPr>
        <w:pStyle w:val="Telobesedila"/>
        <w:spacing w:before="1"/>
        <w:rPr>
          <w:sz w:val="22"/>
        </w:rPr>
      </w:pPr>
    </w:p>
    <w:p w:rsidR="00BD5957" w:rsidRDefault="0039238B">
      <w:pPr>
        <w:pStyle w:val="Telobesedila"/>
        <w:spacing w:line="264" w:lineRule="auto"/>
        <w:ind w:left="216" w:right="144"/>
        <w:jc w:val="both"/>
      </w:pPr>
      <w:r>
        <w:t>Ukrepi za varovanje osebnih podatkov, katere na tehnični ravni izvaja Ministrstvo za gospodarski razvoj in tehnologijo, vključujejo zlasti fizično varovanje gradiva, ki vsebuje osebne podatke na za to posebej določenih mest</w:t>
      </w:r>
      <w:r>
        <w:t>ih in v posebnih varovanih omarah, ki so pod ključem. Pisarne uslužbencev, kjer se gradivo hrani, so varovane z navadnimi vrati in se zaklepajo, delovni prostori ministrstva pa so varovani tako z varnostno službo, kot kamerami ter varnimi vrati na vseh vho</w:t>
      </w:r>
      <w:r>
        <w:t xml:space="preserve">dih. V organizacijskem varnostni ukrepi predstavljajo predvsem spoštovanje načela minimalnosti, oziroma izvedbo </w:t>
      </w:r>
      <w:proofErr w:type="spellStart"/>
      <w:r>
        <w:t>psevdonimizacije</w:t>
      </w:r>
      <w:proofErr w:type="spellEnd"/>
      <w:r>
        <w:t xml:space="preserve"> podatkov, kadar bo to mogoče in primerno za obdelavo, ter usposabljanje delavcev o varstvu in delu z osebnimi</w:t>
      </w:r>
      <w:r>
        <w:rPr>
          <w:spacing w:val="-3"/>
        </w:rPr>
        <w:t xml:space="preserve"> </w:t>
      </w:r>
      <w:r>
        <w:t>podatki.</w:t>
      </w:r>
    </w:p>
    <w:p w:rsidR="00BD5957" w:rsidRDefault="00BD5957">
      <w:pPr>
        <w:pStyle w:val="Telobesedila"/>
        <w:spacing w:before="11"/>
        <w:rPr>
          <w:sz w:val="21"/>
        </w:rPr>
      </w:pPr>
    </w:p>
    <w:p w:rsidR="00BD5957" w:rsidRDefault="0039238B">
      <w:pPr>
        <w:pStyle w:val="Telobesedila"/>
        <w:spacing w:line="264" w:lineRule="auto"/>
        <w:ind w:left="216" w:right="148"/>
        <w:jc w:val="both"/>
      </w:pPr>
      <w:r>
        <w:t>Glede v</w:t>
      </w:r>
      <w:r>
        <w:t>arovanje osebnih podatkov v e-okolju, so javni uslužbenci pri varovanju dokumentov oziroma podatkov dolžni ravnati skladno z Uredbo o upravnem poslovanju, pri čemer 85. člen omenjene uredbe nalaga, da se dokumenti ali drugo gradivo, ki vsebuje varovane pod</w:t>
      </w:r>
      <w:r>
        <w:t xml:space="preserve">atke v elektronski obliki ne smejo brez šifriranja posredovati izven podatkovno komunikacijskega omrežja državnih organov (HKOM). Tovrstni podatki se hkrati smejo posredovati </w:t>
      </w:r>
      <w:r>
        <w:rPr>
          <w:spacing w:val="-4"/>
        </w:rPr>
        <w:t xml:space="preserve">le </w:t>
      </w:r>
      <w:r>
        <w:t>v ustrezno varovane informacijske sisteme ali v varne elektronske poštne preda</w:t>
      </w:r>
      <w:r>
        <w:t>le, ki so dostopni z uporabo podatkov za varno elektronsko podpisovanje.</w:t>
      </w:r>
    </w:p>
    <w:p w:rsidR="00BD5957" w:rsidRDefault="00BD5957">
      <w:pPr>
        <w:pStyle w:val="Telobesedila"/>
        <w:spacing w:before="2"/>
        <w:rPr>
          <w:sz w:val="22"/>
        </w:rPr>
      </w:pPr>
    </w:p>
    <w:p w:rsidR="00BD5957" w:rsidRDefault="0039238B">
      <w:pPr>
        <w:pStyle w:val="Telobesedila"/>
        <w:spacing w:line="264" w:lineRule="auto"/>
        <w:ind w:left="216" w:right="145"/>
        <w:jc w:val="both"/>
      </w:pPr>
      <w:r>
        <w:t xml:space="preserve">Omenjeno velja tudi za aplikacijo </w:t>
      </w:r>
      <w:proofErr w:type="spellStart"/>
      <w:r>
        <w:t>eMA</w:t>
      </w:r>
      <w:proofErr w:type="spellEnd"/>
      <w:r>
        <w:t xml:space="preserve"> oz. IS OU, v kateri se hrani glavnina prejetih osebnih podatkov prijaviteljev, saj se je v njo mogoče prijaviti zgolj preko uporabe gesla in dig</w:t>
      </w:r>
      <w:r>
        <w:t xml:space="preserve">italnega potrdila SIGOV- CA. Posamezni obdelovalci imajo znotraj aplikacije </w:t>
      </w:r>
      <w:proofErr w:type="spellStart"/>
      <w:r>
        <w:t>eMA</w:t>
      </w:r>
      <w:proofErr w:type="spellEnd"/>
      <w:r>
        <w:t xml:space="preserve"> </w:t>
      </w:r>
      <w:proofErr w:type="spellStart"/>
      <w:r>
        <w:t>oz</w:t>
      </w:r>
      <w:proofErr w:type="spellEnd"/>
      <w:r>
        <w:t xml:space="preserve"> IS OU dostop samo do tistih operacij oziroma osebnih podatkov, za katere so eksplicitno zadolženi, saj je njihovo delo neposredno povezano z zadevnim razpisom oziroma operac</w:t>
      </w:r>
      <w:r>
        <w:t>ijo.</w:t>
      </w:r>
    </w:p>
    <w:p w:rsidR="00BD5957" w:rsidRDefault="00BD5957">
      <w:pPr>
        <w:pStyle w:val="Telobesedila"/>
        <w:rPr>
          <w:sz w:val="22"/>
        </w:rPr>
      </w:pPr>
    </w:p>
    <w:p w:rsidR="00BD5957" w:rsidRDefault="00BD5957">
      <w:pPr>
        <w:pStyle w:val="Telobesedila"/>
        <w:spacing w:before="11"/>
        <w:rPr>
          <w:sz w:val="19"/>
        </w:rPr>
      </w:pPr>
    </w:p>
    <w:p w:rsidR="00BD5957" w:rsidRDefault="0039238B">
      <w:pPr>
        <w:pStyle w:val="Naslov2"/>
      </w:pPr>
      <w:r>
        <w:t>Kategorije uporabnikov osebnih podatkov</w:t>
      </w:r>
    </w:p>
    <w:p w:rsidR="00BD5957" w:rsidRDefault="00BD5957">
      <w:pPr>
        <w:pStyle w:val="Telobesedila"/>
        <w:spacing w:before="1"/>
        <w:rPr>
          <w:b/>
        </w:rPr>
      </w:pPr>
    </w:p>
    <w:p w:rsidR="00BD5957" w:rsidRDefault="0039238B">
      <w:pPr>
        <w:pStyle w:val="Telobesedila"/>
        <w:spacing w:before="1" w:line="276" w:lineRule="auto"/>
        <w:ind w:left="216" w:right="387"/>
      </w:pPr>
      <w:r>
        <w:t>Posredovane osebne podatke bodo uporabljale sledeče kategorije oseb: zaposleni na zadevnem direktoratu, ki je pripravil razpis, zaposleni v splošni službi ministrstva, zaposleni v finančni službi ministrstva,</w:t>
      </w:r>
      <w:r>
        <w:t xml:space="preserve"> zaposleni v kontrolni enoti službe za razvojna sredstva na ministrstvu, zaposleni v kontrolni enoti Službe vlade za razvoj in kohezijsko politiko, zaposleni v sektorju za sistem na Službi vlade za razvoj in kohezijsko politiko ter nadzorni organi (FURS, N</w:t>
      </w:r>
      <w:r>
        <w:t>RS, UNP, RSRS, Eca in ostali pristojni nadzorni organi).</w:t>
      </w:r>
    </w:p>
    <w:p w:rsidR="00BD5957" w:rsidRDefault="00BD5957">
      <w:pPr>
        <w:pStyle w:val="Telobesedila"/>
        <w:spacing w:before="3"/>
        <w:rPr>
          <w:sz w:val="17"/>
        </w:rPr>
      </w:pPr>
    </w:p>
    <w:p w:rsidR="00BD5957" w:rsidRDefault="0039238B">
      <w:pPr>
        <w:pStyle w:val="Telobesedila"/>
        <w:ind w:left="216"/>
        <w:jc w:val="both"/>
      </w:pPr>
      <w:r>
        <w:t>Ministrstvo ne bo preneslo prejetih osebnih podatkov v tretjo državo ali mednarodno organizacijo.</w:t>
      </w:r>
    </w:p>
    <w:p w:rsidR="00BD5957" w:rsidRDefault="00BD5957">
      <w:pPr>
        <w:pStyle w:val="Telobesedila"/>
        <w:spacing w:before="1"/>
      </w:pPr>
    </w:p>
    <w:p w:rsidR="00BD5957" w:rsidRDefault="0039238B">
      <w:pPr>
        <w:pStyle w:val="Naslov2"/>
      </w:pPr>
      <w:r>
        <w:t>Pravice prijavitelja in dodatne informacije</w:t>
      </w:r>
    </w:p>
    <w:p w:rsidR="00BD5957" w:rsidRDefault="00BD5957">
      <w:pPr>
        <w:pStyle w:val="Telobesedila"/>
        <w:spacing w:before="7"/>
        <w:rPr>
          <w:b/>
          <w:sz w:val="19"/>
        </w:rPr>
      </w:pPr>
    </w:p>
    <w:p w:rsidR="00BD5957" w:rsidRDefault="0039238B">
      <w:pPr>
        <w:spacing w:before="1"/>
        <w:ind w:left="216" w:right="143"/>
        <w:jc w:val="both"/>
        <w:rPr>
          <w:sz w:val="20"/>
        </w:rPr>
      </w:pPr>
      <w:r>
        <w:rPr>
          <w:sz w:val="20"/>
        </w:rPr>
        <w:t xml:space="preserve">Od ministrstva je mogoče kadarkoli zahtevati </w:t>
      </w:r>
      <w:r>
        <w:rPr>
          <w:b/>
          <w:sz w:val="20"/>
        </w:rPr>
        <w:t xml:space="preserve">dostop do osebnih podatkov </w:t>
      </w:r>
      <w:r>
        <w:rPr>
          <w:sz w:val="20"/>
        </w:rPr>
        <w:t xml:space="preserve">in </w:t>
      </w:r>
      <w:r>
        <w:rPr>
          <w:b/>
          <w:sz w:val="20"/>
        </w:rPr>
        <w:t xml:space="preserve">popravek </w:t>
      </w:r>
      <w:r>
        <w:rPr>
          <w:sz w:val="20"/>
        </w:rPr>
        <w:t xml:space="preserve">ali </w:t>
      </w:r>
      <w:r>
        <w:rPr>
          <w:b/>
          <w:sz w:val="20"/>
        </w:rPr>
        <w:t xml:space="preserve">izbris osebnih podatkov </w:t>
      </w:r>
      <w:r>
        <w:rPr>
          <w:sz w:val="20"/>
        </w:rPr>
        <w:t xml:space="preserve">ali </w:t>
      </w:r>
      <w:r>
        <w:rPr>
          <w:b/>
          <w:sz w:val="20"/>
        </w:rPr>
        <w:t>omejitev obdelave v zvezi s posameznikom, na katerega se nanašajo osebni podatki</w:t>
      </w:r>
      <w:r>
        <w:rPr>
          <w:sz w:val="20"/>
        </w:rPr>
        <w:t>, tako da o tem obvesti skrbnika razpisa ali pogodbe, oziroma pooblaščeno osebo za varstvo osebnih podatk</w:t>
      </w:r>
      <w:r>
        <w:rPr>
          <w:sz w:val="20"/>
        </w:rPr>
        <w:t>ov.</w:t>
      </w:r>
    </w:p>
    <w:p w:rsidR="00BD5957" w:rsidRDefault="00BD5957">
      <w:pPr>
        <w:jc w:val="both"/>
        <w:rPr>
          <w:sz w:val="20"/>
        </w:rPr>
        <w:sectPr w:rsidR="00BD5957">
          <w:pgSz w:w="11910" w:h="16840"/>
          <w:pgMar w:top="1320" w:right="1260" w:bottom="280" w:left="1200" w:header="708" w:footer="708" w:gutter="0"/>
          <w:cols w:space="708"/>
        </w:sectPr>
      </w:pPr>
    </w:p>
    <w:p w:rsidR="00BD5957" w:rsidRDefault="0039238B">
      <w:pPr>
        <w:pStyle w:val="Telobesedila"/>
        <w:spacing w:before="68"/>
        <w:ind w:left="216" w:right="150"/>
        <w:jc w:val="both"/>
      </w:pPr>
      <w:r>
        <w:t>Posameznik lahko kadarkoli prekliče obdelavo njegovih osebnih podatkov v celoti oziroma v določenem delu, tako da o tem obvesti skrbnika razpisa ali pogodbe, oziroma pooblaščeno osebo za varstvo osebnih podatkov. Skrbnik razpisa ali pogod</w:t>
      </w:r>
      <w:r>
        <w:t>be ter upravičenec skupaj določijo nadaljnjo obliko sodelovanja.</w:t>
      </w:r>
    </w:p>
    <w:p w:rsidR="00BD5957" w:rsidRDefault="00BD5957">
      <w:pPr>
        <w:pStyle w:val="Telobesedila"/>
        <w:spacing w:before="2"/>
      </w:pPr>
    </w:p>
    <w:p w:rsidR="00BD5957" w:rsidRDefault="0039238B">
      <w:pPr>
        <w:ind w:left="216" w:right="147"/>
        <w:jc w:val="both"/>
        <w:rPr>
          <w:sz w:val="20"/>
        </w:rPr>
      </w:pPr>
      <w:r>
        <w:rPr>
          <w:sz w:val="20"/>
        </w:rPr>
        <w:t xml:space="preserve">Posameznik ima tudi </w:t>
      </w:r>
      <w:r>
        <w:rPr>
          <w:b/>
          <w:sz w:val="20"/>
        </w:rPr>
        <w:t xml:space="preserve">pravico da ugovarja obdelavi osebnih podatkov </w:t>
      </w:r>
      <w:r>
        <w:rPr>
          <w:sz w:val="20"/>
        </w:rPr>
        <w:t xml:space="preserve">in </w:t>
      </w:r>
      <w:r>
        <w:rPr>
          <w:b/>
          <w:sz w:val="20"/>
        </w:rPr>
        <w:t>pravico do prenosljivosti svojih osebnih podatkov</w:t>
      </w:r>
      <w:r>
        <w:rPr>
          <w:sz w:val="20"/>
        </w:rPr>
        <w:t>, pri čemer se, skladno s tretjim odstavkom 20. člena Splošne uredbe o varstvu podatkov, pravica do prenosa osebnih podatkov ne uporablja glede obdelave, ki je potrebna za opravljanje nalog, ki jih ministrstvo izvaja v javnem interesu ali pri izvajanju jav</w:t>
      </w:r>
      <w:r>
        <w:rPr>
          <w:sz w:val="20"/>
        </w:rPr>
        <w:t>ne oblasti v skladu s področnim zakonom ali pravnim aktom, ki je enakovreden</w:t>
      </w:r>
      <w:r>
        <w:rPr>
          <w:spacing w:val="-6"/>
          <w:sz w:val="20"/>
        </w:rPr>
        <w:t xml:space="preserve"> </w:t>
      </w:r>
      <w:r>
        <w:rPr>
          <w:sz w:val="20"/>
        </w:rPr>
        <w:t>zakonu.</w:t>
      </w:r>
    </w:p>
    <w:p w:rsidR="00BD5957" w:rsidRDefault="00BD5957">
      <w:pPr>
        <w:pStyle w:val="Telobesedila"/>
        <w:spacing w:before="9"/>
        <w:rPr>
          <w:sz w:val="19"/>
        </w:rPr>
      </w:pPr>
    </w:p>
    <w:p w:rsidR="00BD5957" w:rsidRDefault="0039238B">
      <w:pPr>
        <w:spacing w:before="1"/>
        <w:ind w:left="216" w:right="148"/>
        <w:jc w:val="both"/>
        <w:rPr>
          <w:sz w:val="20"/>
        </w:rPr>
      </w:pPr>
      <w:r>
        <w:rPr>
          <w:sz w:val="20"/>
        </w:rPr>
        <w:t xml:space="preserve">Posameznik, na katerega se nanašajo osebni podatki, ima </w:t>
      </w:r>
      <w:r>
        <w:rPr>
          <w:b/>
          <w:sz w:val="20"/>
        </w:rPr>
        <w:t xml:space="preserve">pravico do vložitve pritožbe </w:t>
      </w:r>
      <w:r>
        <w:rPr>
          <w:sz w:val="20"/>
        </w:rPr>
        <w:t xml:space="preserve">pri nadzornem </w:t>
      </w:r>
      <w:proofErr w:type="spellStart"/>
      <w:r>
        <w:rPr>
          <w:sz w:val="20"/>
        </w:rPr>
        <w:t>organuza</w:t>
      </w:r>
      <w:proofErr w:type="spellEnd"/>
      <w:r>
        <w:rPr>
          <w:sz w:val="20"/>
        </w:rPr>
        <w:t xml:space="preserve"> varstvo osebnih podatkov Republike Slovenije - </w:t>
      </w:r>
      <w:r>
        <w:rPr>
          <w:b/>
          <w:sz w:val="20"/>
        </w:rPr>
        <w:t>pri Informacijs</w:t>
      </w:r>
      <w:r>
        <w:rPr>
          <w:b/>
          <w:sz w:val="20"/>
        </w:rPr>
        <w:t xml:space="preserve">kem pooblaščencu, </w:t>
      </w:r>
      <w:r>
        <w:rPr>
          <w:sz w:val="20"/>
        </w:rPr>
        <w:t xml:space="preserve">Zaloška cesta 59, SI-1000 Ljubljana, </w:t>
      </w:r>
      <w:proofErr w:type="spellStart"/>
      <w:r>
        <w:rPr>
          <w:sz w:val="20"/>
        </w:rPr>
        <w:t>tel</w:t>
      </w:r>
      <w:proofErr w:type="spellEnd"/>
      <w:r>
        <w:rPr>
          <w:sz w:val="20"/>
        </w:rPr>
        <w:t xml:space="preserve">: 01 230 97 30, e-mail: </w:t>
      </w:r>
      <w:hyperlink r:id="rId12">
        <w:r>
          <w:rPr>
            <w:sz w:val="20"/>
          </w:rPr>
          <w:t xml:space="preserve">gp.ip@ip-rs.si, </w:t>
        </w:r>
      </w:hyperlink>
      <w:r>
        <w:rPr>
          <w:sz w:val="20"/>
        </w:rPr>
        <w:t>spletna stran: https://</w:t>
      </w:r>
      <w:hyperlink r:id="rId13">
        <w:r>
          <w:rPr>
            <w:sz w:val="20"/>
          </w:rPr>
          <w:t>www.ip-rs.si/.</w:t>
        </w:r>
      </w:hyperlink>
    </w:p>
    <w:p w:rsidR="00BD5957" w:rsidRDefault="00BD5957">
      <w:pPr>
        <w:pStyle w:val="Telobesedila"/>
        <w:spacing w:before="2"/>
      </w:pPr>
    </w:p>
    <w:p w:rsidR="00BD5957" w:rsidRDefault="0039238B">
      <w:pPr>
        <w:pStyle w:val="Telobesedila"/>
        <w:ind w:left="216" w:right="144"/>
        <w:jc w:val="both"/>
      </w:pPr>
      <w:r>
        <w:t>Osebni podatki prijavitelja ne bodo po</w:t>
      </w:r>
      <w:r>
        <w:t>dvrženi avtomatiziranemu sprejemanja odločitev oziroma oblikovanju profilov iz prvega in četrtega odstavka 22. člena Splošne uredbe o varstvu podatkov.</w:t>
      </w:r>
    </w:p>
    <w:p w:rsidR="00BD5957" w:rsidRDefault="00BD5957">
      <w:pPr>
        <w:pStyle w:val="Telobesedila"/>
        <w:spacing w:before="9"/>
        <w:rPr>
          <w:sz w:val="21"/>
        </w:rPr>
      </w:pPr>
    </w:p>
    <w:p w:rsidR="00BD5957" w:rsidRDefault="0039238B">
      <w:pPr>
        <w:pStyle w:val="Telobesedila"/>
        <w:spacing w:before="1"/>
        <w:ind w:left="216" w:right="286"/>
      </w:pPr>
      <w:r>
        <w:t xml:space="preserve">Več o načinu varstva, pravicah upravičenca, nadzoru in metodah obdelave, je dostopno na povezavi; </w:t>
      </w:r>
      <w:hyperlink r:id="rId14">
        <w:r>
          <w:rPr>
            <w:color w:val="0000FF"/>
            <w:u w:val="single" w:color="0000FF"/>
          </w:rPr>
          <w:t>http://www.mgrt.gov.si/si/o_ministrstvu/varstvo_osebnih_podatkov/</w:t>
        </w:r>
      </w:hyperlink>
    </w:p>
    <w:p w:rsidR="00BD5957" w:rsidRDefault="00BD5957">
      <w:pPr>
        <w:pStyle w:val="Telobesedila"/>
        <w:spacing w:before="9"/>
        <w:rPr>
          <w:sz w:val="12"/>
        </w:rPr>
      </w:pPr>
    </w:p>
    <w:p w:rsidR="00BD5957" w:rsidRDefault="0039238B">
      <w:pPr>
        <w:pStyle w:val="Naslov1"/>
        <w:numPr>
          <w:ilvl w:val="0"/>
          <w:numId w:val="1"/>
        </w:numPr>
        <w:tabs>
          <w:tab w:val="left" w:pos="466"/>
        </w:tabs>
        <w:spacing w:before="94"/>
      </w:pPr>
      <w:r>
        <w:t>Varovanje poslovnih</w:t>
      </w:r>
      <w:r>
        <w:rPr>
          <w:spacing w:val="-3"/>
        </w:rPr>
        <w:t xml:space="preserve"> </w:t>
      </w:r>
      <w:r>
        <w:t>skrivnosti</w:t>
      </w:r>
    </w:p>
    <w:p w:rsidR="00BD5957" w:rsidRDefault="00BD5957">
      <w:pPr>
        <w:pStyle w:val="Telobesedila"/>
        <w:rPr>
          <w:b/>
          <w:sz w:val="2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8259"/>
      </w:tblGrid>
      <w:tr w:rsidR="00BD5957">
        <w:trPr>
          <w:trHeight w:val="465"/>
        </w:trPr>
        <w:tc>
          <w:tcPr>
            <w:tcW w:w="9220" w:type="dxa"/>
            <w:gridSpan w:val="2"/>
            <w:tcBorders>
              <w:bottom w:val="single" w:sz="8" w:space="0" w:color="000000"/>
            </w:tcBorders>
          </w:tcPr>
          <w:p w:rsidR="00BD5957" w:rsidRDefault="0039238B">
            <w:pPr>
              <w:pStyle w:val="TableParagraph"/>
              <w:spacing w:line="229" w:lineRule="exact"/>
              <w:ind w:left="110"/>
              <w:rPr>
                <w:i/>
                <w:sz w:val="20"/>
              </w:rPr>
            </w:pPr>
            <w:r>
              <w:rPr>
                <w:i/>
                <w:sz w:val="20"/>
              </w:rPr>
              <w:t xml:space="preserve">Opredeli se varovanje poslovnih skrivnosti kot je opisano spodaj Označi z </w:t>
            </w:r>
            <w:r>
              <w:rPr>
                <w:i/>
                <w:sz w:val="20"/>
              </w:rPr>
              <w:t>DA eno izmed možnosti:.</w:t>
            </w:r>
          </w:p>
        </w:tc>
      </w:tr>
      <w:tr w:rsidR="00BD5957">
        <w:trPr>
          <w:trHeight w:val="2313"/>
        </w:trPr>
        <w:tc>
          <w:tcPr>
            <w:tcW w:w="961" w:type="dxa"/>
            <w:tcBorders>
              <w:top w:val="single" w:sz="8" w:space="0" w:color="000000"/>
            </w:tcBorders>
          </w:tcPr>
          <w:p w:rsidR="00BD5957" w:rsidRDefault="00BD5957">
            <w:pPr>
              <w:pStyle w:val="TableParagraph"/>
              <w:ind w:left="0"/>
              <w:rPr>
                <w:rFonts w:ascii="Times New Roman"/>
                <w:sz w:val="20"/>
              </w:rPr>
            </w:pPr>
          </w:p>
        </w:tc>
        <w:tc>
          <w:tcPr>
            <w:tcW w:w="8259" w:type="dxa"/>
            <w:tcBorders>
              <w:top w:val="single" w:sz="8" w:space="0" w:color="000000"/>
            </w:tcBorders>
          </w:tcPr>
          <w:p w:rsidR="00BD5957" w:rsidRDefault="0039238B">
            <w:pPr>
              <w:pStyle w:val="TableParagraph"/>
              <w:spacing w:line="276" w:lineRule="auto"/>
              <w:ind w:right="97"/>
              <w:jc w:val="both"/>
              <w:rPr>
                <w:sz w:val="20"/>
              </w:rPr>
            </w:pPr>
            <w:r>
              <w:rPr>
                <w:sz w:val="20"/>
              </w:rPr>
              <w:t>Upravičenec, ki kandidira na razpisu se strinja, da bo kompletna vloga, ne glede na tajnost ali zaupnost podatkov na razpolago vsem zgoraj navedenim službam. V Poglavju 3.2.1.</w:t>
            </w:r>
          </w:p>
          <w:p w:rsidR="00BD5957" w:rsidRDefault="0039238B">
            <w:pPr>
              <w:pStyle w:val="TableParagraph"/>
              <w:spacing w:line="276" w:lineRule="auto"/>
              <w:ind w:right="93"/>
              <w:jc w:val="both"/>
              <w:rPr>
                <w:sz w:val="20"/>
              </w:rPr>
            </w:pPr>
            <w:r>
              <w:rPr>
                <w:sz w:val="20"/>
              </w:rPr>
              <w:t>»Projekt, skupina projektov in program, ki ga izvaja u</w:t>
            </w:r>
            <w:r>
              <w:rPr>
                <w:sz w:val="20"/>
              </w:rPr>
              <w:t>pravičenec« je navedeno, kakšni so postopki za prijavo in izbor operacij. V točki 3.61, 3.62 in 3.63 je opredeljeno kakšne so obveznosti upravičenca v primeru, da kandidira na razpisu, točka 3.71 pa govori o obveznosti PO, da zagotovi v informacijskem sist</w:t>
            </w:r>
            <w:r>
              <w:rPr>
                <w:sz w:val="20"/>
              </w:rPr>
              <w:t xml:space="preserve">emu </w:t>
            </w:r>
            <w:proofErr w:type="spellStart"/>
            <w:r>
              <w:rPr>
                <w:sz w:val="20"/>
              </w:rPr>
              <w:t>eMA</w:t>
            </w:r>
            <w:proofErr w:type="spellEnd"/>
            <w:r>
              <w:rPr>
                <w:sz w:val="20"/>
              </w:rPr>
              <w:t xml:space="preserve"> veljavno vlogo prijavitelja za projekt, skupino projektov oziroma program, ki ga izvaja upravičenec, ki je bila podlaga za oceno kakovosti s strani PO.</w:t>
            </w:r>
          </w:p>
        </w:tc>
      </w:tr>
      <w:tr w:rsidR="00BD5957">
        <w:trPr>
          <w:trHeight w:val="1257"/>
        </w:trPr>
        <w:tc>
          <w:tcPr>
            <w:tcW w:w="961" w:type="dxa"/>
          </w:tcPr>
          <w:p w:rsidR="00BD5957" w:rsidRDefault="00BD5957">
            <w:pPr>
              <w:pStyle w:val="TableParagraph"/>
              <w:ind w:left="0"/>
              <w:rPr>
                <w:rFonts w:ascii="Times New Roman"/>
                <w:sz w:val="20"/>
              </w:rPr>
            </w:pPr>
          </w:p>
        </w:tc>
        <w:tc>
          <w:tcPr>
            <w:tcW w:w="8259" w:type="dxa"/>
          </w:tcPr>
          <w:p w:rsidR="00BD5957" w:rsidRDefault="0039238B">
            <w:pPr>
              <w:pStyle w:val="TableParagraph"/>
              <w:spacing w:line="276" w:lineRule="auto"/>
              <w:ind w:right="95"/>
              <w:jc w:val="both"/>
              <w:rPr>
                <w:sz w:val="20"/>
              </w:rPr>
            </w:pPr>
            <w:r>
              <w:rPr>
                <w:sz w:val="20"/>
              </w:rPr>
              <w:t xml:space="preserve">S prijavo na javni razpis se prijavitelj strinja, da javni uslužbenci (PO, OU, MF-PO, RO) z namenom preverjanja vloge in odločitve o sofinanciranju </w:t>
            </w:r>
            <w:proofErr w:type="spellStart"/>
            <w:r>
              <w:rPr>
                <w:sz w:val="20"/>
              </w:rPr>
              <w:t>vpogledajo</w:t>
            </w:r>
            <w:proofErr w:type="spellEnd"/>
            <w:r>
              <w:rPr>
                <w:sz w:val="20"/>
              </w:rPr>
              <w:t xml:space="preserve"> v vlogo ter vključno v tiste njene dele, ki so označeni kot poslovna skrivnost, saj je vpogled v </w:t>
            </w:r>
            <w:r>
              <w:rPr>
                <w:sz w:val="20"/>
              </w:rPr>
              <w:t>te dele potreben za izdelavo ocene vloge in izpolnjenosti pogojev s strani ministrstva.</w:t>
            </w:r>
          </w:p>
        </w:tc>
      </w:tr>
    </w:tbl>
    <w:p w:rsidR="00BD5957" w:rsidRDefault="00BD5957">
      <w:pPr>
        <w:pStyle w:val="Telobesedila"/>
        <w:rPr>
          <w:b/>
          <w:sz w:val="24"/>
        </w:rPr>
      </w:pPr>
    </w:p>
    <w:p w:rsidR="00BD5957" w:rsidRDefault="00BD5957">
      <w:pPr>
        <w:pStyle w:val="Telobesedila"/>
        <w:rPr>
          <w:b/>
          <w:sz w:val="24"/>
        </w:rPr>
      </w:pPr>
    </w:p>
    <w:p w:rsidR="00BD5957" w:rsidRDefault="00BD5957">
      <w:pPr>
        <w:pStyle w:val="Telobesedila"/>
        <w:spacing w:before="11"/>
        <w:rPr>
          <w:b/>
          <w:sz w:val="32"/>
        </w:rPr>
      </w:pPr>
    </w:p>
    <w:p w:rsidR="00BD5957" w:rsidRDefault="0039238B">
      <w:pPr>
        <w:pStyle w:val="Telobesedila"/>
        <w:tabs>
          <w:tab w:val="left" w:pos="3393"/>
          <w:tab w:val="left" w:pos="5882"/>
        </w:tabs>
        <w:ind w:left="216"/>
      </w:pPr>
      <w:r>
        <w:t>Datum in</w:t>
      </w:r>
      <w:r>
        <w:rPr>
          <w:spacing w:val="-1"/>
        </w:rPr>
        <w:t xml:space="preserve"> </w:t>
      </w:r>
      <w:r>
        <w:t xml:space="preserve">kraj: </w:t>
      </w:r>
      <w:r>
        <w:softHyphen/>
      </w:r>
      <w:r>
        <w:softHyphen/>
      </w:r>
      <w:r>
        <w:softHyphen/>
      </w:r>
      <w:r>
        <w:softHyphen/>
      </w:r>
      <w:r>
        <w:softHyphen/>
        <w:t>___________________</w:t>
      </w:r>
      <w:r>
        <w:tab/>
      </w:r>
      <w:r>
        <w:tab/>
      </w:r>
      <w:r>
        <w:t>Podpis odgovorne osebe:</w:t>
      </w:r>
      <w:bookmarkStart w:id="0" w:name="_GoBack"/>
      <w:bookmarkEnd w:id="0"/>
    </w:p>
    <w:sectPr w:rsidR="00BD5957">
      <w:pgSz w:w="11910" w:h="16840"/>
      <w:pgMar w:top="1560" w:right="126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33" w:rsidRDefault="00B82A33" w:rsidP="00B82A33">
      <w:r>
        <w:separator/>
      </w:r>
    </w:p>
  </w:endnote>
  <w:endnote w:type="continuationSeparator" w:id="0">
    <w:p w:rsidR="00B82A33" w:rsidRDefault="00B82A33" w:rsidP="00B8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33" w:rsidRDefault="00B82A33" w:rsidP="00B82A33">
      <w:r>
        <w:separator/>
      </w:r>
    </w:p>
  </w:footnote>
  <w:footnote w:type="continuationSeparator" w:id="0">
    <w:p w:rsidR="00B82A33" w:rsidRDefault="00B82A33" w:rsidP="00B82A33">
      <w:r>
        <w:continuationSeparator/>
      </w:r>
    </w:p>
  </w:footnote>
  <w:footnote w:id="1">
    <w:p w:rsidR="00B82A33" w:rsidRPr="002F79A7" w:rsidRDefault="00B82A33" w:rsidP="00B82A33">
      <w:pPr>
        <w:spacing w:before="52" w:line="249" w:lineRule="auto"/>
        <w:ind w:left="216" w:right="238"/>
        <w:rPr>
          <w:sz w:val="16"/>
          <w:szCs w:val="16"/>
        </w:rPr>
      </w:pPr>
      <w:r>
        <w:rPr>
          <w:rStyle w:val="Sprotnaopomba-sklic"/>
        </w:rPr>
        <w:footnoteRef/>
      </w:r>
      <w:r>
        <w:t xml:space="preserve"> </w:t>
      </w:r>
      <w:r w:rsidRPr="002F79A7">
        <w:rPr>
          <w:sz w:val="16"/>
          <w:szCs w:val="16"/>
        </w:rPr>
        <w:t>Skladno z 2. točko 72. členom UREDBE (EU) št. 1303/2013 EVROPSKEGA PARLAMENTA IN SVETA z dne 17. decembra 2013, je pri operaciji, ki vključuje naložbe v infrastrukturo ali produktivne naložbe, treba prispevke iz skladov ESI vrniti, če se proizvodna dejavnost v 10 letih od zadnjega izplačila upravičencu premesti iz Unije, razen kadar je upravičenec MSP. Kadar je prispevek iz skladov ESI v obliki državne pomoči, se namesto desetletnega obdobja uporabi rok, ki velja v okviru pravil o državni pomoči.</w:t>
      </w:r>
    </w:p>
    <w:p w:rsidR="00B82A33" w:rsidRDefault="00B82A33">
      <w:pPr>
        <w:pStyle w:val="Sprotnaopomba-besedil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F6A4A"/>
    <w:multiLevelType w:val="hybridMultilevel"/>
    <w:tmpl w:val="AF58775C"/>
    <w:lvl w:ilvl="0" w:tplc="A53681BA">
      <w:start w:val="1"/>
      <w:numFmt w:val="decimal"/>
      <w:lvlText w:val="%1."/>
      <w:lvlJc w:val="left"/>
      <w:pPr>
        <w:ind w:left="465" w:hanging="250"/>
        <w:jc w:val="left"/>
      </w:pPr>
      <w:rPr>
        <w:rFonts w:ascii="Arial" w:eastAsia="Arial" w:hAnsi="Arial" w:cs="Arial" w:hint="default"/>
        <w:b/>
        <w:bCs/>
        <w:spacing w:val="0"/>
        <w:w w:val="100"/>
        <w:sz w:val="22"/>
        <w:szCs w:val="22"/>
        <w:lang w:val="sl-SI" w:eastAsia="sl-SI" w:bidi="sl-SI"/>
      </w:rPr>
    </w:lvl>
    <w:lvl w:ilvl="1" w:tplc="5F1AC00E">
      <w:numFmt w:val="bullet"/>
      <w:lvlText w:val="•"/>
      <w:lvlJc w:val="left"/>
      <w:pPr>
        <w:ind w:left="1358" w:hanging="250"/>
      </w:pPr>
      <w:rPr>
        <w:rFonts w:hint="default"/>
        <w:lang w:val="sl-SI" w:eastAsia="sl-SI" w:bidi="sl-SI"/>
      </w:rPr>
    </w:lvl>
    <w:lvl w:ilvl="2" w:tplc="5D700F6A">
      <w:numFmt w:val="bullet"/>
      <w:lvlText w:val="•"/>
      <w:lvlJc w:val="left"/>
      <w:pPr>
        <w:ind w:left="2256" w:hanging="250"/>
      </w:pPr>
      <w:rPr>
        <w:rFonts w:hint="default"/>
        <w:lang w:val="sl-SI" w:eastAsia="sl-SI" w:bidi="sl-SI"/>
      </w:rPr>
    </w:lvl>
    <w:lvl w:ilvl="3" w:tplc="ACC822EE">
      <w:numFmt w:val="bullet"/>
      <w:lvlText w:val="•"/>
      <w:lvlJc w:val="left"/>
      <w:pPr>
        <w:ind w:left="3155" w:hanging="250"/>
      </w:pPr>
      <w:rPr>
        <w:rFonts w:hint="default"/>
        <w:lang w:val="sl-SI" w:eastAsia="sl-SI" w:bidi="sl-SI"/>
      </w:rPr>
    </w:lvl>
    <w:lvl w:ilvl="4" w:tplc="8DAC776E">
      <w:numFmt w:val="bullet"/>
      <w:lvlText w:val="•"/>
      <w:lvlJc w:val="left"/>
      <w:pPr>
        <w:ind w:left="4053" w:hanging="250"/>
      </w:pPr>
      <w:rPr>
        <w:rFonts w:hint="default"/>
        <w:lang w:val="sl-SI" w:eastAsia="sl-SI" w:bidi="sl-SI"/>
      </w:rPr>
    </w:lvl>
    <w:lvl w:ilvl="5" w:tplc="12EC2D00">
      <w:numFmt w:val="bullet"/>
      <w:lvlText w:val="•"/>
      <w:lvlJc w:val="left"/>
      <w:pPr>
        <w:ind w:left="4952" w:hanging="250"/>
      </w:pPr>
      <w:rPr>
        <w:rFonts w:hint="default"/>
        <w:lang w:val="sl-SI" w:eastAsia="sl-SI" w:bidi="sl-SI"/>
      </w:rPr>
    </w:lvl>
    <w:lvl w:ilvl="6" w:tplc="A9D49818">
      <w:numFmt w:val="bullet"/>
      <w:lvlText w:val="•"/>
      <w:lvlJc w:val="left"/>
      <w:pPr>
        <w:ind w:left="5850" w:hanging="250"/>
      </w:pPr>
      <w:rPr>
        <w:rFonts w:hint="default"/>
        <w:lang w:val="sl-SI" w:eastAsia="sl-SI" w:bidi="sl-SI"/>
      </w:rPr>
    </w:lvl>
    <w:lvl w:ilvl="7" w:tplc="3E54B12E">
      <w:numFmt w:val="bullet"/>
      <w:lvlText w:val="•"/>
      <w:lvlJc w:val="left"/>
      <w:pPr>
        <w:ind w:left="6748" w:hanging="250"/>
      </w:pPr>
      <w:rPr>
        <w:rFonts w:hint="default"/>
        <w:lang w:val="sl-SI" w:eastAsia="sl-SI" w:bidi="sl-SI"/>
      </w:rPr>
    </w:lvl>
    <w:lvl w:ilvl="8" w:tplc="B78265B0">
      <w:numFmt w:val="bullet"/>
      <w:lvlText w:val="•"/>
      <w:lvlJc w:val="left"/>
      <w:pPr>
        <w:ind w:left="7647" w:hanging="250"/>
      </w:pPr>
      <w:rPr>
        <w:rFonts w:hint="default"/>
        <w:lang w:val="sl-SI" w:eastAsia="sl-SI" w:bidi="sl-S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57"/>
    <w:rsid w:val="0039238B"/>
    <w:rsid w:val="00B82A33"/>
    <w:rsid w:val="00BD59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E2C342"/>
  <w15:docId w15:val="{E2483CD4-4BE9-448A-A66D-33874CDB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Arial"/>
      <w:lang w:val="sl-SI" w:eastAsia="sl-SI" w:bidi="sl-SI"/>
    </w:rPr>
  </w:style>
  <w:style w:type="paragraph" w:styleId="Naslov1">
    <w:name w:val="heading 1"/>
    <w:basedOn w:val="Navaden"/>
    <w:uiPriority w:val="1"/>
    <w:qFormat/>
    <w:pPr>
      <w:ind w:left="465" w:hanging="250"/>
      <w:outlineLvl w:val="0"/>
    </w:pPr>
    <w:rPr>
      <w:b/>
      <w:bCs/>
    </w:rPr>
  </w:style>
  <w:style w:type="paragraph" w:styleId="Naslov2">
    <w:name w:val="heading 2"/>
    <w:basedOn w:val="Navaden"/>
    <w:uiPriority w:val="1"/>
    <w:qFormat/>
    <w:pPr>
      <w:ind w:left="216"/>
      <w:jc w:val="both"/>
      <w:outlineLvl w:val="1"/>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465" w:hanging="250"/>
    </w:pPr>
  </w:style>
  <w:style w:type="paragraph" w:customStyle="1" w:styleId="TableParagraph">
    <w:name w:val="Table Paragraph"/>
    <w:basedOn w:val="Navaden"/>
    <w:uiPriority w:val="1"/>
    <w:qFormat/>
    <w:pPr>
      <w:ind w:left="109"/>
    </w:pPr>
  </w:style>
  <w:style w:type="paragraph" w:styleId="Sprotnaopomba-besedilo">
    <w:name w:val="footnote text"/>
    <w:basedOn w:val="Navaden"/>
    <w:link w:val="Sprotnaopomba-besediloZnak"/>
    <w:uiPriority w:val="99"/>
    <w:semiHidden/>
    <w:unhideWhenUsed/>
    <w:rsid w:val="00B82A33"/>
    <w:rPr>
      <w:sz w:val="20"/>
      <w:szCs w:val="20"/>
    </w:rPr>
  </w:style>
  <w:style w:type="character" w:customStyle="1" w:styleId="Sprotnaopomba-besediloZnak">
    <w:name w:val="Sprotna opomba - besedilo Znak"/>
    <w:basedOn w:val="Privzetapisavaodstavka"/>
    <w:link w:val="Sprotnaopomba-besedilo"/>
    <w:uiPriority w:val="99"/>
    <w:semiHidden/>
    <w:rsid w:val="00B82A33"/>
    <w:rPr>
      <w:rFonts w:ascii="Arial" w:eastAsia="Arial" w:hAnsi="Arial" w:cs="Arial"/>
      <w:sz w:val="20"/>
      <w:szCs w:val="20"/>
      <w:lang w:val="sl-SI" w:eastAsia="sl-SI" w:bidi="sl-SI"/>
    </w:rPr>
  </w:style>
  <w:style w:type="character" w:styleId="Sprotnaopomba-sklic">
    <w:name w:val="footnote reference"/>
    <w:basedOn w:val="Privzetapisavaodstavka"/>
    <w:uiPriority w:val="99"/>
    <w:semiHidden/>
    <w:unhideWhenUsed/>
    <w:rsid w:val="00B82A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hyperlink" Target="http://www.ip-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ip@ip-r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mgrt@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mgrt@gov.si" TargetMode="Externa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yperlink" Target="http://www.mgrt.gov.si/si/o_ministrstvu/varstvo_osebnih_podatk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53DCC2-A3D4-4A5D-879E-942DC8D8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2084</Words>
  <Characters>11879</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Petrovčič</dc:creator>
  <cp:lastModifiedBy>Irena Milinkovič</cp:lastModifiedBy>
  <cp:revision>3</cp:revision>
  <dcterms:created xsi:type="dcterms:W3CDTF">2021-02-23T08:49:00Z</dcterms:created>
  <dcterms:modified xsi:type="dcterms:W3CDTF">2021-02-23T08:49:00Z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for Microsoft 365</vt:lpwstr>
  </property>
  <property fmtid="{D5CDD505-2E9C-101B-9397-08002B2CF9AE}" pid="4" name="LastSaved">
    <vt:filetime>2021-02-23T00:00:00Z</vt:filetime>
  </property>
</Properties>
</file>