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Pripravljen in sprejet že imamo DIIP katerega vrednost je 100.000 eur, ker pa je prišlo do sprememb ključnih postavk bi ga morali novelirati. Novelacija DIIP kot dokument v javnofinančnih predpisih in skladno z Uredbo o enotni metodologiji za pripravo in obravnavo investicijske dokumentacije na področju javnih financ, ne obstaja. Kateri dokument je torej naslednji nivo investicijske dokumentacije? IP ali že kar novelacija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Kako dolg rok za dopolnitev vlog se pričakuje? Predvideva se namreč, da bodo občine v letošnjem letu znova prisiljene v zelo kratkem času delati rebalanse proračunov zaradi uskladitve NRPjev.</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klimata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nepovračljivi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 kolikor gre v vašem primeru za obnovo, posodobitev ali rekonstrukcijo javne športne dvorane, je menjava oz. nadgradnja klimata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65E518D8" w:rsidR="00AC6EFB" w:rsidRDefault="004538A2" w:rsidP="002D6309">
            <w:pPr>
              <w:spacing w:line="240" w:lineRule="auto"/>
              <w:jc w:val="center"/>
              <w:rPr>
                <w:rFonts w:ascii="Arial" w:hAnsi="Arial" w:cs="Arial"/>
                <w:sz w:val="20"/>
                <w:szCs w:val="20"/>
              </w:rPr>
            </w:pPr>
            <w:r>
              <w:rPr>
                <w:rFonts w:ascii="Arial" w:hAnsi="Arial" w:cs="Arial"/>
                <w:sz w:val="20"/>
                <w:szCs w:val="20"/>
              </w:rPr>
              <w:t>16</w:t>
            </w:r>
          </w:p>
        </w:tc>
        <w:tc>
          <w:tcPr>
            <w:tcW w:w="4253" w:type="dxa"/>
          </w:tcPr>
          <w:p w14:paraId="16A768C2" w14:textId="5B2BFDDF" w:rsidR="00AC6EFB"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38A2">
              <w:rPr>
                <w:rFonts w:ascii="Arial" w:hAnsi="Arial" w:cs="Arial"/>
                <w:sz w:val="20"/>
                <w:szCs w:val="20"/>
              </w:rPr>
              <w:t xml:space="preserve">Lastnik ene parcele je javno podjetje, katerega edina ustanoviteljica je občina. Javnemu podjetju je s strani občine bila podeljena tudi koncesija za upravljanje žičnic in smučišč. Občina bi od javnega podjetja pridobila stvarno pravico gradnje, ki bi bila vpisana v zemljiško knjigo ali pa stavbno pravico z vpisom v zemljiško knjigo. Ali bi to zadostovalo izpolnjevanju pogoja glede lastništva?  </w:t>
            </w:r>
          </w:p>
        </w:tc>
        <w:tc>
          <w:tcPr>
            <w:tcW w:w="4247" w:type="dxa"/>
          </w:tcPr>
          <w:p w14:paraId="2F6A8A22" w14:textId="0143F2A7" w:rsidR="00AC6EFB" w:rsidRDefault="0040054A"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054A">
              <w:rPr>
                <w:rFonts w:ascii="Arial" w:hAnsi="Arial" w:cs="Arial"/>
                <w:sz w:val="20"/>
                <w:szCs w:val="20"/>
              </w:rPr>
              <w:t>V Javnem razpisu za izbor sofinanciranja investicij v športno infrastrukturo v letu 2025 je pogoj lastništvo oziroma lastninska pravica. Lastninska pravica na nepremičnini se izkazuje z izpisom iz zemljiške knjige.</w:t>
            </w:r>
          </w:p>
        </w:tc>
      </w:tr>
      <w:tr w:rsidR="004538A2" w14:paraId="3E41E9A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2F016C" w14:textId="77777777" w:rsidR="004538A2" w:rsidRDefault="004538A2" w:rsidP="002D6309">
            <w:pPr>
              <w:spacing w:line="240" w:lineRule="auto"/>
              <w:jc w:val="center"/>
              <w:rPr>
                <w:rFonts w:ascii="Arial" w:hAnsi="Arial" w:cs="Arial"/>
                <w:sz w:val="20"/>
                <w:szCs w:val="20"/>
              </w:rPr>
            </w:pPr>
          </w:p>
        </w:tc>
        <w:tc>
          <w:tcPr>
            <w:tcW w:w="4253" w:type="dxa"/>
          </w:tcPr>
          <w:p w14:paraId="44566DB7" w14:textId="77777777" w:rsidR="004538A2"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42BBEB62" w14:textId="77777777" w:rsidR="004538A2" w:rsidRDefault="004538A2"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4"/>
  </w:num>
  <w:num w:numId="2" w16cid:durableId="1089813002">
    <w:abstractNumId w:val="3"/>
  </w:num>
  <w:num w:numId="3" w16cid:durableId="1366566066">
    <w:abstractNumId w:val="7"/>
  </w:num>
  <w:num w:numId="4" w16cid:durableId="672874882">
    <w:abstractNumId w:val="0"/>
  </w:num>
  <w:num w:numId="5" w16cid:durableId="1544518161">
    <w:abstractNumId w:val="8"/>
  </w:num>
  <w:num w:numId="6" w16cid:durableId="1282228795">
    <w:abstractNumId w:val="5"/>
  </w:num>
  <w:num w:numId="7" w16cid:durableId="1770810016">
    <w:abstractNumId w:val="2"/>
  </w:num>
  <w:num w:numId="8" w16cid:durableId="134178502">
    <w:abstractNumId w:val="1"/>
  </w:num>
  <w:num w:numId="9" w16cid:durableId="1614895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ZJpqDGRcQEakHz5znEc3La4qdiX6byT3OMWjhom0QlsFoCx0+Mn5hC/W5JkZuUkRs+y56dFrwJbMyeCWpZExzA==" w:salt="QjYE55UJv8Dcg7Mowe5h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94FB0"/>
    <w:rsid w:val="002C43E7"/>
    <w:rsid w:val="002D6309"/>
    <w:rsid w:val="002D6626"/>
    <w:rsid w:val="002F17CE"/>
    <w:rsid w:val="002F6A5B"/>
    <w:rsid w:val="00352AC2"/>
    <w:rsid w:val="00354293"/>
    <w:rsid w:val="00363B39"/>
    <w:rsid w:val="003711AA"/>
    <w:rsid w:val="003A1A11"/>
    <w:rsid w:val="003B52ED"/>
    <w:rsid w:val="003C0D34"/>
    <w:rsid w:val="003C48D8"/>
    <w:rsid w:val="0040054A"/>
    <w:rsid w:val="004538A2"/>
    <w:rsid w:val="00465D3B"/>
    <w:rsid w:val="004919AB"/>
    <w:rsid w:val="004A19C4"/>
    <w:rsid w:val="004F7618"/>
    <w:rsid w:val="00502DAF"/>
    <w:rsid w:val="00503D18"/>
    <w:rsid w:val="0054510E"/>
    <w:rsid w:val="005545B0"/>
    <w:rsid w:val="005572BB"/>
    <w:rsid w:val="00571402"/>
    <w:rsid w:val="0057401F"/>
    <w:rsid w:val="00592966"/>
    <w:rsid w:val="005B337F"/>
    <w:rsid w:val="005C4CB0"/>
    <w:rsid w:val="005F023C"/>
    <w:rsid w:val="005F516C"/>
    <w:rsid w:val="00630F37"/>
    <w:rsid w:val="00651778"/>
    <w:rsid w:val="006757CC"/>
    <w:rsid w:val="00681F32"/>
    <w:rsid w:val="006B2465"/>
    <w:rsid w:val="006C5E25"/>
    <w:rsid w:val="006D0C3F"/>
    <w:rsid w:val="006D2280"/>
    <w:rsid w:val="00704428"/>
    <w:rsid w:val="00713502"/>
    <w:rsid w:val="00713CC9"/>
    <w:rsid w:val="00721EF7"/>
    <w:rsid w:val="00735FD5"/>
    <w:rsid w:val="007474D9"/>
    <w:rsid w:val="007520EC"/>
    <w:rsid w:val="007739F6"/>
    <w:rsid w:val="00785ADD"/>
    <w:rsid w:val="007C5A4C"/>
    <w:rsid w:val="007C7671"/>
    <w:rsid w:val="007D633F"/>
    <w:rsid w:val="007E5EA0"/>
    <w:rsid w:val="007E79B6"/>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638F4"/>
    <w:rsid w:val="009853CB"/>
    <w:rsid w:val="0099203A"/>
    <w:rsid w:val="009A1240"/>
    <w:rsid w:val="009A5CE8"/>
    <w:rsid w:val="009A6C41"/>
    <w:rsid w:val="009E2D31"/>
    <w:rsid w:val="009E6617"/>
    <w:rsid w:val="00A009D0"/>
    <w:rsid w:val="00A94A5B"/>
    <w:rsid w:val="00AA65F1"/>
    <w:rsid w:val="00AB241E"/>
    <w:rsid w:val="00AB658D"/>
    <w:rsid w:val="00AC3AFB"/>
    <w:rsid w:val="00AC6EFB"/>
    <w:rsid w:val="00AC797C"/>
    <w:rsid w:val="00AD2728"/>
    <w:rsid w:val="00AD62EA"/>
    <w:rsid w:val="00AE13CE"/>
    <w:rsid w:val="00B22917"/>
    <w:rsid w:val="00B22C5B"/>
    <w:rsid w:val="00B230B8"/>
    <w:rsid w:val="00B6142E"/>
    <w:rsid w:val="00B80FD1"/>
    <w:rsid w:val="00B86E4F"/>
    <w:rsid w:val="00B876C6"/>
    <w:rsid w:val="00BC3E42"/>
    <w:rsid w:val="00BD0541"/>
    <w:rsid w:val="00BD497C"/>
    <w:rsid w:val="00BD7662"/>
    <w:rsid w:val="00BF0A26"/>
    <w:rsid w:val="00BF2636"/>
    <w:rsid w:val="00C01991"/>
    <w:rsid w:val="00C01E20"/>
    <w:rsid w:val="00C01F0C"/>
    <w:rsid w:val="00C34E77"/>
    <w:rsid w:val="00C44736"/>
    <w:rsid w:val="00C476CD"/>
    <w:rsid w:val="00C53C88"/>
    <w:rsid w:val="00C56A4B"/>
    <w:rsid w:val="00C62CA5"/>
    <w:rsid w:val="00C65A3A"/>
    <w:rsid w:val="00C92845"/>
    <w:rsid w:val="00CB6866"/>
    <w:rsid w:val="00CD05A4"/>
    <w:rsid w:val="00D10A9A"/>
    <w:rsid w:val="00D10D39"/>
    <w:rsid w:val="00D42389"/>
    <w:rsid w:val="00DD2999"/>
    <w:rsid w:val="00DD7D90"/>
    <w:rsid w:val="00DE57FA"/>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6</Pages>
  <Words>3135</Words>
  <Characters>17871</Characters>
  <Application>Microsoft Office Word</Application>
  <DocSecurity>8</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241</cp:revision>
  <cp:lastPrinted>2024-05-13T11:15:00Z</cp:lastPrinted>
  <dcterms:created xsi:type="dcterms:W3CDTF">2025-04-07T10:25:00Z</dcterms:created>
  <dcterms:modified xsi:type="dcterms:W3CDTF">2025-04-15T12:32:00Z</dcterms:modified>
</cp:coreProperties>
</file>