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6049330B" w:rsidR="005D3A30" w:rsidRDefault="005D3A30"/>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253"/>
        <w:gridCol w:w="4247"/>
      </w:tblGrid>
      <w:tr w:rsidR="005D3A30" w14:paraId="621C2CA5" w14:textId="77777777" w:rsidTr="00343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253"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34367F">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253"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247"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34367F">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253"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1CB3DFBF"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12BC51C5"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0731797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w:t>
            </w:r>
            <w:r w:rsidRPr="00350F0E">
              <w:rPr>
                <w:rFonts w:ascii="Arial" w:hAnsi="Arial" w:cs="Arial"/>
                <w:b/>
                <w:bCs/>
                <w:sz w:val="20"/>
                <w:szCs w:val="20"/>
              </w:rPr>
              <w:lastRenderedPageBreak/>
              <w:t xml:space="preserve">stroškov investicije v energetsko prenovo telovadnice, ki bo v celoti izvedena v letu 2023. Načrtovana 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247"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34367F">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2C7A02" w:rsidRDefault="002C7A02" w:rsidP="002C7A02">
            <w:pPr>
              <w:jc w:val="center"/>
              <w:rPr>
                <w:rFonts w:ascii="Arial" w:hAnsi="Arial" w:cs="Arial"/>
                <w:sz w:val="20"/>
                <w:szCs w:val="20"/>
              </w:rPr>
            </w:pPr>
            <w:r w:rsidRPr="002C7A02">
              <w:rPr>
                <w:rFonts w:ascii="Arial" w:hAnsi="Arial" w:cs="Arial"/>
                <w:sz w:val="20"/>
                <w:szCs w:val="20"/>
              </w:rPr>
              <w:t>3</w:t>
            </w:r>
          </w:p>
        </w:tc>
        <w:tc>
          <w:tcPr>
            <w:tcW w:w="4253"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502AC99"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4D02438A"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Bledec na Bledu (šestkrožno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6780F4EA"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247"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bl>
    <w:p w14:paraId="023AE9CE" w14:textId="2928293A" w:rsidR="00AE0A6A" w:rsidRDefault="00AE0A6A" w:rsidP="005D3A30">
      <w:pPr>
        <w:spacing w:after="0"/>
        <w:jc w:val="center"/>
        <w:rPr>
          <w:b/>
          <w:bCs/>
        </w:rPr>
      </w:pPr>
    </w:p>
    <w:sectPr w:rsidR="00AE0A6A" w:rsidSect="005D3A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8B88" w14:textId="77777777" w:rsidR="0041051F" w:rsidRDefault="0041051F" w:rsidP="005D3A30">
      <w:pPr>
        <w:spacing w:after="0" w:line="240" w:lineRule="auto"/>
      </w:pPr>
      <w:r>
        <w:separator/>
      </w:r>
    </w:p>
  </w:endnote>
  <w:endnote w:type="continuationSeparator" w:id="0">
    <w:p w14:paraId="427CEC69" w14:textId="77777777" w:rsidR="0041051F" w:rsidRDefault="0041051F"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A519" w14:textId="77777777" w:rsidR="0041051F" w:rsidRDefault="0041051F" w:rsidP="005D3A30">
      <w:pPr>
        <w:spacing w:after="0" w:line="240" w:lineRule="auto"/>
      </w:pPr>
      <w:r>
        <w:separator/>
      </w:r>
    </w:p>
  </w:footnote>
  <w:footnote w:type="continuationSeparator" w:id="0">
    <w:p w14:paraId="4065B417" w14:textId="77777777" w:rsidR="0041051F" w:rsidRDefault="0041051F"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5F28" w14:textId="539098C2" w:rsidR="005D3A30" w:rsidRPr="005D3A30" w:rsidRDefault="005D3A30" w:rsidP="005D3A30">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25347DB3" wp14:editId="33ADE5A7">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9C6FEC9" wp14:editId="47CA370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7EC9E9"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583437DA" w14:textId="77777777" w:rsidR="005D3A30" w:rsidRPr="005D3A30" w:rsidRDefault="005D3A30" w:rsidP="005D3A30">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664F9A7B" w14:textId="77777777" w:rsidR="005D3A30" w:rsidRPr="005D3A30" w:rsidRDefault="005D3A30" w:rsidP="005D3A30">
    <w:pPr>
      <w:tabs>
        <w:tab w:val="left" w:pos="5112"/>
        <w:tab w:val="right" w:pos="8640"/>
      </w:tabs>
      <w:spacing w:after="0" w:line="240" w:lineRule="exact"/>
      <w:rPr>
        <w:rFonts w:ascii="Arial" w:eastAsia="Times New Roman" w:hAnsi="Arial" w:cs="Arial"/>
        <w:sz w:val="12"/>
        <w:szCs w:val="12"/>
        <w:lang w:val="en-US"/>
      </w:rPr>
    </w:pPr>
  </w:p>
  <w:p w14:paraId="16E65D4B" w14:textId="77777777" w:rsidR="005D3A30" w:rsidRPr="005D3A30" w:rsidRDefault="005D3A30" w:rsidP="005D3A30">
    <w:pPr>
      <w:tabs>
        <w:tab w:val="left" w:pos="5112"/>
        <w:tab w:val="right" w:pos="8640"/>
      </w:tabs>
      <w:spacing w:after="0" w:line="240" w:lineRule="exact"/>
      <w:rPr>
        <w:rFonts w:ascii="Arial" w:eastAsia="Times New Roman" w:hAnsi="Arial" w:cs="Arial"/>
        <w:sz w:val="16"/>
        <w:lang w:val="en-US"/>
      </w:rPr>
    </w:pPr>
    <w:r w:rsidRPr="005D3A30">
      <w:rPr>
        <w:rFonts w:ascii="Arial" w:eastAsia="Times New Roman" w:hAnsi="Arial" w:cs="Arial"/>
        <w:sz w:val="16"/>
        <w:szCs w:val="16"/>
        <w:lang w:val="en-US"/>
      </w:rPr>
      <w:t>Kotnikova ulica 5, 1000 Ljubljana</w:t>
    </w:r>
    <w:r w:rsidRPr="005D3A30">
      <w:rPr>
        <w:rFonts w:ascii="Arial" w:eastAsia="Times New Roman" w:hAnsi="Arial" w:cs="Arial"/>
        <w:sz w:val="16"/>
        <w:szCs w:val="24"/>
        <w:lang w:val="en-US"/>
      </w:rPr>
      <w:tab/>
      <w:t>T: 01 400 36 08</w:t>
    </w:r>
  </w:p>
  <w:p w14:paraId="1E95BC59" w14:textId="77777777" w:rsidR="005D3A30" w:rsidRPr="005D3A30" w:rsidRDefault="005D3A30" w:rsidP="005D3A30">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71675B5A" w14:textId="77777777" w:rsidR="005D3A30" w:rsidRPr="005D3A30" w:rsidRDefault="005D3A30" w:rsidP="005D3A30">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25286E4E" w14:textId="77777777" w:rsidR="005D3A30" w:rsidRPr="005D3A30" w:rsidRDefault="005D3A30" w:rsidP="005D3A30">
    <w:pPr>
      <w:tabs>
        <w:tab w:val="left" w:pos="5112"/>
      </w:tabs>
      <w:spacing w:after="0" w:line="260" w:lineRule="atLeast"/>
      <w:rPr>
        <w:rFonts w:ascii="Arial" w:eastAsia="Times New Roman" w:hAnsi="Arial" w:cs="Times New Roman"/>
        <w:sz w:val="16"/>
        <w:szCs w:val="20"/>
      </w:rPr>
    </w:pPr>
  </w:p>
  <w:p w14:paraId="41F8FBBB" w14:textId="77777777" w:rsidR="005D3A30" w:rsidRDefault="005D3A3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uhijGqlyCxUBOXaXiAL+ziyri8tIgkRSYfeZ46HMDmfCFzWFdX/O6Ao5cdIuJm2H0hdr/08qBUQGklKvdPGSA==" w:salt="2nAiu2kcsiRhgYLrGF+2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744C"/>
    <w:rsid w:val="00037091"/>
    <w:rsid w:val="00085456"/>
    <w:rsid w:val="000F2AD7"/>
    <w:rsid w:val="00195B20"/>
    <w:rsid w:val="002C7A02"/>
    <w:rsid w:val="0034367F"/>
    <w:rsid w:val="00350F0E"/>
    <w:rsid w:val="0041051F"/>
    <w:rsid w:val="00552C3F"/>
    <w:rsid w:val="005D3A30"/>
    <w:rsid w:val="00802BB6"/>
    <w:rsid w:val="009F11BB"/>
    <w:rsid w:val="00AE0A6A"/>
    <w:rsid w:val="00B826D9"/>
    <w:rsid w:val="00E77010"/>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4425</Characters>
  <Application>Microsoft Office Word</Application>
  <DocSecurity>8</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Maja Zlatnar</cp:lastModifiedBy>
  <cp:revision>2</cp:revision>
  <dcterms:created xsi:type="dcterms:W3CDTF">2023-06-14T15:22:00Z</dcterms:created>
  <dcterms:modified xsi:type="dcterms:W3CDTF">2023-06-14T15:22:00Z</dcterms:modified>
</cp:coreProperties>
</file>