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6B" w:rsidRPr="00660969" w:rsidRDefault="0060006B" w:rsidP="0060006B">
      <w:pPr>
        <w:pStyle w:val="Odstavekseznama"/>
        <w:spacing w:after="0"/>
        <w:ind w:left="0"/>
        <w:jc w:val="both"/>
        <w:rPr>
          <w:rFonts w:ascii="Arial Narrow" w:eastAsia="Times New Roman" w:hAnsi="Arial Narrow" w:cs="Arial"/>
        </w:rPr>
      </w:pPr>
    </w:p>
    <w:p w:rsidR="0060006B" w:rsidRPr="0060006B" w:rsidRDefault="0060006B" w:rsidP="0060006B">
      <w:pPr>
        <w:overflowPunct w:val="0"/>
        <w:autoSpaceDE w:val="0"/>
        <w:autoSpaceDN w:val="0"/>
        <w:adjustRightInd w:val="0"/>
        <w:spacing w:line="276" w:lineRule="auto"/>
        <w:jc w:val="center"/>
        <w:textAlignment w:val="baseline"/>
        <w:rPr>
          <w:rFonts w:ascii="Arial Narrow" w:hAnsi="Arial Narrow" w:cs="Arial"/>
          <w:b/>
          <w:i/>
          <w:sz w:val="22"/>
          <w:szCs w:val="22"/>
        </w:rPr>
      </w:pPr>
      <w:r w:rsidRPr="0060006B">
        <w:rPr>
          <w:rFonts w:ascii="Arial Narrow" w:hAnsi="Arial Narrow" w:cs="Arial"/>
          <w:b/>
          <w:i/>
          <w:sz w:val="22"/>
          <w:szCs w:val="22"/>
        </w:rPr>
        <w:t>Priloga št. 2</w:t>
      </w:r>
    </w:p>
    <w:p w:rsidR="0060006B" w:rsidRPr="0060006B" w:rsidRDefault="0060006B" w:rsidP="0060006B">
      <w:pPr>
        <w:pStyle w:val="Naslov1"/>
        <w:numPr>
          <w:ilvl w:val="0"/>
          <w:numId w:val="0"/>
        </w:numPr>
        <w:ind w:left="360" w:hanging="360"/>
        <w:jc w:val="center"/>
      </w:pPr>
      <w:bookmarkStart w:id="0" w:name="_Toc95496037"/>
      <w:r w:rsidRPr="0060006B">
        <w:t>VAROVANJE OSEBNIH PODATKOV IN POSLOVNIH SKRIVNOSTI</w:t>
      </w:r>
      <w:bookmarkEnd w:id="0"/>
    </w:p>
    <w:p w:rsidR="0060006B" w:rsidRPr="00660969" w:rsidRDefault="0060006B" w:rsidP="0060006B">
      <w:pPr>
        <w:autoSpaceDE w:val="0"/>
        <w:autoSpaceDN w:val="0"/>
        <w:adjustRightInd w:val="0"/>
        <w:spacing w:line="276" w:lineRule="auto"/>
        <w:rPr>
          <w:rFonts w:ascii="Arial Narrow" w:hAnsi="Arial Narrow"/>
          <w:b/>
          <w:sz w:val="22"/>
          <w:szCs w:val="22"/>
        </w:rPr>
      </w:pPr>
    </w:p>
    <w:p w:rsidR="0060006B" w:rsidRPr="00660969" w:rsidRDefault="0060006B" w:rsidP="0060006B">
      <w:pPr>
        <w:autoSpaceDE w:val="0"/>
        <w:autoSpaceDN w:val="0"/>
        <w:adjustRightInd w:val="0"/>
        <w:spacing w:line="276" w:lineRule="auto"/>
        <w:rPr>
          <w:rFonts w:ascii="Arial Narrow" w:hAnsi="Arial Narrow"/>
          <w:b/>
          <w:sz w:val="22"/>
          <w:szCs w:val="22"/>
        </w:rPr>
      </w:pPr>
    </w:p>
    <w:p w:rsidR="0060006B" w:rsidRPr="00660969" w:rsidRDefault="0060006B" w:rsidP="0060006B">
      <w:pPr>
        <w:autoSpaceDE w:val="0"/>
        <w:autoSpaceDN w:val="0"/>
        <w:adjustRightInd w:val="0"/>
        <w:spacing w:line="276" w:lineRule="auto"/>
        <w:rPr>
          <w:rFonts w:ascii="Arial Narrow" w:eastAsia="MS Mincho" w:hAnsi="Arial Narrow"/>
          <w:sz w:val="22"/>
          <w:szCs w:val="22"/>
          <w:lang w:eastAsia="sl-SI"/>
        </w:rPr>
      </w:pPr>
      <w:r w:rsidRPr="00660969">
        <w:rPr>
          <w:rFonts w:ascii="Arial Narrow" w:hAnsi="Arial Narrow"/>
          <w:b/>
          <w:sz w:val="22"/>
          <w:szCs w:val="22"/>
        </w:rPr>
        <w:t>1. Varstvo osebnih podatkov</w:t>
      </w:r>
    </w:p>
    <w:p w:rsidR="0060006B" w:rsidRPr="00660969" w:rsidRDefault="0060006B" w:rsidP="0060006B">
      <w:pPr>
        <w:pStyle w:val="TEKST"/>
        <w:spacing w:line="276" w:lineRule="auto"/>
        <w:rPr>
          <w:rFonts w:ascii="Arial Narrow" w:hAnsi="Arial Narrow"/>
        </w:rPr>
      </w:pPr>
      <w:bookmarkStart w:id="1" w:name="_GoBack"/>
      <w:bookmarkEnd w:id="1"/>
    </w:p>
    <w:p w:rsidR="0060006B" w:rsidRPr="00660969" w:rsidRDefault="0060006B" w:rsidP="0060006B">
      <w:pPr>
        <w:pStyle w:val="TEKST"/>
        <w:spacing w:line="276" w:lineRule="auto"/>
        <w:rPr>
          <w:rFonts w:ascii="Arial Narrow" w:eastAsia="MS Mincho" w:hAnsi="Arial Narrow"/>
          <w:b/>
        </w:rPr>
      </w:pPr>
      <w:r w:rsidRPr="00660969">
        <w:rPr>
          <w:rFonts w:ascii="Arial Narrow" w:eastAsia="MS Mincho" w:hAnsi="Arial Narrow"/>
          <w:b/>
        </w:rPr>
        <w:t>Pravna podlaga</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Varovanje osebnih podatkov bo zagotovljeno v skladu z veljavno zakonodajo, torej Splošno uredbo o varstvu podatkov (General Data Protection Regulation, GDPR – Uredba (EU) 2016/679 Evropskega parlamenta in Sveta, v nadaljevanju; Splošna uredba o varstvu podatkov) in Zakonom o varstvu osebnih podatkov (ZVOP-1), ki ureja varstvo osebnih podatkov, vključno s 140. členom Uredbe št. 1303/2013/EU ter povezano vsebino Pravilnika o varstvu osebnih podatkov Ministrstva za gospodarski razvoj in tehnologijo.</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b/>
        </w:rPr>
      </w:pPr>
      <w:r w:rsidRPr="00660969">
        <w:rPr>
          <w:rFonts w:ascii="Arial Narrow" w:eastAsia="MS Mincho" w:hAnsi="Arial Narrow"/>
          <w:b/>
        </w:rPr>
        <w:t>Osnovni podatki o upravljavcu</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Identiteta in kontaktni podatki upravljavca osebnih podatkov; </w:t>
      </w: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Ministrstvo za gospodarski razvoj in tehnologijo, Kotnikova ulica 5, 1000 Ljubljana, tel: (01) 400 33 11, e-mail: gp.mgrt@gov.si, spletna stran: http://www.mgrt.gov.si/, ki ga predstavlja minister </w:t>
      </w:r>
      <w:r>
        <w:rPr>
          <w:rFonts w:ascii="Arial Narrow" w:eastAsia="MS Mincho" w:hAnsi="Arial Narrow"/>
        </w:rPr>
        <w:t>Matjaž Han</w:t>
      </w:r>
      <w:r w:rsidRPr="00660969">
        <w:rPr>
          <w:rFonts w:ascii="Arial Narrow" w:eastAsia="MS Mincho" w:hAnsi="Arial Narrow"/>
        </w:rPr>
        <w:t xml:space="preserve">, tel: 01 400 36 21, e-mail: gp.mgrt@gov.si  </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dpo.mgrt@gov.si</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b/>
        </w:rPr>
      </w:pPr>
      <w:r w:rsidRPr="00660969">
        <w:rPr>
          <w:rFonts w:ascii="Arial Narrow" w:eastAsia="MS Mincho" w:hAnsi="Arial Narrow"/>
          <w:b/>
        </w:rPr>
        <w:t>Čas obdelave oziroma rok hrambe</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Prejeti osebni podatki se bodo obdelovali le toliko časa, dokler bo to potrebno za dosego namena, zaradi katerega so se zbirali ali nadalje obdelovali, torej dokler ne bo razpis izveden oziroma operacija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660969">
        <w:rPr>
          <w:rFonts w:ascii="Arial Narrow" w:eastAsia="MS Mincho" w:hAnsi="Arial Narrow"/>
          <w:bCs/>
        </w:rPr>
        <w:t xml:space="preserve">Zakon o varstvu dokumentarnega in arhivskega gradiva ter arhivih oziroma na njegovi podlagi klasifikacijski načrt </w:t>
      </w:r>
      <w:r w:rsidRPr="00660969">
        <w:rPr>
          <w:rFonts w:ascii="Arial Narrow" w:eastAsia="MS Mincho" w:hAnsi="Arial Narrow"/>
        </w:rPr>
        <w:t xml:space="preserve">Ministrstva za gospodarski razvoj in tehnologijo predpisuje hrambo in tip hrambe dokumentov, v katerih se osebni podatki nahajajo, bodo tovrstni osebni podatki arhivirani in tam kjer je mogoče izbrisani – če ne sodijo med trajno arhivsko gradivo.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Za namene presojanja ali je prejemnik </w:t>
      </w:r>
      <w:r w:rsidRPr="00660969">
        <w:rPr>
          <w:rFonts w:ascii="Arial Narrow" w:eastAsia="Calibri" w:hAnsi="Arial Narrow"/>
        </w:rPr>
        <w:t>opustil</w:t>
      </w:r>
      <w:r w:rsidRPr="00193F17">
        <w:rPr>
          <w:rFonts w:ascii="Arial Narrow" w:eastAsia="Calibri" w:hAnsi="Arial Narrow" w:cs="Calibri"/>
          <w:bCs/>
        </w:rPr>
        <w:t xml:space="preserve"> </w:t>
      </w:r>
      <w:r>
        <w:rPr>
          <w:rFonts w:ascii="Arial Narrow" w:eastAsia="Calibri" w:hAnsi="Arial Narrow" w:cs="Calibri"/>
          <w:bCs/>
        </w:rPr>
        <w:t>investicijo</w:t>
      </w:r>
      <w:r w:rsidRPr="00660969">
        <w:rPr>
          <w:rFonts w:ascii="Arial Narrow" w:eastAsia="Calibri" w:hAnsi="Arial Narrow"/>
        </w:rPr>
        <w:t>, ali je izvedel ali dopustil bistvene spremembe, ki bi lahko vplivale na naravo, značaj, cilje ali pogoje izvajanja</w:t>
      </w:r>
      <w:r w:rsidRPr="00193F17">
        <w:rPr>
          <w:rFonts w:ascii="Arial Narrow" w:eastAsia="Calibri" w:hAnsi="Arial Narrow" w:cs="Calibri"/>
          <w:bCs/>
        </w:rPr>
        <w:t xml:space="preserve"> </w:t>
      </w:r>
      <w:r w:rsidRPr="0018155C">
        <w:rPr>
          <w:rFonts w:ascii="Arial Narrow" w:eastAsia="Calibri" w:hAnsi="Arial Narrow" w:cs="Calibri"/>
          <w:bCs/>
        </w:rPr>
        <w:t>investicije</w:t>
      </w:r>
      <w:r w:rsidRPr="00660969">
        <w:rPr>
          <w:rFonts w:ascii="Arial Narrow" w:eastAsia="Calibri" w:hAnsi="Arial Narrow"/>
        </w:rPr>
        <w:t xml:space="preserve">, zaradi katerih bi se spremenili prvotni cilji </w:t>
      </w:r>
      <w:r w:rsidRPr="0018155C">
        <w:rPr>
          <w:rFonts w:ascii="Arial Narrow" w:eastAsia="Calibri" w:hAnsi="Arial Narrow" w:cs="Calibri"/>
          <w:bCs/>
        </w:rPr>
        <w:t>investicije</w:t>
      </w:r>
      <w:r w:rsidRPr="00660969">
        <w:rPr>
          <w:rFonts w:ascii="Arial Narrow" w:eastAsia="Calibri" w:hAnsi="Arial Narrow"/>
        </w:rPr>
        <w:t xml:space="preserve"> ter presoje ali je prejemnik ciljnim skupinam iz javnega razpisa omogočil uporabo</w:t>
      </w:r>
      <w:r w:rsidRPr="00193F17">
        <w:rPr>
          <w:rFonts w:ascii="Arial Narrow" w:eastAsia="Calibri" w:hAnsi="Arial Narrow" w:cs="Calibri"/>
          <w:bCs/>
        </w:rPr>
        <w:t xml:space="preserve"> </w:t>
      </w:r>
      <w:r w:rsidRPr="0018155C">
        <w:rPr>
          <w:rFonts w:ascii="Arial Narrow" w:eastAsia="Calibri" w:hAnsi="Arial Narrow" w:cs="Calibri"/>
          <w:bCs/>
        </w:rPr>
        <w:t>investicije</w:t>
      </w:r>
      <w:r w:rsidRPr="00660969">
        <w:rPr>
          <w:rFonts w:ascii="Arial Narrow" w:eastAsia="MS Mincho" w:hAnsi="Arial Narrow"/>
        </w:rPr>
        <w:t xml:space="preserve">, je rok za hrambo dokumentov povezanih s takšnim razpisom še pet (5) let od zaključka investicije.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vanish/>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b/>
        </w:rPr>
        <w:t>Namen obdelave</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Ministrstvo za gospodarski razvoj in tehnologijo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Uradu Republike Slovenije za okrevanje in odpornost (v nadaljnjem besedilu: URSOO), Ministrstvu za finance, Računskemu sodišču,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ter učinkovitega delovanja informacijskih sistemov, ki jih uporablja ali jih je dolžno uporabljati ministrstvo (aplikacijo MFRAC).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Vsebina obdelave iz prejšnjega odstavka je omejena na;</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vpogled, zbiranje, beleženje, urejanje in shranjevanje ter izbris ali uničenje (v kolikor je nujno se lahko doda še; strukturiranje, prilagajanje ali spreminjanje, priklic, uporaba, razkritje s posredovanjem, razširjanje ali drugačno omogočanje dostopa, prilagajanje ali kombiniranje, omejevanje,) osebnih podatkov prijaviteljev in upravičencev, pri čemer se zbirajo</w:t>
      </w:r>
      <w:r>
        <w:rPr>
          <w:rFonts w:ascii="Arial Narrow" w:eastAsia="MS Mincho" w:hAnsi="Arial Narrow"/>
        </w:rPr>
        <w:t xml:space="preserve"> sledeče vrste osebnih podatkov:</w:t>
      </w:r>
    </w:p>
    <w:p w:rsidR="0060006B" w:rsidRPr="00660969" w:rsidRDefault="0060006B" w:rsidP="0060006B">
      <w:pPr>
        <w:pStyle w:val="TEKST"/>
        <w:numPr>
          <w:ilvl w:val="0"/>
          <w:numId w:val="2"/>
        </w:numPr>
        <w:spacing w:line="276" w:lineRule="auto"/>
        <w:rPr>
          <w:rFonts w:ascii="Arial Narrow" w:eastAsia="MS Mincho" w:hAnsi="Arial Narrow"/>
        </w:rPr>
      </w:pPr>
      <w:r w:rsidRPr="00660969">
        <w:rPr>
          <w:rFonts w:ascii="Arial Narrow" w:eastAsia="MS Mincho" w:hAnsi="Arial Narrow"/>
        </w:rPr>
        <w:t>osebna imena</w:t>
      </w:r>
      <w:r>
        <w:rPr>
          <w:rFonts w:ascii="Arial Narrow" w:eastAsia="MS Mincho" w:hAnsi="Arial Narrow"/>
        </w:rPr>
        <w:t>,</w:t>
      </w:r>
    </w:p>
    <w:p w:rsidR="0060006B" w:rsidRPr="00660969" w:rsidRDefault="0060006B" w:rsidP="0060006B">
      <w:pPr>
        <w:pStyle w:val="TEKST"/>
        <w:numPr>
          <w:ilvl w:val="0"/>
          <w:numId w:val="2"/>
        </w:numPr>
        <w:spacing w:line="276" w:lineRule="auto"/>
        <w:rPr>
          <w:rFonts w:ascii="Arial Narrow" w:eastAsia="MS Mincho" w:hAnsi="Arial Narrow"/>
        </w:rPr>
      </w:pPr>
      <w:r w:rsidRPr="00660969">
        <w:rPr>
          <w:rFonts w:ascii="Arial Narrow" w:eastAsia="MS Mincho" w:hAnsi="Arial Narrow"/>
        </w:rPr>
        <w:t>davčne številke</w:t>
      </w:r>
      <w:r>
        <w:rPr>
          <w:rFonts w:ascii="Arial Narrow" w:eastAsia="MS Mincho" w:hAnsi="Arial Narrow"/>
        </w:rPr>
        <w:t>,</w:t>
      </w:r>
    </w:p>
    <w:p w:rsidR="0060006B" w:rsidRPr="00660969" w:rsidRDefault="0060006B" w:rsidP="0060006B">
      <w:pPr>
        <w:pStyle w:val="TEKST"/>
        <w:numPr>
          <w:ilvl w:val="0"/>
          <w:numId w:val="2"/>
        </w:numPr>
        <w:spacing w:line="276" w:lineRule="auto"/>
        <w:rPr>
          <w:rFonts w:ascii="Arial Narrow" w:eastAsia="MS Mincho" w:hAnsi="Arial Narrow"/>
        </w:rPr>
      </w:pPr>
      <w:r w:rsidRPr="00660969">
        <w:rPr>
          <w:rFonts w:ascii="Arial Narrow" w:eastAsia="MS Mincho" w:hAnsi="Arial Narrow"/>
        </w:rPr>
        <w:t>naslovi</w:t>
      </w:r>
      <w:r>
        <w:rPr>
          <w:rFonts w:ascii="Arial Narrow" w:eastAsia="MS Mincho" w:hAnsi="Arial Narrow"/>
        </w:rPr>
        <w:t>,</w:t>
      </w:r>
    </w:p>
    <w:p w:rsidR="0060006B" w:rsidRPr="00660969" w:rsidRDefault="0060006B" w:rsidP="0060006B">
      <w:pPr>
        <w:pStyle w:val="TEKST"/>
        <w:numPr>
          <w:ilvl w:val="0"/>
          <w:numId w:val="2"/>
        </w:numPr>
        <w:spacing w:line="276" w:lineRule="auto"/>
        <w:rPr>
          <w:rFonts w:ascii="Arial Narrow" w:eastAsia="MS Mincho" w:hAnsi="Arial Narrow"/>
        </w:rPr>
      </w:pPr>
      <w:r w:rsidRPr="00660969">
        <w:rPr>
          <w:rFonts w:ascii="Arial Narrow" w:eastAsia="MS Mincho" w:hAnsi="Arial Narrow"/>
        </w:rPr>
        <w:t>podatki o izvajalcih,</w:t>
      </w:r>
    </w:p>
    <w:p w:rsidR="0060006B" w:rsidRPr="00660969" w:rsidRDefault="0060006B" w:rsidP="0060006B">
      <w:pPr>
        <w:spacing w:line="276" w:lineRule="auto"/>
        <w:jc w:val="both"/>
        <w:rPr>
          <w:rFonts w:ascii="Arial Narrow" w:eastAsia="MS Mincho" w:hAnsi="Arial Narrow"/>
          <w:sz w:val="22"/>
          <w:szCs w:val="22"/>
          <w:lang w:eastAsia="sl-SI"/>
        </w:rPr>
      </w:pPr>
      <w:r>
        <w:rPr>
          <w:rFonts w:ascii="Arial Narrow" w:eastAsia="MS Mincho" w:hAnsi="Arial Narrow"/>
          <w:sz w:val="22"/>
          <w:szCs w:val="22"/>
          <w:lang w:eastAsia="sl-SI"/>
        </w:rPr>
        <w:t>ki se nanašajo na:</w:t>
      </w:r>
    </w:p>
    <w:p w:rsidR="0060006B" w:rsidRPr="00660969" w:rsidRDefault="0060006B" w:rsidP="0060006B">
      <w:pPr>
        <w:pStyle w:val="Odstavekseznama"/>
        <w:numPr>
          <w:ilvl w:val="0"/>
          <w:numId w:val="2"/>
        </w:numPr>
        <w:spacing w:after="0"/>
        <w:jc w:val="both"/>
        <w:rPr>
          <w:rFonts w:ascii="Arial Narrow" w:hAnsi="Arial Narrow"/>
        </w:rPr>
      </w:pPr>
      <w:r w:rsidRPr="00660969">
        <w:rPr>
          <w:rFonts w:ascii="Arial Narrow" w:hAnsi="Arial Narrow"/>
        </w:rPr>
        <w:t>zaposlene pri upravičencih</w:t>
      </w:r>
      <w:r>
        <w:rPr>
          <w:rFonts w:ascii="Arial Narrow" w:hAnsi="Arial Narrow"/>
        </w:rPr>
        <w:t>,</w:t>
      </w:r>
    </w:p>
    <w:p w:rsidR="0060006B" w:rsidRPr="00660969" w:rsidRDefault="0060006B" w:rsidP="0060006B">
      <w:pPr>
        <w:pStyle w:val="Odstavekseznama"/>
        <w:numPr>
          <w:ilvl w:val="0"/>
          <w:numId w:val="2"/>
        </w:numPr>
        <w:spacing w:after="0"/>
        <w:jc w:val="both"/>
        <w:rPr>
          <w:rFonts w:ascii="Arial Narrow" w:hAnsi="Arial Narrow"/>
        </w:rPr>
      </w:pPr>
      <w:r w:rsidRPr="00660969">
        <w:rPr>
          <w:rFonts w:ascii="Arial Narrow" w:hAnsi="Arial Narrow"/>
        </w:rPr>
        <w:t>zunanje izvajalce.</w:t>
      </w:r>
    </w:p>
    <w:p w:rsidR="0060006B" w:rsidRPr="00660969" w:rsidRDefault="0060006B" w:rsidP="0060006B">
      <w:pPr>
        <w:pStyle w:val="Odstavekseznama"/>
        <w:spacing w:after="0"/>
        <w:ind w:left="0"/>
        <w:jc w:val="both"/>
        <w:rPr>
          <w:rFonts w:ascii="Arial Narrow" w:hAnsi="Arial Narrow"/>
        </w:rPr>
      </w:pPr>
      <w:r w:rsidRPr="00660969">
        <w:rPr>
          <w:rFonts w:ascii="Arial Narrow" w:hAnsi="Arial Narrow"/>
        </w:rPr>
        <w:lastRenderedPageBreak/>
        <w:t>Določene podatke sme ministrstvo (oziroma druge javne institucije v njegovem imenu) v povezavi z nadpisanimi nameni obdelave pridobivati tudi iz javno dostopnih virov in uradnih evidenc (npr. register dejanskih lastnikov pri AJPES), pri čemer lahko taka obdelava temelji na vaši predhodni izjavi oz. zakonskih upravičenjih ministrstva.</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b/>
        </w:rPr>
      </w:pPr>
      <w:r w:rsidRPr="00660969">
        <w:rPr>
          <w:rFonts w:ascii="Arial Narrow" w:eastAsia="MS Mincho" w:hAnsi="Arial Narrow"/>
          <w:b/>
        </w:rPr>
        <w:t>Zakonitost obdelave in pravna podlaga</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Temelj zakonitosti obdelave osebnih podatkov, ki bodo posredovani v vlogi prijavitelja oziroma v dokazilih in drugih gradivih, tako ob prijavi na zadevni javni razpis kot tekom trajanja </w:t>
      </w:r>
      <w:r w:rsidRPr="0018155C">
        <w:rPr>
          <w:rFonts w:ascii="Arial Narrow" w:eastAsia="Calibri" w:hAnsi="Arial Narrow" w:cs="Calibri"/>
          <w:bCs/>
        </w:rPr>
        <w:t>investicije</w:t>
      </w:r>
      <w:r w:rsidRPr="00660969">
        <w:rPr>
          <w:rFonts w:ascii="Arial Narrow" w:eastAsia="MS Mincho" w:hAnsi="Arial Narrow"/>
        </w:rPr>
        <w:t xml:space="preserve"> oz. izvajanja pogodbe o sofinanciranju, izhaja iz b) točke 1. odstavka 6. člena Splošne uredbe o varstvu podatkov, saj je obdelava tovrstnih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 xml:space="preserve">Zagotovitev osebnih podatkov v kontekstu prijaviteljeve vloge in prijave na zadevni javni razpis oziroma pripadajočih dokazil,  je </w:t>
      </w:r>
      <w:r w:rsidRPr="00660969">
        <w:rPr>
          <w:rFonts w:ascii="Arial Narrow" w:eastAsia="MS Mincho" w:hAnsi="Arial Narrow"/>
          <w:b/>
          <w:sz w:val="22"/>
          <w:szCs w:val="22"/>
          <w:lang w:eastAsia="sl-SI"/>
        </w:rPr>
        <w:t>obveznost, ki je potrebna za sklenitev pogodbe o sofinanciranju</w:t>
      </w:r>
      <w:r w:rsidRPr="00660969">
        <w:rPr>
          <w:rFonts w:ascii="Arial Narrow" w:eastAsia="MS Mincho" w:hAnsi="Arial Narrow"/>
          <w:sz w:val="22"/>
          <w:szCs w:val="22"/>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660969">
        <w:rPr>
          <w:rFonts w:ascii="Arial Narrow" w:eastAsia="MS Mincho" w:hAnsi="Arial Narrow"/>
          <w:b/>
          <w:sz w:val="22"/>
          <w:szCs w:val="22"/>
          <w:lang w:eastAsia="sl-SI"/>
        </w:rPr>
        <w:t>sklepa o neizbiri, oziroma formalno zavrženje vloge</w:t>
      </w:r>
      <w:r w:rsidRPr="00660969">
        <w:rPr>
          <w:rFonts w:ascii="Arial Narrow" w:eastAsia="MS Mincho" w:hAnsi="Arial Narrow"/>
          <w:sz w:val="22"/>
          <w:szCs w:val="22"/>
          <w:lang w:eastAsia="sl-SI"/>
        </w:rPr>
        <w:t>. Prijavitelj je lahko, skladno s pravili upravnega postopka pozvan, da svojo pomanjkljivo prijavo oziroma vlogo ustrezno dopolni.</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 xml:space="preserve">V kolikor bo v prihodnje pogodba o sofinanciranju sklenjena, pa bo obveznost posredovanja osebnih podatkov v kontekstu zahtevkov in pripadajočih dokazil oziroma drugih gradiv, </w:t>
      </w:r>
      <w:r w:rsidRPr="00660969">
        <w:rPr>
          <w:rFonts w:ascii="Arial Narrow" w:eastAsia="MS Mincho" w:hAnsi="Arial Narrow"/>
          <w:b/>
          <w:sz w:val="22"/>
          <w:szCs w:val="22"/>
          <w:lang w:eastAsia="sl-SI"/>
        </w:rPr>
        <w:t>pogodbena obveznost upravičenca</w:t>
      </w:r>
      <w:r w:rsidRPr="00660969">
        <w:rPr>
          <w:rFonts w:ascii="Arial Narrow" w:eastAsia="MS Mincho" w:hAnsi="Arial Narrow"/>
          <w:sz w:val="22"/>
          <w:szCs w:val="22"/>
          <w:lang w:eastAsia="sl-SI"/>
        </w:rPr>
        <w:t xml:space="preserve">, pri čemer bo neizpolnjevanje te pogodbene obveznosti lahko privedlo do tega, da </w:t>
      </w:r>
      <w:r w:rsidRPr="00660969">
        <w:rPr>
          <w:rFonts w:ascii="Arial Narrow" w:eastAsia="MS Mincho" w:hAnsi="Arial Narrow"/>
          <w:b/>
          <w:sz w:val="22"/>
          <w:szCs w:val="22"/>
          <w:lang w:eastAsia="sl-SI"/>
        </w:rPr>
        <w:t>zahtevki ne bodo mogli biti plačani</w:t>
      </w:r>
      <w:r w:rsidRPr="00660969">
        <w:rPr>
          <w:rFonts w:ascii="Arial Narrow" w:eastAsia="MS Mincho" w:hAnsi="Arial Narrow"/>
          <w:sz w:val="22"/>
          <w:szCs w:val="22"/>
          <w:lang w:eastAsia="sl-SI"/>
        </w:rPr>
        <w:t xml:space="preserve"> oziroma, v izjemnih primerih, celo do </w:t>
      </w:r>
      <w:r w:rsidRPr="00660969">
        <w:rPr>
          <w:rFonts w:ascii="Arial Narrow" w:eastAsia="MS Mincho" w:hAnsi="Arial Narrow"/>
          <w:b/>
          <w:sz w:val="22"/>
          <w:szCs w:val="22"/>
          <w:lang w:eastAsia="sl-SI"/>
        </w:rPr>
        <w:t>odstopa od pogodbe</w:t>
      </w:r>
      <w:r w:rsidRPr="00660969">
        <w:rPr>
          <w:rFonts w:ascii="Arial Narrow" w:eastAsia="MS Mincho" w:hAnsi="Arial Narrow"/>
          <w:sz w:val="22"/>
          <w:szCs w:val="22"/>
          <w:lang w:eastAsia="sl-SI"/>
        </w:rPr>
        <w:t>.</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b/>
        </w:rPr>
      </w:pPr>
      <w:r w:rsidRPr="00660969">
        <w:rPr>
          <w:rFonts w:ascii="Arial Narrow" w:eastAsia="MS Mincho" w:hAnsi="Arial Narrow"/>
          <w:b/>
        </w:rPr>
        <w:t>Ukrepi za varovanje osebnih podatkov</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 xml:space="preserve">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psevdonimizacije podatkov, kadar bo to mogoče in primerno za obdelavo, ter usposabljanje delavcev o varstvu in delu z osebnimi podatki.</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b/>
        </w:rPr>
      </w:pPr>
      <w:r w:rsidRPr="00660969">
        <w:rPr>
          <w:rFonts w:ascii="Arial Narrow" w:eastAsia="MS Mincho" w:hAnsi="Arial Narrow"/>
        </w:rPr>
        <w:t xml:space="preserve">Glede varovanje osebnih podatkov v e-okolju, so javni uslužbenci pri varovanju dokumentov oziroma podatkov dolžni ravnati skladno z </w:t>
      </w:r>
      <w:r w:rsidRPr="00660969">
        <w:rPr>
          <w:rFonts w:ascii="Arial Narrow" w:eastAsia="MS Mincho" w:hAnsi="Arial Narrow"/>
          <w:bCs/>
        </w:rPr>
        <w:t>Uredbo o upravnem poslovanju</w:t>
      </w:r>
      <w:r w:rsidRPr="00660969">
        <w:rPr>
          <w:rFonts w:ascii="Arial Narrow" w:eastAsia="MS Mincho" w:hAnsi="Arial Narrow"/>
        </w:rPr>
        <w:t xml:space="preserve">, pri čemer 85. člen omenjene uredbe nalaga, da se </w:t>
      </w:r>
      <w:r w:rsidRPr="00660969">
        <w:rPr>
          <w:rFonts w:ascii="Arial Narrow" w:eastAsia="MS Mincho" w:hAnsi="Arial Narrow"/>
          <w:bCs/>
        </w:rPr>
        <w:t>dokumenti ali drugo gradivo, ki vsebuje varovane podatke v elektronski obliki ne smejo brez šifriranja posredovati</w:t>
      </w:r>
      <w:r w:rsidRPr="00660969">
        <w:rPr>
          <w:rFonts w:ascii="Arial Narrow" w:eastAsia="MS Mincho" w:hAnsi="Arial Narrow"/>
        </w:rPr>
        <w:t xml:space="preserve"> </w:t>
      </w:r>
      <w:r w:rsidRPr="00660969">
        <w:rPr>
          <w:rFonts w:ascii="Arial Narrow" w:eastAsia="MS Mincho" w:hAnsi="Arial Narrow"/>
          <w:bCs/>
        </w:rPr>
        <w:t xml:space="preserve">izven podatkovno komunikacijskega omrežja državnih organov (HKOM). </w:t>
      </w:r>
      <w:r w:rsidRPr="00660969">
        <w:rPr>
          <w:rFonts w:ascii="Arial Narrow" w:eastAsia="MS Mincho" w:hAnsi="Arial Narrow"/>
        </w:rPr>
        <w:t xml:space="preserve">Tovrstni podatki se hkrati smejo </w:t>
      </w:r>
      <w:r w:rsidRPr="00660969">
        <w:rPr>
          <w:rFonts w:ascii="Arial Narrow" w:eastAsia="MS Mincho" w:hAnsi="Arial Narrow"/>
        </w:rPr>
        <w:lastRenderedPageBreak/>
        <w:t>posredovati le v ustrezno varovane informacijske sisteme ali v varne elektronske poštne predale, ki so dostopni z uporabo podatkov za varno elektronsko podpisovanje.</w:t>
      </w:r>
      <w:r w:rsidRPr="00660969">
        <w:rPr>
          <w:rFonts w:ascii="Arial Narrow" w:eastAsia="MS Mincho" w:hAnsi="Arial Narrow"/>
          <w:b/>
        </w:rPr>
        <w:t xml:space="preserve"> </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pStyle w:val="TEKST"/>
        <w:spacing w:line="276" w:lineRule="auto"/>
        <w:rPr>
          <w:rFonts w:ascii="Arial Narrow" w:eastAsia="MS Mincho" w:hAnsi="Arial Narrow"/>
        </w:rPr>
      </w:pPr>
      <w:r w:rsidRPr="00660969">
        <w:rPr>
          <w:rFonts w:ascii="Arial Narrow" w:eastAsia="MS Mincho" w:hAnsi="Arial Narrow"/>
        </w:rPr>
        <w:t>Omenjeno velja tudi za aplikacijo eMA  oz. IS OU, v kateri se hrani glavnina prejetih osebnih podatkov prijaviteljev, saj se je v njo mogoče prijaviti zgolj preko uporabe gesla in digitalnega potrdila SIGOV-CA. Posamezni obdelovalci imajo znotraj aplikacije eMA oz IS OU dostop samo do tistih operacij oziroma osebnih podatkov, za katere so eksplicitno zadolženi, saj je njihovo delo neposredno povezano z zadevnim razpisom oziroma operacijo.</w:t>
      </w:r>
    </w:p>
    <w:p w:rsidR="0060006B" w:rsidRPr="00660969" w:rsidRDefault="0060006B" w:rsidP="0060006B">
      <w:pPr>
        <w:pStyle w:val="TEKST"/>
        <w:spacing w:line="276" w:lineRule="auto"/>
        <w:rPr>
          <w:rFonts w:ascii="Arial Narrow" w:eastAsia="MS Mincho" w:hAnsi="Arial Narrow"/>
        </w:rPr>
      </w:pPr>
    </w:p>
    <w:p w:rsidR="0060006B" w:rsidRPr="00660969" w:rsidRDefault="0060006B" w:rsidP="0060006B">
      <w:pPr>
        <w:spacing w:line="276" w:lineRule="auto"/>
        <w:jc w:val="both"/>
        <w:rPr>
          <w:rFonts w:ascii="Arial Narrow" w:eastAsia="MS Mincho" w:hAnsi="Arial Narrow"/>
          <w:b/>
          <w:sz w:val="22"/>
          <w:szCs w:val="22"/>
          <w:lang w:eastAsia="sl-SI"/>
        </w:rPr>
      </w:pPr>
      <w:r w:rsidRPr="00660969">
        <w:rPr>
          <w:rFonts w:ascii="Arial Narrow" w:eastAsia="MS Mincho" w:hAnsi="Arial Narrow"/>
          <w:b/>
          <w:sz w:val="22"/>
          <w:szCs w:val="22"/>
          <w:lang w:eastAsia="sl-SI"/>
        </w:rPr>
        <w:t>Kategorije uporabnikov osebnih podatkov</w:t>
      </w:r>
    </w:p>
    <w:p w:rsidR="0060006B" w:rsidRPr="00660969" w:rsidRDefault="0060006B" w:rsidP="0060006B">
      <w:pPr>
        <w:spacing w:line="276" w:lineRule="auto"/>
        <w:jc w:val="both"/>
        <w:rPr>
          <w:rFonts w:ascii="Arial Narrow" w:eastAsia="MS Mincho" w:hAnsi="Arial Narrow"/>
          <w:b/>
          <w:sz w:val="22"/>
          <w:szCs w:val="22"/>
          <w:lang w:eastAsia="sl-SI"/>
        </w:rPr>
      </w:pPr>
    </w:p>
    <w:p w:rsidR="0060006B" w:rsidRPr="00660969" w:rsidRDefault="0060006B" w:rsidP="0060006B">
      <w:pPr>
        <w:pStyle w:val="Pripombabesedilo"/>
        <w:spacing w:line="276" w:lineRule="auto"/>
        <w:rPr>
          <w:rFonts w:ascii="Arial Narrow" w:hAnsi="Arial Narrow"/>
          <w:sz w:val="22"/>
          <w:szCs w:val="22"/>
        </w:rPr>
      </w:pPr>
      <w:r w:rsidRPr="00660969">
        <w:rPr>
          <w:rFonts w:ascii="Arial Narrow" w:eastAsia="MS Mincho" w:hAnsi="Arial Narrow"/>
          <w:sz w:val="22"/>
          <w:szCs w:val="22"/>
          <w:lang w:eastAsia="sl-SI"/>
        </w:rPr>
        <w:t>Posredovane osebne podatke bodo uporabljale sledeče kategorije oseb: zaposleni na zadevnem direktoratu, ki je pripravil razpis, zaposleni v splošni službi ministrstva, zaposleni v finančni službi ministrstva, zaposleni v kontrolni enoti službe za razvojna sredstva na ministrstvu, zaposleni na URSOO ter zaposleni pri nadzornih organih (FURS, NRS, UNP, RSRS, Eca in ostali pristojni nadzorni organi</w:t>
      </w:r>
      <w:r w:rsidRPr="00660969">
        <w:rPr>
          <w:rFonts w:ascii="Arial Narrow" w:hAnsi="Arial Narrow"/>
          <w:sz w:val="22"/>
          <w:szCs w:val="22"/>
        </w:rPr>
        <w:t>).</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Ministrstvo ne bo preneslo prejetih osebnih podatkov v tretjo državo ali mednarodno organizacijo, razen v primeru sodelovanja z nadpisanimi nadzornimi organi, v kolikor imajo te sedež v tujini (vendar znotraj EGP).</w:t>
      </w:r>
    </w:p>
    <w:p w:rsidR="0060006B" w:rsidRPr="00660969" w:rsidRDefault="0060006B" w:rsidP="0060006B">
      <w:pPr>
        <w:spacing w:line="276" w:lineRule="auto"/>
        <w:jc w:val="both"/>
        <w:rPr>
          <w:rFonts w:ascii="Arial Narrow" w:eastAsia="MS Mincho" w:hAnsi="Arial Narrow"/>
          <w:b/>
          <w:sz w:val="22"/>
          <w:szCs w:val="22"/>
          <w:lang w:eastAsia="sl-SI"/>
        </w:rPr>
      </w:pPr>
    </w:p>
    <w:p w:rsidR="0060006B" w:rsidRPr="00660969" w:rsidRDefault="0060006B" w:rsidP="0060006B">
      <w:pPr>
        <w:spacing w:line="276" w:lineRule="auto"/>
        <w:jc w:val="both"/>
        <w:rPr>
          <w:rFonts w:ascii="Arial Narrow" w:eastAsia="MS Mincho" w:hAnsi="Arial Narrow"/>
          <w:b/>
          <w:sz w:val="22"/>
          <w:szCs w:val="22"/>
          <w:lang w:eastAsia="sl-SI"/>
        </w:rPr>
      </w:pPr>
      <w:r w:rsidRPr="00660969">
        <w:rPr>
          <w:rFonts w:ascii="Arial Narrow" w:eastAsia="MS Mincho" w:hAnsi="Arial Narrow"/>
          <w:b/>
          <w:sz w:val="22"/>
          <w:szCs w:val="22"/>
          <w:lang w:eastAsia="sl-SI"/>
        </w:rPr>
        <w:t>Pravice prijavitelja in dodatne informacije</w:t>
      </w:r>
    </w:p>
    <w:p w:rsidR="0060006B" w:rsidRPr="00660969" w:rsidRDefault="0060006B" w:rsidP="0060006B">
      <w:pPr>
        <w:spacing w:line="276" w:lineRule="auto"/>
        <w:jc w:val="both"/>
        <w:rPr>
          <w:rFonts w:ascii="Arial Narrow" w:eastAsia="MS Mincho" w:hAnsi="Arial Narrow"/>
          <w:b/>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 xml:space="preserve">Od ministrstva je mogoče kadarkoli zahtevati </w:t>
      </w:r>
      <w:r w:rsidRPr="00660969">
        <w:rPr>
          <w:rFonts w:ascii="Arial Narrow" w:eastAsia="MS Mincho" w:hAnsi="Arial Narrow"/>
          <w:b/>
          <w:sz w:val="22"/>
          <w:szCs w:val="22"/>
          <w:lang w:eastAsia="sl-SI"/>
        </w:rPr>
        <w:t>dostop do osebnih podatkov</w:t>
      </w:r>
      <w:r w:rsidRPr="00660969">
        <w:rPr>
          <w:rFonts w:ascii="Arial Narrow" w:eastAsia="MS Mincho" w:hAnsi="Arial Narrow"/>
          <w:sz w:val="22"/>
          <w:szCs w:val="22"/>
          <w:lang w:eastAsia="sl-SI"/>
        </w:rPr>
        <w:t xml:space="preserve"> in </w:t>
      </w:r>
      <w:r w:rsidRPr="00660969">
        <w:rPr>
          <w:rFonts w:ascii="Arial Narrow" w:eastAsia="MS Mincho" w:hAnsi="Arial Narrow"/>
          <w:b/>
          <w:sz w:val="22"/>
          <w:szCs w:val="22"/>
          <w:lang w:eastAsia="sl-SI"/>
        </w:rPr>
        <w:t>popravek</w:t>
      </w:r>
      <w:r w:rsidRPr="00660969">
        <w:rPr>
          <w:rFonts w:ascii="Arial Narrow" w:eastAsia="MS Mincho" w:hAnsi="Arial Narrow"/>
          <w:sz w:val="22"/>
          <w:szCs w:val="22"/>
          <w:lang w:eastAsia="sl-SI"/>
        </w:rPr>
        <w:t xml:space="preserve"> ali </w:t>
      </w:r>
      <w:r w:rsidRPr="00660969">
        <w:rPr>
          <w:rFonts w:ascii="Arial Narrow" w:eastAsia="MS Mincho" w:hAnsi="Arial Narrow"/>
          <w:b/>
          <w:sz w:val="22"/>
          <w:szCs w:val="22"/>
          <w:lang w:eastAsia="sl-SI"/>
        </w:rPr>
        <w:t>izbris osebnih podatkov</w:t>
      </w:r>
      <w:r w:rsidRPr="00660969">
        <w:rPr>
          <w:rFonts w:ascii="Arial Narrow" w:eastAsia="MS Mincho" w:hAnsi="Arial Narrow"/>
          <w:sz w:val="22"/>
          <w:szCs w:val="22"/>
          <w:lang w:eastAsia="sl-SI"/>
        </w:rPr>
        <w:t xml:space="preserve"> ali </w:t>
      </w:r>
      <w:r w:rsidRPr="00660969">
        <w:rPr>
          <w:rFonts w:ascii="Arial Narrow" w:eastAsia="MS Mincho" w:hAnsi="Arial Narrow"/>
          <w:b/>
          <w:sz w:val="22"/>
          <w:szCs w:val="22"/>
          <w:lang w:eastAsia="sl-SI"/>
        </w:rPr>
        <w:t>omejitev obdelave v zvezi s posameznikom, na katerega se nanašajo osebni podatki</w:t>
      </w:r>
      <w:r w:rsidRPr="00660969">
        <w:rPr>
          <w:rFonts w:ascii="Arial Narrow" w:eastAsia="MS Mincho" w:hAnsi="Arial Narrow"/>
          <w:sz w:val="22"/>
          <w:szCs w:val="22"/>
          <w:lang w:eastAsia="sl-SI"/>
        </w:rPr>
        <w:t>, tako da o tem obvesti skrbnika razpisa ali pogodbe, oziroma pooblaščeno osebo za varstvo osebnih podatkov.</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 xml:space="preserve">Posameznik ima tudi </w:t>
      </w:r>
      <w:r w:rsidRPr="00660969">
        <w:rPr>
          <w:rFonts w:ascii="Arial Narrow" w:eastAsia="MS Mincho" w:hAnsi="Arial Narrow"/>
          <w:b/>
          <w:sz w:val="22"/>
          <w:szCs w:val="22"/>
          <w:lang w:eastAsia="sl-SI"/>
        </w:rPr>
        <w:t>pravico da ugovarja obdelavi osebnih podatkov</w:t>
      </w:r>
      <w:r w:rsidRPr="00660969">
        <w:rPr>
          <w:rFonts w:ascii="Arial Narrow" w:eastAsia="MS Mincho" w:hAnsi="Arial Narrow"/>
          <w:sz w:val="22"/>
          <w:szCs w:val="22"/>
          <w:lang w:eastAsia="sl-SI"/>
        </w:rPr>
        <w:t xml:space="preserve"> in </w:t>
      </w:r>
      <w:r w:rsidRPr="00660969">
        <w:rPr>
          <w:rFonts w:ascii="Arial Narrow" w:eastAsia="MS Mincho" w:hAnsi="Arial Narrow"/>
          <w:b/>
          <w:sz w:val="22"/>
          <w:szCs w:val="22"/>
          <w:lang w:eastAsia="sl-SI"/>
        </w:rPr>
        <w:t>pravico do prenosljivosti svojih osebnih podatkov</w:t>
      </w:r>
      <w:r w:rsidRPr="00660969">
        <w:rPr>
          <w:rFonts w:ascii="Arial Narrow" w:eastAsia="MS Mincho" w:hAnsi="Arial Narrow"/>
          <w:sz w:val="22"/>
          <w:szCs w:val="22"/>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 xml:space="preserve">Posameznik, na katerega se nanašajo osebni podatki, ima </w:t>
      </w:r>
      <w:r w:rsidRPr="00660969">
        <w:rPr>
          <w:rFonts w:ascii="Arial Narrow" w:eastAsia="MS Mincho" w:hAnsi="Arial Narrow"/>
          <w:b/>
          <w:sz w:val="22"/>
          <w:szCs w:val="22"/>
          <w:lang w:eastAsia="sl-SI"/>
        </w:rPr>
        <w:t>pravico do vložitve pritožbe</w:t>
      </w:r>
      <w:r w:rsidRPr="00660969">
        <w:rPr>
          <w:rFonts w:ascii="Arial Narrow" w:eastAsia="MS Mincho" w:hAnsi="Arial Narrow"/>
          <w:sz w:val="22"/>
          <w:szCs w:val="22"/>
          <w:lang w:eastAsia="sl-SI"/>
        </w:rPr>
        <w:t xml:space="preserve"> pri nadzornem organu</w:t>
      </w:r>
      <w:r>
        <w:rPr>
          <w:rFonts w:ascii="Arial Narrow" w:eastAsia="MS Mincho" w:hAnsi="Arial Narrow"/>
          <w:sz w:val="22"/>
          <w:szCs w:val="22"/>
          <w:lang w:eastAsia="sl-SI"/>
        </w:rPr>
        <w:t xml:space="preserve"> </w:t>
      </w:r>
      <w:r w:rsidRPr="00660969">
        <w:rPr>
          <w:rFonts w:ascii="Arial Narrow" w:eastAsia="MS Mincho" w:hAnsi="Arial Narrow"/>
          <w:sz w:val="22"/>
          <w:szCs w:val="22"/>
          <w:lang w:eastAsia="sl-SI"/>
        </w:rPr>
        <w:t xml:space="preserve">za varstvo osebnih podatkov Republike Slovenije - </w:t>
      </w:r>
      <w:r w:rsidRPr="00660969">
        <w:rPr>
          <w:rFonts w:ascii="Arial Narrow" w:eastAsia="MS Mincho" w:hAnsi="Arial Narrow"/>
          <w:b/>
          <w:bCs/>
          <w:sz w:val="22"/>
          <w:szCs w:val="22"/>
          <w:lang w:eastAsia="sl-SI"/>
        </w:rPr>
        <w:t xml:space="preserve">pri Informacijskem pooblaščencu, </w:t>
      </w:r>
      <w:r w:rsidRPr="00660969">
        <w:rPr>
          <w:rFonts w:ascii="Arial Narrow" w:eastAsia="MS Mincho" w:hAnsi="Arial Narrow"/>
          <w:sz w:val="22"/>
          <w:szCs w:val="22"/>
          <w:lang w:eastAsia="sl-SI"/>
        </w:rPr>
        <w:t xml:space="preserve"> Dunajska cesta 22, SI-1000 Ljubljana</w:t>
      </w:r>
      <w:r w:rsidRPr="00660969">
        <w:rPr>
          <w:rFonts w:ascii="Arial Narrow" w:eastAsia="MS Mincho" w:hAnsi="Arial Narrow"/>
          <w:bCs/>
          <w:sz w:val="22"/>
          <w:szCs w:val="22"/>
          <w:lang w:eastAsia="sl-SI"/>
        </w:rPr>
        <w:t>, tel: </w:t>
      </w:r>
      <w:r w:rsidRPr="00660969">
        <w:rPr>
          <w:rFonts w:ascii="Arial Narrow" w:eastAsia="MS Mincho" w:hAnsi="Arial Narrow"/>
          <w:sz w:val="22"/>
          <w:szCs w:val="22"/>
          <w:lang w:eastAsia="sl-SI"/>
        </w:rPr>
        <w:t>01 230 97 30, e-mail: gp.ip@ip-rs.si, spletna stran:</w:t>
      </w:r>
      <w:r w:rsidRPr="00660969">
        <w:rPr>
          <w:rFonts w:ascii="Arial Narrow" w:hAnsi="Arial Narrow"/>
          <w:sz w:val="22"/>
          <w:szCs w:val="22"/>
        </w:rPr>
        <w:t xml:space="preserve"> </w:t>
      </w:r>
      <w:r w:rsidRPr="00660969">
        <w:rPr>
          <w:rFonts w:ascii="Arial Narrow" w:eastAsia="MS Mincho" w:hAnsi="Arial Narrow"/>
          <w:sz w:val="22"/>
          <w:szCs w:val="22"/>
          <w:lang w:eastAsia="sl-SI"/>
        </w:rPr>
        <w:t xml:space="preserve">https://www.ip-rs.si/. </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Osebni podatki prijavitelja ne bodo podvrženi avtomatiziranemu sprejemanja odločitev oziroma oblikovanju profilov iz prvega in četrtega odstavka 22. člena Splošne uredbe o varstvu podatkov.</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jc w:val="both"/>
        <w:rPr>
          <w:rFonts w:ascii="Arial Narrow" w:eastAsia="MS Mincho" w:hAnsi="Arial Narrow"/>
          <w:b/>
          <w:sz w:val="22"/>
          <w:szCs w:val="22"/>
          <w:lang w:eastAsia="sl-SI"/>
        </w:rPr>
      </w:pPr>
      <w:r w:rsidRPr="00660969">
        <w:rPr>
          <w:rFonts w:ascii="Arial Narrow" w:eastAsia="MS Mincho" w:hAnsi="Arial Narrow"/>
          <w:b/>
          <w:sz w:val="22"/>
          <w:szCs w:val="22"/>
          <w:lang w:eastAsia="sl-SI"/>
        </w:rPr>
        <w:t>Iznos podatkov zunaj EGP in obstoj avtomatizirane obdelave osebnih podatkov in generiranje profilov</w:t>
      </w:r>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Ministrstvo podatkov praviloma ne iznaša iz EGP oz. v mednarodne organizacije razen v primerih, ko je skladno z nadpisanimi nameni v presojanje operacije oz. njen nadzor vključena mednarodna institucija (npr. Evropsko računsko sodišče). V takih primerih lahko na podlagi zakona in izrecne zahteve take institucije ministrstvo podatke nudi na vpogled oziroma prenese zadevni instituciji. Vse mednarodne institucije imajo sedež znotraj EGP in nudijo vsaj enakovredno stopnjo varstva osebnih podatkov, kot jo nudi ministrstvo.</w:t>
      </w:r>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Ministrstvo osebne podatke ne obdeluje na avtomatiziran način in ne tvori profilov o posameznikih.</w:t>
      </w:r>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Več o načinu varstva, pravicah upravičenca, nadzoru in metodah obdelave, je dostopno na povezavi;</w:t>
      </w:r>
      <w:r w:rsidRPr="00660969">
        <w:rPr>
          <w:rFonts w:ascii="Arial Narrow" w:hAnsi="Arial Narrow"/>
          <w:sz w:val="22"/>
          <w:szCs w:val="22"/>
        </w:rPr>
        <w:t xml:space="preserve"> </w:t>
      </w:r>
      <w:hyperlink r:id="rId7" w:history="1">
        <w:r w:rsidRPr="00660969">
          <w:rPr>
            <w:rStyle w:val="Hiperpovezava"/>
            <w:rFonts w:ascii="Arial Narrow" w:eastAsia="MS Mincho" w:hAnsi="Arial Narrow"/>
            <w:sz w:val="22"/>
            <w:szCs w:val="22"/>
            <w:lang w:eastAsia="sl-SI"/>
          </w:rPr>
          <w:t>http://www.mgrt.gov.si/si/o_ministrstvu/varstvo_osebnih_podatkov/</w:t>
        </w:r>
      </w:hyperlink>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jc w:val="both"/>
        <w:rPr>
          <w:rFonts w:ascii="Arial Narrow" w:eastAsia="MS Mincho" w:hAnsi="Arial Narrow"/>
          <w:sz w:val="22"/>
          <w:szCs w:val="22"/>
          <w:lang w:eastAsia="sl-SI"/>
        </w:rPr>
      </w:pPr>
      <w:r w:rsidRPr="00660969">
        <w:rPr>
          <w:rFonts w:ascii="Arial Narrow" w:hAnsi="Arial Narrow"/>
          <w:b/>
          <w:sz w:val="22"/>
          <w:szCs w:val="22"/>
        </w:rPr>
        <w:t>2. Varovanje poslovnih skrivnosti</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bCs/>
          <w:sz w:val="22"/>
          <w:szCs w:val="22"/>
          <w:lang w:eastAsia="sl-SI"/>
        </w:rPr>
        <w:t>S prijavo na javni razpis se prijavitelj strinja, da zgoraj našteti uslužbenci ministrstva ter določeni drugi javni uslužbenci (MGRT, PO, MF-PO, RO, URSOO) z namenom preverjanja vloge in odločitve o sofinanciranju,  oziroma zaradi izvajanja svoje nadzorske funkcije, vpogledujejo v prijaviteljevo vlogo. Tovrsten vpogled vključuje tudi seznanitev z tistimi deli vloge, ki vsebujejo morebitne poslovne skrivnosti, saj je vpogled v te dele vloge potreben za izdelavo ocene vloge in preverbo izpolnjenosti pogojev.</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 xml:space="preserve">Prijavitelj se posledično strinja, da so vsi podatki iz vlog, ki jih ocenjevalna komisija pregleduje v okviru zadevnega javnega razpisa - informacije javnega značaja, v kolikor le te </w:t>
      </w:r>
      <w:r w:rsidRPr="00660969">
        <w:rPr>
          <w:rFonts w:ascii="Arial Narrow" w:eastAsia="MS Mincho" w:hAnsi="Arial Narrow"/>
          <w:b/>
          <w:sz w:val="22"/>
          <w:szCs w:val="22"/>
          <w:lang w:eastAsia="sl-SI"/>
        </w:rPr>
        <w:t>niso posebej označeni z označbo »poslovna skrivnost«</w:t>
      </w:r>
      <w:r w:rsidRPr="00660969">
        <w:rPr>
          <w:rFonts w:ascii="Arial Narrow" w:eastAsia="MS Mincho" w:hAnsi="Arial Narrow"/>
          <w:sz w:val="22"/>
          <w:szCs w:val="22"/>
          <w:lang w:eastAsia="sl-SI"/>
        </w:rPr>
        <w:t>. Označba poslovne skrivnosti se lahko nanaša na posamezen podatek ali na posamezen del vloge, ne more pa se nanašati na vlogo kot celoto. Vse označene poslovne skrivnosti se bodo varovale skladno z zakonom, ki ureja njihovo varovanje in z dobrimi poslovnimi običaji in notranjimi pravilniki ministrstva.</w:t>
      </w:r>
    </w:p>
    <w:p w:rsidR="0060006B" w:rsidRPr="00660969" w:rsidRDefault="0060006B" w:rsidP="0060006B">
      <w:pPr>
        <w:spacing w:line="276" w:lineRule="auto"/>
        <w:jc w:val="both"/>
        <w:rPr>
          <w:rFonts w:ascii="Arial Narrow" w:eastAsia="MS Mincho" w:hAnsi="Arial Narrow"/>
          <w:sz w:val="22"/>
          <w:szCs w:val="22"/>
          <w:lang w:eastAsia="sl-SI"/>
        </w:rPr>
      </w:pPr>
    </w:p>
    <w:p w:rsidR="0060006B" w:rsidRPr="00660969" w:rsidRDefault="0060006B" w:rsidP="0060006B">
      <w:pPr>
        <w:spacing w:line="276" w:lineRule="auto"/>
        <w:jc w:val="both"/>
        <w:rPr>
          <w:rFonts w:ascii="Arial Narrow" w:eastAsia="MS Mincho" w:hAnsi="Arial Narrow"/>
          <w:sz w:val="22"/>
          <w:szCs w:val="22"/>
          <w:lang w:eastAsia="sl-SI"/>
        </w:rPr>
      </w:pPr>
      <w:r w:rsidRPr="00660969">
        <w:rPr>
          <w:rFonts w:ascii="Arial Narrow" w:eastAsia="MS Mincho" w:hAnsi="Arial Narrow"/>
          <w:sz w:val="22"/>
          <w:szCs w:val="22"/>
          <w:lang w:eastAsia="sl-SI"/>
        </w:rPr>
        <w:t xml:space="preserve">Prijavitelj s prijavo na zadevni razpis soglaša tudi z dejstvom, da se bodo nekateri podatki o operaciji, za katere je tako posebej določeno s predpisi, oz. ki predstavljajo informacije javnega značaja, lahko objavljali. Slednje vključuje predvsem tudi dejstvo, da bo upravičenec vključen v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kakor tudi Splošno uredbo o varstvu osebnih podatkov.  </w:t>
      </w:r>
    </w:p>
    <w:p w:rsidR="0060006B" w:rsidRPr="00660969" w:rsidRDefault="0060006B" w:rsidP="0060006B">
      <w:pPr>
        <w:autoSpaceDE w:val="0"/>
        <w:autoSpaceDN w:val="0"/>
        <w:adjustRightInd w:val="0"/>
        <w:spacing w:line="276" w:lineRule="auto"/>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rPr>
          <w:rFonts w:ascii="Arial Narrow" w:eastAsia="MS Mincho" w:hAnsi="Arial Narrow"/>
          <w:sz w:val="22"/>
          <w:szCs w:val="22"/>
          <w:lang w:eastAsia="sl-SI"/>
        </w:rPr>
      </w:pPr>
    </w:p>
    <w:p w:rsidR="0060006B" w:rsidRPr="00660969" w:rsidRDefault="0060006B" w:rsidP="0060006B">
      <w:pPr>
        <w:autoSpaceDE w:val="0"/>
        <w:autoSpaceDN w:val="0"/>
        <w:adjustRightInd w:val="0"/>
        <w:spacing w:line="276" w:lineRule="auto"/>
        <w:rPr>
          <w:rFonts w:ascii="Arial Narrow" w:eastAsia="MS Mincho" w:hAnsi="Arial Narrow"/>
          <w:sz w:val="22"/>
          <w:szCs w:val="22"/>
          <w:lang w:eastAsia="sl-SI"/>
        </w:rPr>
      </w:pPr>
    </w:p>
    <w:p w:rsidR="0060006B" w:rsidRPr="00660969" w:rsidRDefault="0060006B" w:rsidP="0060006B">
      <w:pPr>
        <w:pStyle w:val="Naslov1"/>
        <w:numPr>
          <w:ilvl w:val="0"/>
          <w:numId w:val="1"/>
        </w:numPr>
        <w:sectPr w:rsidR="0060006B" w:rsidRPr="00660969" w:rsidSect="004A2C11">
          <w:headerReference w:type="default" r:id="rId8"/>
          <w:footerReference w:type="default" r:id="rId9"/>
          <w:pgSz w:w="11906" w:h="16838"/>
          <w:pgMar w:top="1417" w:right="1417" w:bottom="1417" w:left="1417" w:header="708" w:footer="708" w:gutter="0"/>
          <w:cols w:space="708"/>
          <w:docGrid w:linePitch="360"/>
        </w:sectPr>
      </w:pPr>
    </w:p>
    <w:p w:rsidR="00C82987" w:rsidRDefault="00C82987"/>
    <w:sectPr w:rsidR="00C8298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06B" w:rsidRDefault="0060006B" w:rsidP="0060006B">
      <w:pPr>
        <w:spacing w:line="240" w:lineRule="auto"/>
      </w:pPr>
      <w:r>
        <w:separator/>
      </w:r>
    </w:p>
  </w:endnote>
  <w:endnote w:type="continuationSeparator" w:id="0">
    <w:p w:rsidR="0060006B" w:rsidRDefault="0060006B" w:rsidP="00600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6B" w:rsidRDefault="0060006B">
    <w:pPr>
      <w:pStyle w:val="Noga"/>
      <w:jc w:val="center"/>
    </w:pPr>
    <w:r>
      <w:fldChar w:fldCharType="begin"/>
    </w:r>
    <w:r>
      <w:instrText>PAGE   \* MERGEFORMAT</w:instrText>
    </w:r>
    <w:r>
      <w:fldChar w:fldCharType="separate"/>
    </w:r>
    <w:r>
      <w:rPr>
        <w:noProof/>
      </w:rPr>
      <w:t>1</w:t>
    </w:r>
    <w:r>
      <w:fldChar w:fldCharType="end"/>
    </w:r>
  </w:p>
  <w:p w:rsidR="0060006B" w:rsidRDefault="0060006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06B" w:rsidRDefault="0060006B" w:rsidP="0060006B">
      <w:pPr>
        <w:spacing w:line="240" w:lineRule="auto"/>
      </w:pPr>
      <w:r>
        <w:separator/>
      </w:r>
    </w:p>
  </w:footnote>
  <w:footnote w:type="continuationSeparator" w:id="0">
    <w:p w:rsidR="0060006B" w:rsidRDefault="0060006B" w:rsidP="00600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6B" w:rsidRPr="00A20674" w:rsidRDefault="0060006B" w:rsidP="0060006B">
    <w:pPr>
      <w:tabs>
        <w:tab w:val="center" w:pos="4536"/>
        <w:tab w:val="right" w:pos="9072"/>
      </w:tabs>
      <w:spacing w:line="240" w:lineRule="auto"/>
      <w:ind w:left="-567"/>
      <w:rPr>
        <w:rFonts w:ascii="Calibri" w:eastAsia="Calibri" w:hAnsi="Calibri"/>
        <w:sz w:val="22"/>
        <w:szCs w:val="22"/>
      </w:rPr>
    </w:pPr>
    <w:r>
      <w:rPr>
        <w:noProof/>
        <w:lang w:eastAsia="sl-SI"/>
      </w:rPr>
      <w:drawing>
        <wp:anchor distT="0" distB="0" distL="114300" distR="114300" simplePos="0" relativeHeight="251661312" behindDoc="1" locked="0" layoutInCell="1" allowOverlap="1" wp14:anchorId="4820F3DF" wp14:editId="33388CFA">
          <wp:simplePos x="0" y="0"/>
          <wp:positionH relativeFrom="column">
            <wp:posOffset>5145405</wp:posOffset>
          </wp:positionH>
          <wp:positionV relativeFrom="paragraph">
            <wp:posOffset>-24765</wp:posOffset>
          </wp:positionV>
          <wp:extent cx="601980" cy="662940"/>
          <wp:effectExtent l="0" t="0" r="7620" b="3810"/>
          <wp:wrapThrough wrapText="bothSides">
            <wp:wrapPolygon edited="0">
              <wp:start x="0" y="0"/>
              <wp:lineTo x="0" y="21103"/>
              <wp:lineTo x="21190" y="21103"/>
              <wp:lineTo x="21190" y="0"/>
              <wp:lineTo x="0" y="0"/>
            </wp:wrapPolygon>
          </wp:wrapThrough>
          <wp:docPr id="4" name="Slika 4"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74">
      <w:rPr>
        <w:rFonts w:ascii="Calibri" w:eastAsia="Calibri" w:hAnsi="Calibri"/>
        <w:sz w:val="22"/>
        <w:szCs w:val="22"/>
      </w:rPr>
      <w:t xml:space="preserve">                          </w:t>
    </w:r>
  </w:p>
  <w:p w:rsidR="0060006B" w:rsidRPr="006E0BEA" w:rsidRDefault="0060006B" w:rsidP="0060006B">
    <w:pPr>
      <w:tabs>
        <w:tab w:val="center" w:pos="4536"/>
        <w:tab w:val="right" w:pos="9072"/>
      </w:tabs>
      <w:spacing w:line="240" w:lineRule="auto"/>
      <w:rPr>
        <w:rFonts w:ascii="Calibri" w:eastAsia="Calibri" w:hAnsi="Calibri"/>
        <w:sz w:val="22"/>
        <w:szCs w:val="22"/>
      </w:rPr>
    </w:pPr>
    <w:r w:rsidRPr="006E0BEA">
      <w:rPr>
        <w:rFonts w:ascii="Calibri" w:eastAsia="Calibri" w:hAnsi="Calibri"/>
        <w:noProof/>
        <w:lang w:eastAsia="sl-SI"/>
      </w:rPr>
      <w:drawing>
        <wp:inline distT="0" distB="0" distL="0" distR="0" wp14:anchorId="1B852791" wp14:editId="5E4BA9DC">
          <wp:extent cx="3108960" cy="3498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0" cy="349885"/>
                  </a:xfrm>
                  <a:prstGeom prst="rect">
                    <a:avLst/>
                  </a:prstGeom>
                  <a:noFill/>
                  <a:ln>
                    <a:noFill/>
                  </a:ln>
                </pic:spPr>
              </pic:pic>
            </a:graphicData>
          </a:graphic>
        </wp:inline>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17C04201" wp14:editId="45B0D51D">
          <wp:extent cx="1494790" cy="286385"/>
          <wp:effectExtent l="0" t="0" r="0" b="0"/>
          <wp:docPr id="6" name="Slika 6"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rsidR="0060006B" w:rsidRDefault="0060006B">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6B" w:rsidRPr="00A20674" w:rsidRDefault="0060006B" w:rsidP="0060006B">
    <w:pPr>
      <w:tabs>
        <w:tab w:val="center" w:pos="4536"/>
        <w:tab w:val="right" w:pos="9072"/>
      </w:tabs>
      <w:spacing w:line="240" w:lineRule="auto"/>
      <w:ind w:left="-567"/>
      <w:rPr>
        <w:rFonts w:ascii="Calibri" w:eastAsia="Calibri" w:hAnsi="Calibri"/>
        <w:sz w:val="22"/>
        <w:szCs w:val="22"/>
      </w:rPr>
    </w:pPr>
    <w:r>
      <w:rPr>
        <w:noProof/>
        <w:lang w:eastAsia="sl-SI"/>
      </w:rPr>
      <w:drawing>
        <wp:anchor distT="0" distB="0" distL="114300" distR="114300" simplePos="0" relativeHeight="251659264" behindDoc="1" locked="0" layoutInCell="1" allowOverlap="1" wp14:anchorId="0569B1F7" wp14:editId="42DCF752">
          <wp:simplePos x="0" y="0"/>
          <wp:positionH relativeFrom="column">
            <wp:posOffset>5145405</wp:posOffset>
          </wp:positionH>
          <wp:positionV relativeFrom="paragraph">
            <wp:posOffset>-24765</wp:posOffset>
          </wp:positionV>
          <wp:extent cx="601980" cy="662940"/>
          <wp:effectExtent l="0" t="0" r="7620" b="3810"/>
          <wp:wrapThrough wrapText="bothSides">
            <wp:wrapPolygon edited="0">
              <wp:start x="0" y="0"/>
              <wp:lineTo x="0" y="21103"/>
              <wp:lineTo x="21190" y="21103"/>
              <wp:lineTo x="21190" y="0"/>
              <wp:lineTo x="0" y="0"/>
            </wp:wrapPolygon>
          </wp:wrapThrough>
          <wp:docPr id="3" name="Slika 3"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npance\AppData\Local\Temp\Temp1_nextgenerationeu_sl (1).zip\ngeu_sl\vertical\JPEG\SL Financira Evropska unija_PANT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674">
      <w:rPr>
        <w:rFonts w:ascii="Calibri" w:eastAsia="Calibri" w:hAnsi="Calibri"/>
        <w:sz w:val="22"/>
        <w:szCs w:val="22"/>
      </w:rPr>
      <w:t xml:space="preserve">                          </w:t>
    </w:r>
  </w:p>
  <w:p w:rsidR="0060006B" w:rsidRPr="006E0BEA" w:rsidRDefault="0060006B" w:rsidP="0060006B">
    <w:pPr>
      <w:tabs>
        <w:tab w:val="center" w:pos="4536"/>
        <w:tab w:val="right" w:pos="9072"/>
      </w:tabs>
      <w:spacing w:line="240" w:lineRule="auto"/>
      <w:rPr>
        <w:rFonts w:ascii="Calibri" w:eastAsia="Calibri" w:hAnsi="Calibri"/>
        <w:sz w:val="22"/>
        <w:szCs w:val="22"/>
      </w:rPr>
    </w:pPr>
    <w:r w:rsidRPr="006E0BEA">
      <w:rPr>
        <w:rFonts w:ascii="Calibri" w:eastAsia="Calibri" w:hAnsi="Calibri"/>
        <w:noProof/>
        <w:lang w:eastAsia="sl-SI"/>
      </w:rPr>
      <w:drawing>
        <wp:inline distT="0" distB="0" distL="0" distR="0" wp14:anchorId="3208CD2C" wp14:editId="16B3D64C">
          <wp:extent cx="3108960" cy="34988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0" cy="349885"/>
                  </a:xfrm>
                  <a:prstGeom prst="rect">
                    <a:avLst/>
                  </a:prstGeom>
                  <a:noFill/>
                  <a:ln>
                    <a:noFill/>
                  </a:ln>
                </pic:spPr>
              </pic:pic>
            </a:graphicData>
          </a:graphic>
        </wp:inline>
      </w:drawing>
    </w:r>
    <w:r w:rsidRPr="006E0BEA">
      <w:rPr>
        <w:rFonts w:ascii="Calibri" w:eastAsia="Calibri" w:hAnsi="Calibri"/>
        <w:sz w:val="22"/>
        <w:szCs w:val="22"/>
      </w:rPr>
      <w:t xml:space="preserve">       </w:t>
    </w:r>
    <w:r w:rsidRPr="006E0BEA">
      <w:rPr>
        <w:rFonts w:ascii="Calibri" w:eastAsia="Calibri" w:hAnsi="Calibri"/>
        <w:noProof/>
        <w:lang w:eastAsia="sl-SI"/>
      </w:rPr>
      <w:drawing>
        <wp:inline distT="0" distB="0" distL="0" distR="0" wp14:anchorId="0C30D5C3" wp14:editId="48855D80">
          <wp:extent cx="1494790" cy="286385"/>
          <wp:effectExtent l="0" t="0" r="0" b="0"/>
          <wp:docPr id="1" name="Slika 1"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npance\AppData\Local\Temp\Temp1_Logotip_NOO (1).zip\Logotip_NOO\JPG_RGB\NOO_Logo_RGB_primarni\NOO_Logo_RGB_primarni_SI_gradien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4790" cy="286385"/>
                  </a:xfrm>
                  <a:prstGeom prst="rect">
                    <a:avLst/>
                  </a:prstGeom>
                  <a:noFill/>
                  <a:ln>
                    <a:noFill/>
                  </a:ln>
                </pic:spPr>
              </pic:pic>
            </a:graphicData>
          </a:graphic>
        </wp:inline>
      </w:drawing>
    </w:r>
    <w:r w:rsidRPr="006E0BEA">
      <w:rPr>
        <w:rFonts w:ascii="Calibri" w:eastAsia="Calibri" w:hAnsi="Calibri"/>
        <w:sz w:val="22"/>
        <w:szCs w:val="22"/>
      </w:rPr>
      <w:t xml:space="preserve">                       </w:t>
    </w:r>
  </w:p>
  <w:p w:rsidR="0060006B" w:rsidRPr="00F64B79" w:rsidRDefault="0060006B" w:rsidP="0060006B">
    <w:pPr>
      <w:pStyle w:val="Glava"/>
      <w:tabs>
        <w:tab w:val="left" w:pos="5112"/>
      </w:tabs>
      <w:spacing w:before="240" w:line="240" w:lineRule="exact"/>
      <w:rPr>
        <w:rFonts w:ascii="Calibri" w:hAnsi="Calibri"/>
        <w:b/>
        <w:caps/>
      </w:rPr>
    </w:pPr>
  </w:p>
  <w:p w:rsidR="0060006B" w:rsidRDefault="0060006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56293F"/>
    <w:multiLevelType w:val="multilevel"/>
    <w:tmpl w:val="DB10777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6B"/>
    <w:rsid w:val="0060006B"/>
    <w:rsid w:val="00C829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76C8"/>
  <w15:chartTrackingRefBased/>
  <w15:docId w15:val="{4EFBF43C-0BB6-4B09-BD25-E20EBA7A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0006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60006B"/>
    <w:pPr>
      <w:keepNext/>
      <w:keepLines/>
      <w:numPr>
        <w:numId w:val="3"/>
      </w:numPr>
      <w:spacing w:line="240" w:lineRule="auto"/>
      <w:contextualSpacing/>
      <w:outlineLvl w:val="0"/>
    </w:pPr>
    <w:rPr>
      <w:rFonts w:ascii="Arial Narrow" w:eastAsia="Arial" w:hAnsi="Arial Narrow"/>
      <w:b/>
      <w:kern w:val="32"/>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006B"/>
    <w:pPr>
      <w:tabs>
        <w:tab w:val="center" w:pos="4536"/>
        <w:tab w:val="right" w:pos="9072"/>
      </w:tabs>
      <w:spacing w:line="240" w:lineRule="auto"/>
    </w:pPr>
  </w:style>
  <w:style w:type="character" w:customStyle="1" w:styleId="GlavaZnak">
    <w:name w:val="Glava Znak"/>
    <w:basedOn w:val="Privzetapisavaodstavka"/>
    <w:link w:val="Glava"/>
    <w:uiPriority w:val="99"/>
    <w:rsid w:val="0060006B"/>
  </w:style>
  <w:style w:type="paragraph" w:styleId="Noga">
    <w:name w:val="footer"/>
    <w:basedOn w:val="Navaden"/>
    <w:link w:val="NogaZnak"/>
    <w:uiPriority w:val="99"/>
    <w:unhideWhenUsed/>
    <w:rsid w:val="0060006B"/>
    <w:pPr>
      <w:tabs>
        <w:tab w:val="center" w:pos="4536"/>
        <w:tab w:val="right" w:pos="9072"/>
      </w:tabs>
      <w:spacing w:line="240" w:lineRule="auto"/>
    </w:pPr>
  </w:style>
  <w:style w:type="character" w:customStyle="1" w:styleId="NogaZnak">
    <w:name w:val="Noga Znak"/>
    <w:basedOn w:val="Privzetapisavaodstavka"/>
    <w:link w:val="Noga"/>
    <w:uiPriority w:val="99"/>
    <w:rsid w:val="0060006B"/>
  </w:style>
  <w:style w:type="character" w:customStyle="1" w:styleId="Naslov1Znak">
    <w:name w:val="Naslov 1 Znak"/>
    <w:basedOn w:val="Privzetapisavaodstavka"/>
    <w:link w:val="Naslov1"/>
    <w:rsid w:val="0060006B"/>
    <w:rPr>
      <w:rFonts w:ascii="Arial Narrow" w:eastAsia="Arial" w:hAnsi="Arial Narrow" w:cs="Times New Roman"/>
      <w:b/>
      <w:kern w:val="32"/>
      <w:lang w:eastAsia="sl-SI"/>
    </w:rPr>
  </w:style>
  <w:style w:type="character" w:styleId="Hiperpovezava">
    <w:name w:val="Hyperlink"/>
    <w:uiPriority w:val="99"/>
    <w:rsid w:val="0060006B"/>
    <w:rPr>
      <w:color w:val="0000FF"/>
      <w:u w:val="single"/>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60006B"/>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60006B"/>
    <w:rPr>
      <w:rFonts w:ascii="Calibri" w:eastAsia="Calibri" w:hAnsi="Calibri" w:cs="Times New Roman"/>
    </w:rPr>
  </w:style>
  <w:style w:type="character" w:customStyle="1" w:styleId="TEKSTZnak">
    <w:name w:val="TEKST Znak"/>
    <w:link w:val="TEKST"/>
    <w:locked/>
    <w:rsid w:val="0060006B"/>
    <w:rPr>
      <w:rFonts w:ascii="Trebuchet MS" w:hAnsi="Trebuchet MS"/>
    </w:rPr>
  </w:style>
  <w:style w:type="paragraph" w:customStyle="1" w:styleId="TEKST">
    <w:name w:val="TEKST"/>
    <w:basedOn w:val="Navaden"/>
    <w:link w:val="TEKSTZnak"/>
    <w:rsid w:val="0060006B"/>
    <w:pPr>
      <w:spacing w:line="264" w:lineRule="auto"/>
      <w:jc w:val="both"/>
    </w:pPr>
    <w:rPr>
      <w:rFonts w:ascii="Trebuchet MS" w:eastAsiaTheme="minorHAnsi" w:hAnsi="Trebuchet MS" w:cstheme="minorBidi"/>
      <w:sz w:val="22"/>
      <w:szCs w:val="22"/>
    </w:rPr>
  </w:style>
  <w:style w:type="paragraph" w:styleId="Pripombabesedilo">
    <w:name w:val="annotation text"/>
    <w:aliases w:val=" Znak9,Znak9,Komentar - besedilo,Komentar - besedilo1"/>
    <w:basedOn w:val="Navaden"/>
    <w:link w:val="PripombabesediloZnak"/>
    <w:uiPriority w:val="99"/>
    <w:rsid w:val="0060006B"/>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60006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grt.gov.si/si/o_ministrstvu/varstvo_osebnih_podatk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2371</Words>
  <Characters>13518</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Pance</dc:creator>
  <cp:keywords/>
  <dc:description/>
  <cp:lastModifiedBy>Nataša Pance</cp:lastModifiedBy>
  <cp:revision>1</cp:revision>
  <dcterms:created xsi:type="dcterms:W3CDTF">2022-09-26T14:48:00Z</dcterms:created>
  <dcterms:modified xsi:type="dcterms:W3CDTF">2022-09-26T14:49:00Z</dcterms:modified>
</cp:coreProperties>
</file>