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5D69" w:rsidRPr="00B275CA" w:rsidRDefault="0043286D" w:rsidP="008D01D3">
      <w:pPr>
        <w:pStyle w:val="datumtevilka"/>
      </w:pPr>
      <w:r w:rsidRPr="00B275CA">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0315" cy="1080135"/>
                <wp:effectExtent l="0" t="0" r="0" b="0"/>
                <wp:wrapTopAndBottom/>
                <wp:docPr id="2"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1D3" w:rsidRDefault="008D01D3" w:rsidP="00005D69">
                            <w:pPr>
                              <w:rPr>
                                <w:lang w:val="sl-SI"/>
                              </w:rPr>
                            </w:pPr>
                            <w:r>
                              <w:rPr>
                                <w:lang w:val="sl-SI"/>
                              </w:rPr>
                              <w:t>Ministrstvo za gospodarski razvoj in tehnologij</w:t>
                            </w:r>
                          </w:p>
                          <w:p w:rsidR="00005D69" w:rsidRDefault="005D088E" w:rsidP="00005D69">
                            <w:pPr>
                              <w:rPr>
                                <w:lang w:val="sl-SI"/>
                              </w:rPr>
                            </w:pPr>
                            <w:hyperlink r:id="rId7" w:history="1">
                              <w:r w:rsidR="008D01D3" w:rsidRPr="00A707A2">
                                <w:rPr>
                                  <w:rStyle w:val="Hiperpovezava"/>
                                  <w:lang w:val="sl-SI"/>
                                </w:rPr>
                                <w:t>gp.mgrt@gov.si</w:t>
                              </w:r>
                            </w:hyperlink>
                          </w:p>
                          <w:p w:rsidR="008D01D3" w:rsidRPr="003E1C74" w:rsidRDefault="008D01D3" w:rsidP="00005D69">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Zkpo080CAADSBQAADgAAAAAAAAAAAAAAAAAuAgAAZHJzL2Uyb0RvYy54&#10;bWxQSwECLQAUAAYACAAAACEABYhlt98AAAALAQAADwAAAAAAAAAAAAAAAAAnBQAAZHJzL2Rvd25y&#10;ZXYueG1sUEsFBgAAAAAEAAQA8wAAADMGAAAAAA==&#10;" o:allowoverlap="f" filled="f" stroked="f">
                <v:textbox inset="0,0,0,0">
                  <w:txbxContent>
                    <w:p w:rsidR="008D01D3" w:rsidRDefault="008D01D3" w:rsidP="00005D69">
                      <w:pPr>
                        <w:rPr>
                          <w:lang w:val="sl-SI"/>
                        </w:rPr>
                      </w:pPr>
                      <w:r>
                        <w:rPr>
                          <w:lang w:val="sl-SI"/>
                        </w:rPr>
                        <w:t>Ministrstvo za gospodarski razvoj in tehnologij</w:t>
                      </w:r>
                    </w:p>
                    <w:p w:rsidR="00005D69" w:rsidRDefault="008D01D3" w:rsidP="00005D69">
                      <w:pPr>
                        <w:rPr>
                          <w:lang w:val="sl-SI"/>
                        </w:rPr>
                      </w:pPr>
                      <w:hyperlink r:id="rId8" w:history="1">
                        <w:r w:rsidRPr="00A707A2">
                          <w:rPr>
                            <w:rStyle w:val="Hiperpovezava"/>
                            <w:lang w:val="sl-SI"/>
                          </w:rPr>
                          <w:t>gp.mgrt@gov.si</w:t>
                        </w:r>
                      </w:hyperlink>
                    </w:p>
                    <w:p w:rsidR="008D01D3" w:rsidRPr="003E1C74" w:rsidRDefault="008D01D3" w:rsidP="00005D69">
                      <w:pPr>
                        <w:rPr>
                          <w:lang w:val="sl-SI"/>
                        </w:rPr>
                      </w:pPr>
                    </w:p>
                  </w:txbxContent>
                </v:textbox>
                <w10:wrap type="topAndBottom" anchorx="page" anchory="page"/>
              </v:shape>
            </w:pict>
          </mc:Fallback>
        </mc:AlternateContent>
      </w:r>
      <w:r w:rsidR="00005D69" w:rsidRPr="00B275CA">
        <w:t xml:space="preserve">Številka: </w:t>
      </w:r>
      <w:r w:rsidR="00005D69" w:rsidRPr="00B275CA">
        <w:tab/>
      </w:r>
      <w:r w:rsidR="008D01D3" w:rsidRPr="00B275CA">
        <w:t>542-</w:t>
      </w:r>
      <w:r w:rsidR="00C1309B" w:rsidRPr="00B275CA">
        <w:t>7/2020/</w:t>
      </w:r>
      <w:r w:rsidR="00F21A85">
        <w:t>24</w:t>
      </w:r>
    </w:p>
    <w:p w:rsidR="00005D69" w:rsidRPr="00B275CA" w:rsidRDefault="00005D69" w:rsidP="008D01D3">
      <w:pPr>
        <w:pStyle w:val="datumtevilka"/>
      </w:pPr>
      <w:r w:rsidRPr="00B275CA">
        <w:t xml:space="preserve">Datum: </w:t>
      </w:r>
      <w:r w:rsidRPr="00B275CA">
        <w:tab/>
      </w:r>
      <w:r w:rsidR="008D01D3" w:rsidRPr="00B275CA">
        <w:t>22. 4. 2020</w:t>
      </w:r>
      <w:r w:rsidRPr="00B275CA">
        <w:t xml:space="preserve"> </w:t>
      </w:r>
    </w:p>
    <w:p w:rsidR="00005D69" w:rsidRPr="00B275CA" w:rsidRDefault="00005D69" w:rsidP="008D01D3">
      <w:pPr>
        <w:rPr>
          <w:lang w:val="sl-SI"/>
        </w:rPr>
      </w:pPr>
    </w:p>
    <w:p w:rsidR="00005D69" w:rsidRPr="00B275CA" w:rsidRDefault="00005D69" w:rsidP="008D01D3">
      <w:pPr>
        <w:pStyle w:val="ZADEVA"/>
        <w:jc w:val="both"/>
        <w:rPr>
          <w:rFonts w:cs="Arial"/>
          <w:color w:val="000000"/>
          <w:szCs w:val="20"/>
          <w:lang w:val="sl-SI"/>
        </w:rPr>
      </w:pPr>
      <w:r w:rsidRPr="00B275CA">
        <w:rPr>
          <w:lang w:val="sl-SI"/>
        </w:rPr>
        <w:t xml:space="preserve">Zadeva: </w:t>
      </w:r>
      <w:r w:rsidRPr="00B275CA">
        <w:rPr>
          <w:lang w:val="sl-SI"/>
        </w:rPr>
        <w:tab/>
      </w:r>
      <w:r w:rsidR="008D01D3" w:rsidRPr="00B275CA">
        <w:rPr>
          <w:rFonts w:cs="Arial"/>
          <w:szCs w:val="20"/>
          <w:lang w:val="sl-SI"/>
        </w:rPr>
        <w:t xml:space="preserve">Prenos </w:t>
      </w:r>
      <w:r w:rsidR="008D01D3" w:rsidRPr="00B275CA">
        <w:rPr>
          <w:rFonts w:cs="Arial"/>
          <w:color w:val="000000"/>
          <w:szCs w:val="20"/>
          <w:lang w:val="sl-SI"/>
        </w:rPr>
        <w:t>Direktive (EU) 2019/790 o avtorski in sorodnih pravicah na enotnem digitalnem trgu in spremembi direktiv 96/9/ES in 2001/29/ES – stališče z delovnega področja informacijske družbe</w:t>
      </w:r>
    </w:p>
    <w:p w:rsidR="008D01D3" w:rsidRPr="00B275CA" w:rsidRDefault="008D01D3" w:rsidP="008D01D3">
      <w:pPr>
        <w:pStyle w:val="ZADEVA"/>
        <w:jc w:val="both"/>
        <w:rPr>
          <w:lang w:val="sl-SI"/>
        </w:rPr>
      </w:pPr>
      <w:r w:rsidRPr="00B275CA">
        <w:rPr>
          <w:lang w:val="sl-SI"/>
        </w:rPr>
        <w:t>Zveza:</w:t>
      </w:r>
      <w:r w:rsidRPr="00B275CA">
        <w:rPr>
          <w:lang w:val="sl-SI"/>
        </w:rPr>
        <w:tab/>
        <w:t xml:space="preserve">Vaše vabilo na sestanek št. 312-28/2020/1 z dne 25. 2. 2020 </w:t>
      </w:r>
    </w:p>
    <w:p w:rsidR="00005D69" w:rsidRPr="00B275CA" w:rsidRDefault="00005D69" w:rsidP="008D01D3">
      <w:pPr>
        <w:rPr>
          <w:lang w:val="sl-SI"/>
        </w:rPr>
      </w:pPr>
    </w:p>
    <w:p w:rsidR="00005D69" w:rsidRPr="00B275CA" w:rsidRDefault="00005D69" w:rsidP="008D01D3">
      <w:pPr>
        <w:rPr>
          <w:lang w:val="sl-SI"/>
        </w:rPr>
      </w:pPr>
    </w:p>
    <w:p w:rsidR="008D01D3" w:rsidRDefault="008D01D3" w:rsidP="008D01D3">
      <w:pPr>
        <w:rPr>
          <w:lang w:val="sl-SI"/>
        </w:rPr>
      </w:pPr>
    </w:p>
    <w:p w:rsidR="00094ED9" w:rsidRPr="00B275CA" w:rsidRDefault="00094ED9" w:rsidP="008D01D3">
      <w:pPr>
        <w:rPr>
          <w:lang w:val="sl-SI"/>
        </w:rPr>
      </w:pPr>
    </w:p>
    <w:p w:rsidR="00005D69" w:rsidRPr="00B275CA" w:rsidRDefault="00B000DB" w:rsidP="008D01D3">
      <w:pPr>
        <w:rPr>
          <w:lang w:val="sl-SI"/>
        </w:rPr>
      </w:pPr>
      <w:r w:rsidRPr="00B275CA">
        <w:rPr>
          <w:lang w:val="sl-SI"/>
        </w:rPr>
        <w:t>Spoštovani,</w:t>
      </w:r>
    </w:p>
    <w:p w:rsidR="00B000DB" w:rsidRPr="00B275CA" w:rsidRDefault="00B000DB" w:rsidP="008D01D3">
      <w:pPr>
        <w:rPr>
          <w:lang w:val="sl-SI"/>
        </w:rPr>
      </w:pPr>
      <w:r w:rsidRPr="00B275CA">
        <w:rPr>
          <w:noProof/>
          <w:lang w:val="sl-SI" w:eastAsia="sl-SI"/>
        </w:rPr>
        <w:drawing>
          <wp:inline distT="0" distB="0" distL="0" distR="0">
            <wp:extent cx="3854450" cy="1517650"/>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4450" cy="1517650"/>
                    </a:xfrm>
                    <a:prstGeom prst="rect">
                      <a:avLst/>
                    </a:prstGeom>
                    <a:noFill/>
                    <a:ln>
                      <a:noFill/>
                    </a:ln>
                  </pic:spPr>
                </pic:pic>
              </a:graphicData>
            </a:graphic>
          </wp:inline>
        </w:drawing>
      </w:r>
    </w:p>
    <w:p w:rsidR="00E40CFC" w:rsidRPr="00B275CA" w:rsidRDefault="00E40CFC" w:rsidP="008D01D3">
      <w:pPr>
        <w:pStyle w:val="doc-ti"/>
        <w:shd w:val="clear" w:color="auto" w:fill="FFFFFF"/>
        <w:spacing w:line="260" w:lineRule="exact"/>
        <w:jc w:val="both"/>
        <w:rPr>
          <w:rFonts w:asciiTheme="minorHAnsi" w:hAnsiTheme="minorHAnsi" w:cstheme="minorHAnsi"/>
        </w:rPr>
      </w:pPr>
      <w:r w:rsidRPr="00B275CA">
        <w:rPr>
          <w:rFonts w:ascii="Arial" w:hAnsi="Arial" w:cs="Arial"/>
          <w:b w:val="0"/>
          <w:sz w:val="20"/>
          <w:szCs w:val="20"/>
        </w:rPr>
        <w:t xml:space="preserve">V zvezi s prenosom </w:t>
      </w:r>
      <w:r w:rsidRPr="00B275CA">
        <w:rPr>
          <w:rFonts w:ascii="Arial" w:hAnsi="Arial" w:cs="Arial"/>
          <w:b w:val="0"/>
          <w:color w:val="000000"/>
          <w:sz w:val="20"/>
          <w:szCs w:val="20"/>
        </w:rPr>
        <w:t>Direktiv</w:t>
      </w:r>
      <w:r w:rsidR="00807D1E" w:rsidRPr="00B275CA">
        <w:rPr>
          <w:rFonts w:ascii="Arial" w:hAnsi="Arial" w:cs="Arial"/>
          <w:b w:val="0"/>
          <w:color w:val="000000"/>
          <w:sz w:val="20"/>
          <w:szCs w:val="20"/>
        </w:rPr>
        <w:t>e</w:t>
      </w:r>
      <w:r w:rsidRPr="00B275CA">
        <w:rPr>
          <w:rFonts w:ascii="Arial" w:hAnsi="Arial" w:cs="Arial"/>
          <w:b w:val="0"/>
          <w:color w:val="000000"/>
          <w:sz w:val="20"/>
          <w:szCs w:val="20"/>
        </w:rPr>
        <w:t xml:space="preserve"> (EU) 2019/790 o avtorski in sorodnih pravicah na enotnem digitalnem trgu in spremembi direktiv 96/9/ES in 2001/29/ES</w:t>
      </w:r>
      <w:r w:rsidRPr="00B275CA">
        <w:rPr>
          <w:rFonts w:ascii="Arial" w:hAnsi="Arial" w:cs="Arial"/>
          <w:b w:val="0"/>
          <w:sz w:val="20"/>
          <w:szCs w:val="20"/>
        </w:rPr>
        <w:t>, vam v pomoč pri oblikovanju določb implementacijskega zakona pošiljamo stališče z delovnega področja informacijske družbe, k</w:t>
      </w:r>
      <w:r w:rsidR="00807D1E" w:rsidRPr="00B275CA">
        <w:rPr>
          <w:rFonts w:ascii="Arial" w:hAnsi="Arial" w:cs="Arial"/>
          <w:b w:val="0"/>
          <w:sz w:val="20"/>
          <w:szCs w:val="20"/>
        </w:rPr>
        <w:t xml:space="preserve">ot je </w:t>
      </w:r>
      <w:r w:rsidRPr="00B275CA">
        <w:rPr>
          <w:rFonts w:ascii="Arial" w:hAnsi="Arial" w:cs="Arial"/>
          <w:b w:val="0"/>
          <w:sz w:val="20"/>
          <w:szCs w:val="20"/>
        </w:rPr>
        <w:t>bil</w:t>
      </w:r>
      <w:r w:rsidR="00807D1E" w:rsidRPr="00B275CA">
        <w:rPr>
          <w:rFonts w:ascii="Arial" w:hAnsi="Arial" w:cs="Arial"/>
          <w:b w:val="0"/>
          <w:sz w:val="20"/>
          <w:szCs w:val="20"/>
        </w:rPr>
        <w:t>o dogovorjeno na</w:t>
      </w:r>
      <w:r w:rsidRPr="00B275CA">
        <w:rPr>
          <w:rFonts w:ascii="Arial" w:hAnsi="Arial" w:cs="Arial"/>
          <w:b w:val="0"/>
          <w:sz w:val="20"/>
          <w:szCs w:val="20"/>
        </w:rPr>
        <w:t xml:space="preserve"> sestank</w:t>
      </w:r>
      <w:r w:rsidR="00807D1E" w:rsidRPr="00B275CA">
        <w:rPr>
          <w:rFonts w:ascii="Arial" w:hAnsi="Arial" w:cs="Arial"/>
          <w:b w:val="0"/>
          <w:sz w:val="20"/>
          <w:szCs w:val="20"/>
        </w:rPr>
        <w:t xml:space="preserve">u </w:t>
      </w:r>
      <w:r w:rsidRPr="00B275CA">
        <w:rPr>
          <w:rFonts w:ascii="Arial" w:hAnsi="Arial" w:cs="Arial"/>
          <w:b w:val="0"/>
          <w:sz w:val="20"/>
          <w:szCs w:val="20"/>
        </w:rPr>
        <w:t>dne 6. 3. 2020</w:t>
      </w:r>
      <w:r w:rsidR="00807D1E" w:rsidRPr="00B275CA">
        <w:rPr>
          <w:b w:val="0"/>
        </w:rPr>
        <w:t>.</w:t>
      </w:r>
    </w:p>
    <w:p w:rsidR="00B000DB" w:rsidRPr="00B275CA" w:rsidRDefault="00B275CA" w:rsidP="00B275CA">
      <w:pPr>
        <w:jc w:val="both"/>
        <w:rPr>
          <w:rFonts w:cs="Arial"/>
          <w:b/>
          <w:szCs w:val="20"/>
          <w:lang w:val="sl-SI"/>
        </w:rPr>
      </w:pPr>
      <w:r>
        <w:rPr>
          <w:rFonts w:cs="Arial"/>
          <w:szCs w:val="20"/>
          <w:lang w:val="sl-SI"/>
        </w:rPr>
        <w:t>P</w:t>
      </w:r>
      <w:r w:rsidR="00B000DB" w:rsidRPr="00B275CA">
        <w:rPr>
          <w:rFonts w:cs="Arial"/>
          <w:szCs w:val="20"/>
          <w:lang w:val="sl-SI"/>
        </w:rPr>
        <w:t>ri obravnavi predloga direktive o avtorskih pravicah na enotnem digitalnem trgu ter pri pripravi uradnih in operativnih stališč za obravnavo na delovnih skupinah Sveta</w:t>
      </w:r>
      <w:r>
        <w:rPr>
          <w:rFonts w:cs="Arial"/>
          <w:szCs w:val="20"/>
          <w:lang w:val="sl-SI"/>
        </w:rPr>
        <w:t xml:space="preserve"> smo aktivno sodelovali. </w:t>
      </w:r>
      <w:r w:rsidR="00B000DB" w:rsidRPr="00B275CA">
        <w:rPr>
          <w:rFonts w:cs="Arial"/>
          <w:szCs w:val="20"/>
          <w:lang w:val="sl-SI"/>
        </w:rPr>
        <w:t>Pri sodelovanju smo izhajali iz našega področja dela</w:t>
      </w:r>
      <w:r>
        <w:rPr>
          <w:rFonts w:cs="Arial"/>
          <w:szCs w:val="20"/>
          <w:lang w:val="sl-SI"/>
        </w:rPr>
        <w:t>. P</w:t>
      </w:r>
      <w:r w:rsidR="00B000DB" w:rsidRPr="00B275CA">
        <w:rPr>
          <w:rFonts w:cs="Arial"/>
          <w:szCs w:val="20"/>
          <w:lang w:val="sl-SI"/>
        </w:rPr>
        <w:t>ri</w:t>
      </w:r>
      <w:r>
        <w:rPr>
          <w:rFonts w:cs="Arial"/>
          <w:szCs w:val="20"/>
          <w:lang w:val="sl-SI"/>
        </w:rPr>
        <w:t xml:space="preserve"> tem smo se </w:t>
      </w:r>
      <w:r w:rsidR="00B000DB" w:rsidRPr="00B275CA">
        <w:rPr>
          <w:rFonts w:cs="Arial"/>
          <w:szCs w:val="20"/>
          <w:lang w:val="sl-SI"/>
        </w:rPr>
        <w:t>osredotočili na:</w:t>
      </w:r>
    </w:p>
    <w:p w:rsidR="00B000DB" w:rsidRPr="00B275CA" w:rsidRDefault="00B000DB" w:rsidP="008D01D3">
      <w:pPr>
        <w:pStyle w:val="ZADEVA"/>
        <w:numPr>
          <w:ilvl w:val="1"/>
          <w:numId w:val="1"/>
        </w:numPr>
        <w:tabs>
          <w:tab w:val="clear" w:pos="1701"/>
          <w:tab w:val="left" w:pos="0"/>
        </w:tabs>
        <w:ind w:left="1080"/>
        <w:jc w:val="both"/>
        <w:rPr>
          <w:rFonts w:cs="Arial"/>
          <w:b w:val="0"/>
          <w:szCs w:val="20"/>
          <w:lang w:val="sl-SI"/>
        </w:rPr>
      </w:pPr>
      <w:r w:rsidRPr="00B275CA">
        <w:rPr>
          <w:rFonts w:cs="Arial"/>
          <w:b w:val="0"/>
          <w:szCs w:val="20"/>
          <w:lang w:val="sl-SI"/>
        </w:rPr>
        <w:t>peti odstavek 2. člena, ki ureja definicijo ponudnikov spletnih storitev za skupno rabo vsebin,</w:t>
      </w:r>
    </w:p>
    <w:p w:rsidR="00B000DB" w:rsidRPr="00B275CA" w:rsidRDefault="00B000DB" w:rsidP="008D01D3">
      <w:pPr>
        <w:pStyle w:val="ZADEVA"/>
        <w:numPr>
          <w:ilvl w:val="1"/>
          <w:numId w:val="1"/>
        </w:numPr>
        <w:tabs>
          <w:tab w:val="clear" w:pos="1701"/>
          <w:tab w:val="left" w:pos="0"/>
        </w:tabs>
        <w:ind w:left="1080"/>
        <w:jc w:val="both"/>
        <w:rPr>
          <w:rFonts w:cs="Arial"/>
          <w:b w:val="0"/>
          <w:szCs w:val="20"/>
          <w:lang w:val="sl-SI"/>
        </w:rPr>
      </w:pPr>
      <w:r w:rsidRPr="00B275CA">
        <w:rPr>
          <w:rFonts w:cs="Arial"/>
          <w:b w:val="0"/>
          <w:szCs w:val="20"/>
          <w:lang w:val="sl-SI"/>
        </w:rPr>
        <w:t xml:space="preserve">13. člen, ki ureja uporabo zaščitene vsebine pri ponudnikih spletnih storitev za skupno rabo vsebin in </w:t>
      </w:r>
    </w:p>
    <w:p w:rsidR="00B000DB" w:rsidRPr="00B275CA" w:rsidRDefault="00B000DB" w:rsidP="008D01D3">
      <w:pPr>
        <w:pStyle w:val="ZADEVA"/>
        <w:numPr>
          <w:ilvl w:val="1"/>
          <w:numId w:val="1"/>
        </w:numPr>
        <w:tabs>
          <w:tab w:val="clear" w:pos="1701"/>
          <w:tab w:val="left" w:pos="0"/>
        </w:tabs>
        <w:ind w:left="1080"/>
        <w:jc w:val="both"/>
        <w:rPr>
          <w:rFonts w:cs="Arial"/>
          <w:b w:val="0"/>
          <w:szCs w:val="20"/>
          <w:lang w:val="sl-SI"/>
        </w:rPr>
      </w:pPr>
      <w:r w:rsidRPr="00B275CA">
        <w:rPr>
          <w:rFonts w:cs="Arial"/>
          <w:b w:val="0"/>
          <w:szCs w:val="20"/>
          <w:lang w:val="sl-SI"/>
        </w:rPr>
        <w:t>relevantne uvodne izjave.</w:t>
      </w:r>
    </w:p>
    <w:p w:rsidR="00B000DB" w:rsidRPr="00B275CA" w:rsidRDefault="00B000DB" w:rsidP="008D01D3">
      <w:pPr>
        <w:pStyle w:val="ZADEVA"/>
        <w:tabs>
          <w:tab w:val="clear" w:pos="1701"/>
          <w:tab w:val="left" w:pos="0"/>
        </w:tabs>
        <w:jc w:val="both"/>
        <w:rPr>
          <w:rFonts w:cs="Arial"/>
          <w:b w:val="0"/>
          <w:szCs w:val="20"/>
          <w:lang w:val="sl-SI"/>
        </w:rPr>
      </w:pPr>
    </w:p>
    <w:p w:rsidR="00B000DB" w:rsidRPr="00B275CA" w:rsidRDefault="00B000DB" w:rsidP="008D01D3">
      <w:pPr>
        <w:pStyle w:val="ZADEVA"/>
        <w:tabs>
          <w:tab w:val="clear" w:pos="1701"/>
          <w:tab w:val="left" w:pos="0"/>
        </w:tabs>
        <w:ind w:left="0" w:firstLine="0"/>
        <w:jc w:val="both"/>
        <w:rPr>
          <w:rFonts w:cs="Arial"/>
          <w:b w:val="0"/>
          <w:szCs w:val="20"/>
          <w:lang w:val="sl-SI"/>
        </w:rPr>
      </w:pPr>
      <w:r w:rsidRPr="00B275CA">
        <w:rPr>
          <w:rFonts w:cs="Arial"/>
          <w:b w:val="0"/>
          <w:szCs w:val="20"/>
          <w:lang w:val="sl-SI"/>
        </w:rPr>
        <w:t xml:space="preserve">V svojih stališčih k direktivi smo izhajali iz veljavne ureditve interneta oziroma informacijske družbe, kot je to urejeno v Direktivi 2001/29/ES, Direktivi 2000/31/ES in Uredbi (EU) 2015/2120 in ves čas usklajevanja poudarjali načelno obvezno usklajenost in </w:t>
      </w:r>
      <w:proofErr w:type="spellStart"/>
      <w:r w:rsidRPr="00B275CA">
        <w:rPr>
          <w:rFonts w:cs="Arial"/>
          <w:b w:val="0"/>
          <w:szCs w:val="20"/>
          <w:lang w:val="sl-SI"/>
        </w:rPr>
        <w:t>neposeganje</w:t>
      </w:r>
      <w:proofErr w:type="spellEnd"/>
      <w:r w:rsidRPr="00B275CA">
        <w:rPr>
          <w:rFonts w:cs="Arial"/>
          <w:b w:val="0"/>
          <w:szCs w:val="20"/>
          <w:lang w:val="sl-SI"/>
        </w:rPr>
        <w:t xml:space="preserve"> v veljavno ureditev. Zavzemali smo se za ureditev nepravičnega prenosa vrednosti oziroma vrednostne vrzeli tako, da bo imetnikom avtorske in sorodnih pravic  zagotovljeno pravično nadomestilo za uporabo njihovih del in da se s tem ne bo poseglo v nevtralnost interneta, svobodo izražanja in obveščanja ter izjeme in omejitve avtorske in sorodnih pravic. </w:t>
      </w:r>
    </w:p>
    <w:p w:rsidR="00B000DB" w:rsidRPr="00B275CA" w:rsidRDefault="00B000DB" w:rsidP="008D01D3">
      <w:pPr>
        <w:pStyle w:val="ZADEVA"/>
        <w:tabs>
          <w:tab w:val="clear" w:pos="1701"/>
          <w:tab w:val="left" w:pos="0"/>
        </w:tabs>
        <w:ind w:left="0" w:firstLine="0"/>
        <w:jc w:val="both"/>
        <w:rPr>
          <w:rFonts w:cs="Arial"/>
          <w:b w:val="0"/>
          <w:szCs w:val="20"/>
          <w:lang w:val="sl-SI"/>
        </w:rPr>
      </w:pPr>
    </w:p>
    <w:p w:rsidR="00094ED9" w:rsidRDefault="00094ED9" w:rsidP="008D01D3">
      <w:pPr>
        <w:pStyle w:val="ZADEVA"/>
        <w:tabs>
          <w:tab w:val="clear" w:pos="1701"/>
          <w:tab w:val="left" w:pos="0"/>
        </w:tabs>
        <w:jc w:val="both"/>
        <w:rPr>
          <w:rFonts w:cs="Arial"/>
          <w:b w:val="0"/>
          <w:szCs w:val="20"/>
          <w:lang w:val="sl-SI"/>
        </w:rPr>
      </w:pPr>
    </w:p>
    <w:p w:rsidR="00094ED9" w:rsidRDefault="00094ED9" w:rsidP="008D01D3">
      <w:pPr>
        <w:pStyle w:val="ZADEVA"/>
        <w:tabs>
          <w:tab w:val="clear" w:pos="1701"/>
          <w:tab w:val="left" w:pos="0"/>
        </w:tabs>
        <w:jc w:val="both"/>
        <w:rPr>
          <w:rFonts w:cs="Arial"/>
          <w:b w:val="0"/>
          <w:szCs w:val="20"/>
          <w:lang w:val="sl-SI"/>
        </w:rPr>
      </w:pPr>
    </w:p>
    <w:p w:rsidR="00B000DB" w:rsidRPr="00B275CA" w:rsidRDefault="00B000DB" w:rsidP="008D01D3">
      <w:pPr>
        <w:pStyle w:val="ZADEVA"/>
        <w:tabs>
          <w:tab w:val="clear" w:pos="1701"/>
          <w:tab w:val="left" w:pos="0"/>
        </w:tabs>
        <w:jc w:val="both"/>
        <w:rPr>
          <w:rFonts w:cs="Arial"/>
          <w:b w:val="0"/>
          <w:szCs w:val="20"/>
          <w:lang w:val="sl-SI"/>
        </w:rPr>
      </w:pPr>
      <w:r w:rsidRPr="00B275CA">
        <w:rPr>
          <w:rFonts w:cs="Arial"/>
          <w:b w:val="0"/>
          <w:szCs w:val="20"/>
          <w:lang w:val="sl-SI"/>
        </w:rPr>
        <w:lastRenderedPageBreak/>
        <w:t>Tekom usklajevanja so bili naši konkretni predlogi naslednji:</w:t>
      </w:r>
    </w:p>
    <w:p w:rsidR="00B000DB" w:rsidRPr="00B275CA" w:rsidRDefault="00B000DB" w:rsidP="008D01D3">
      <w:pPr>
        <w:pStyle w:val="ZADEVA"/>
        <w:numPr>
          <w:ilvl w:val="0"/>
          <w:numId w:val="1"/>
        </w:numPr>
        <w:tabs>
          <w:tab w:val="clear" w:pos="1701"/>
          <w:tab w:val="left" w:pos="0"/>
        </w:tabs>
        <w:jc w:val="both"/>
        <w:rPr>
          <w:rFonts w:cs="Arial"/>
          <w:b w:val="0"/>
          <w:szCs w:val="20"/>
          <w:lang w:val="sl-SI"/>
        </w:rPr>
      </w:pPr>
      <w:r w:rsidRPr="00B275CA">
        <w:rPr>
          <w:rFonts w:cs="Arial"/>
          <w:b w:val="0"/>
          <w:szCs w:val="20"/>
          <w:lang w:val="sl-SI"/>
        </w:rPr>
        <w:t>nedvoumna izključitev poseganja v nevtralnost interneta in splošno spremljanje prometa (</w:t>
      </w:r>
      <w:proofErr w:type="spellStart"/>
      <w:r w:rsidRPr="00B275CA">
        <w:rPr>
          <w:rFonts w:cs="Arial"/>
          <w:b w:val="0"/>
          <w:szCs w:val="20"/>
          <w:lang w:val="sl-SI"/>
        </w:rPr>
        <w:t>deep</w:t>
      </w:r>
      <w:proofErr w:type="spellEnd"/>
      <w:r w:rsidRPr="00B275CA">
        <w:rPr>
          <w:rFonts w:cs="Arial"/>
          <w:b w:val="0"/>
          <w:szCs w:val="20"/>
          <w:lang w:val="sl-SI"/>
        </w:rPr>
        <w:t xml:space="preserve"> </w:t>
      </w:r>
      <w:proofErr w:type="spellStart"/>
      <w:r w:rsidRPr="00B275CA">
        <w:rPr>
          <w:rFonts w:cs="Arial"/>
          <w:b w:val="0"/>
          <w:szCs w:val="20"/>
          <w:lang w:val="sl-SI"/>
        </w:rPr>
        <w:t>packet</w:t>
      </w:r>
      <w:proofErr w:type="spellEnd"/>
      <w:r w:rsidRPr="00B275CA">
        <w:rPr>
          <w:rFonts w:cs="Arial"/>
          <w:b w:val="0"/>
          <w:szCs w:val="20"/>
          <w:lang w:val="sl-SI"/>
        </w:rPr>
        <w:t xml:space="preserve"> </w:t>
      </w:r>
      <w:proofErr w:type="spellStart"/>
      <w:r w:rsidRPr="00B275CA">
        <w:rPr>
          <w:rFonts w:cs="Arial"/>
          <w:b w:val="0"/>
          <w:szCs w:val="20"/>
          <w:lang w:val="sl-SI"/>
        </w:rPr>
        <w:t>inspection</w:t>
      </w:r>
      <w:proofErr w:type="spellEnd"/>
      <w:r w:rsidRPr="00B275CA">
        <w:rPr>
          <w:rFonts w:cs="Arial"/>
          <w:b w:val="0"/>
          <w:szCs w:val="20"/>
          <w:lang w:val="sl-SI"/>
        </w:rPr>
        <w:t>),</w:t>
      </w:r>
    </w:p>
    <w:p w:rsidR="00B000DB" w:rsidRPr="00B275CA" w:rsidRDefault="00B000DB" w:rsidP="008D01D3">
      <w:pPr>
        <w:pStyle w:val="ZADEVA"/>
        <w:numPr>
          <w:ilvl w:val="0"/>
          <w:numId w:val="1"/>
        </w:numPr>
        <w:tabs>
          <w:tab w:val="clear" w:pos="1701"/>
          <w:tab w:val="left" w:pos="0"/>
        </w:tabs>
        <w:jc w:val="both"/>
        <w:rPr>
          <w:rFonts w:cs="Arial"/>
          <w:b w:val="0"/>
          <w:szCs w:val="20"/>
          <w:lang w:val="sl-SI"/>
        </w:rPr>
      </w:pPr>
      <w:r w:rsidRPr="00B275CA">
        <w:rPr>
          <w:rFonts w:cs="Arial"/>
          <w:b w:val="0"/>
          <w:szCs w:val="20"/>
          <w:lang w:val="sl-SI"/>
        </w:rPr>
        <w:t>izključitev domačih video posnetkov, v katerih je varovano delo uporabljeno kot nebistvena pritiklina, iz obsega predloga direktive,</w:t>
      </w:r>
    </w:p>
    <w:p w:rsidR="00B000DB" w:rsidRPr="00B275CA" w:rsidRDefault="00B000DB" w:rsidP="008D01D3">
      <w:pPr>
        <w:pStyle w:val="ZADEVA"/>
        <w:numPr>
          <w:ilvl w:val="0"/>
          <w:numId w:val="1"/>
        </w:numPr>
        <w:tabs>
          <w:tab w:val="clear" w:pos="1701"/>
          <w:tab w:val="left" w:pos="0"/>
        </w:tabs>
        <w:jc w:val="both"/>
        <w:rPr>
          <w:rFonts w:cs="Arial"/>
          <w:b w:val="0"/>
          <w:szCs w:val="20"/>
          <w:lang w:val="sl-SI"/>
        </w:rPr>
      </w:pPr>
      <w:r w:rsidRPr="00B275CA">
        <w:rPr>
          <w:rFonts w:cs="Arial"/>
          <w:b w:val="0"/>
          <w:szCs w:val="20"/>
          <w:lang w:val="sl-SI"/>
        </w:rPr>
        <w:t>nasprotovanje predlagani ureditvi, da bi spletne platforme pridobivale dovoljenja za avtorsko zaščitene vsebine. Pri tem smo menili, da ni realno pričakovati, da bodo spletne platforme v imenu državljanov Republike Slovenije pridobival</w:t>
      </w:r>
      <w:r w:rsidR="00B275CA">
        <w:rPr>
          <w:rFonts w:cs="Arial"/>
          <w:b w:val="0"/>
          <w:szCs w:val="20"/>
          <w:lang w:val="sl-SI"/>
        </w:rPr>
        <w:t>e</w:t>
      </w:r>
      <w:r w:rsidRPr="00B275CA">
        <w:rPr>
          <w:rFonts w:cs="Arial"/>
          <w:b w:val="0"/>
          <w:szCs w:val="20"/>
          <w:lang w:val="sl-SI"/>
        </w:rPr>
        <w:t xml:space="preserve"> dovoljenja za avtorsko zaščitene vsebine, kot je</w:t>
      </w:r>
      <w:r w:rsidR="00B275CA">
        <w:rPr>
          <w:rFonts w:cs="Arial"/>
          <w:b w:val="0"/>
          <w:szCs w:val="20"/>
          <w:lang w:val="sl-SI"/>
        </w:rPr>
        <w:t xml:space="preserve"> bilo</w:t>
      </w:r>
      <w:r w:rsidRPr="00B275CA">
        <w:rPr>
          <w:rFonts w:cs="Arial"/>
          <w:b w:val="0"/>
          <w:szCs w:val="20"/>
          <w:lang w:val="sl-SI"/>
        </w:rPr>
        <w:t xml:space="preserve"> predvideno v 13/1. členu predloga direktive (kompromisni predlog št. 8672/18 z dne 17. 5. 2018). Če pa bi tovrstna ureditev obstala, smo predlagali uveljavitev načela maksimalne harmonizacije. Izhajali smo iz primera slovenskih razvijalcev, ki ne morejo </w:t>
      </w:r>
      <w:proofErr w:type="spellStart"/>
      <w:r w:rsidRPr="00B275CA">
        <w:rPr>
          <w:rFonts w:cs="Arial"/>
          <w:b w:val="0"/>
          <w:szCs w:val="20"/>
          <w:lang w:val="sl-SI"/>
        </w:rPr>
        <w:t>monetizirati</w:t>
      </w:r>
      <w:proofErr w:type="spellEnd"/>
      <w:r w:rsidRPr="00B275CA">
        <w:rPr>
          <w:rFonts w:cs="Arial"/>
          <w:b w:val="0"/>
          <w:szCs w:val="20"/>
          <w:lang w:val="sl-SI"/>
        </w:rPr>
        <w:t xml:space="preserve"> svojega prispevka na Google platformi, ker slednji ne želi pripravljati in pošiljati na F</w:t>
      </w:r>
      <w:r w:rsidR="00B275CA">
        <w:rPr>
          <w:rFonts w:cs="Arial"/>
          <w:b w:val="0"/>
          <w:szCs w:val="20"/>
          <w:lang w:val="sl-SI"/>
        </w:rPr>
        <w:t>inančno upravo Republike Slovenije</w:t>
      </w:r>
      <w:r w:rsidRPr="00B275CA">
        <w:rPr>
          <w:rFonts w:cs="Arial"/>
          <w:b w:val="0"/>
          <w:szCs w:val="20"/>
          <w:lang w:val="sl-SI"/>
        </w:rPr>
        <w:t xml:space="preserve"> finančnih poročil, ki so zahtevana v skladu s slovensko zakonodajo. Navedeno dejstvo kaže na to, da velike spletne platforme ne želijo prevzemati obveznosti, ki bi jih morale opravljati za manjše število uporabnikov.</w:t>
      </w:r>
    </w:p>
    <w:p w:rsidR="00B000DB" w:rsidRPr="00B275CA" w:rsidRDefault="00B000DB" w:rsidP="008D01D3">
      <w:pPr>
        <w:pStyle w:val="ZADEVA"/>
        <w:numPr>
          <w:ilvl w:val="0"/>
          <w:numId w:val="1"/>
        </w:numPr>
        <w:tabs>
          <w:tab w:val="clear" w:pos="1701"/>
          <w:tab w:val="left" w:pos="0"/>
        </w:tabs>
        <w:jc w:val="both"/>
        <w:rPr>
          <w:rFonts w:cs="Arial"/>
          <w:b w:val="0"/>
          <w:szCs w:val="20"/>
          <w:lang w:val="sl-SI"/>
        </w:rPr>
      </w:pPr>
      <w:r w:rsidRPr="00B275CA">
        <w:rPr>
          <w:rFonts w:cs="Arial"/>
          <w:b w:val="0"/>
          <w:szCs w:val="20"/>
          <w:lang w:val="sl-SI"/>
        </w:rPr>
        <w:t xml:space="preserve">v izogib dvomom o splošnem </w:t>
      </w:r>
      <w:r w:rsidR="00B275CA">
        <w:rPr>
          <w:rFonts w:cs="Arial"/>
          <w:b w:val="0"/>
          <w:szCs w:val="20"/>
          <w:lang w:val="sl-SI"/>
        </w:rPr>
        <w:t>spremljanju</w:t>
      </w:r>
      <w:r w:rsidRPr="00B275CA">
        <w:rPr>
          <w:rFonts w:cs="Arial"/>
          <w:b w:val="0"/>
          <w:szCs w:val="20"/>
          <w:lang w:val="sl-SI"/>
        </w:rPr>
        <w:t xml:space="preserve"> prometa smo se zavzemali za posebno prijavno aplikacijo, kjer se ob naložitvi vsebin zahteva izjava o urejenih avtorskih pravicah.</w:t>
      </w:r>
    </w:p>
    <w:p w:rsidR="00B000DB" w:rsidRPr="00B275CA" w:rsidRDefault="00B000DB" w:rsidP="008D01D3">
      <w:pPr>
        <w:pStyle w:val="ZADEVA"/>
        <w:numPr>
          <w:ilvl w:val="0"/>
          <w:numId w:val="1"/>
        </w:numPr>
        <w:tabs>
          <w:tab w:val="clear" w:pos="1701"/>
          <w:tab w:val="left" w:pos="0"/>
        </w:tabs>
        <w:jc w:val="both"/>
        <w:rPr>
          <w:rFonts w:cs="Arial"/>
          <w:b w:val="0"/>
          <w:szCs w:val="20"/>
          <w:lang w:val="sl-SI"/>
        </w:rPr>
      </w:pPr>
      <w:r w:rsidRPr="00B275CA">
        <w:rPr>
          <w:rFonts w:cs="Arial"/>
          <w:b w:val="0"/>
          <w:szCs w:val="20"/>
          <w:lang w:val="sl-SI"/>
        </w:rPr>
        <w:t>zavzemali smo se za vzpostavitev pritožbenega mehanizma, ki bi deloval na način prijave, analiziranja in sprejema odločitev na podlagi vnaprej znanih kriterijev, pri morebitnih naknadnih sporih pa bi odločalo sodišče.</w:t>
      </w:r>
    </w:p>
    <w:p w:rsidR="00B000DB" w:rsidRDefault="00B000DB" w:rsidP="008D01D3">
      <w:pPr>
        <w:pStyle w:val="ZADEVA"/>
        <w:tabs>
          <w:tab w:val="clear" w:pos="1701"/>
          <w:tab w:val="left" w:pos="0"/>
        </w:tabs>
        <w:ind w:left="720" w:firstLine="0"/>
        <w:jc w:val="both"/>
        <w:rPr>
          <w:rFonts w:cs="Arial"/>
          <w:b w:val="0"/>
          <w:szCs w:val="20"/>
          <w:lang w:val="sl-SI"/>
        </w:rPr>
      </w:pPr>
    </w:p>
    <w:p w:rsidR="00B000DB" w:rsidRPr="00B275CA" w:rsidRDefault="00FB09C0" w:rsidP="008D01D3">
      <w:pPr>
        <w:pStyle w:val="ZADEVA"/>
        <w:tabs>
          <w:tab w:val="clear" w:pos="1701"/>
          <w:tab w:val="left" w:pos="0"/>
        </w:tabs>
        <w:ind w:left="0" w:firstLine="0"/>
        <w:jc w:val="both"/>
        <w:rPr>
          <w:rFonts w:cs="Arial"/>
          <w:b w:val="0"/>
          <w:color w:val="000000"/>
          <w:szCs w:val="20"/>
          <w:lang w:val="sl-SI"/>
        </w:rPr>
      </w:pPr>
      <w:r w:rsidRPr="00B275CA">
        <w:rPr>
          <w:rFonts w:cs="Arial"/>
          <w:b w:val="0"/>
          <w:szCs w:val="20"/>
          <w:lang w:val="sl-SI"/>
        </w:rPr>
        <w:t xml:space="preserve">Pri </w:t>
      </w:r>
      <w:r w:rsidR="00807D1E" w:rsidRPr="00B275CA">
        <w:rPr>
          <w:rFonts w:cs="Arial"/>
          <w:b w:val="0"/>
          <w:szCs w:val="20"/>
          <w:lang w:val="sl-SI"/>
        </w:rPr>
        <w:t xml:space="preserve">pregledu </w:t>
      </w:r>
      <w:r w:rsidR="00B000DB" w:rsidRPr="00B275CA">
        <w:rPr>
          <w:rFonts w:cs="Arial"/>
          <w:b w:val="0"/>
          <w:color w:val="000000"/>
          <w:szCs w:val="20"/>
          <w:lang w:val="sl-SI"/>
        </w:rPr>
        <w:t>Direktiv</w:t>
      </w:r>
      <w:r w:rsidRPr="00B275CA">
        <w:rPr>
          <w:rFonts w:cs="Arial"/>
          <w:b w:val="0"/>
          <w:color w:val="000000"/>
          <w:szCs w:val="20"/>
          <w:lang w:val="sl-SI"/>
        </w:rPr>
        <w:t>e</w:t>
      </w:r>
      <w:r w:rsidR="00B000DB" w:rsidRPr="00B275CA">
        <w:rPr>
          <w:rFonts w:cs="Arial"/>
          <w:b w:val="0"/>
          <w:color w:val="000000"/>
          <w:szCs w:val="20"/>
          <w:lang w:val="sl-SI"/>
        </w:rPr>
        <w:t xml:space="preserve"> (EU) 2019/790 o avtorski in sorodnih pravicah na enotnem digitalnem trgu in spremembi direktiv 96/9/ES in 2001/29/ES</w:t>
      </w:r>
      <w:r w:rsidRPr="00B275CA">
        <w:rPr>
          <w:rFonts w:cs="Arial"/>
          <w:b w:val="0"/>
          <w:color w:val="000000"/>
          <w:szCs w:val="20"/>
          <w:lang w:val="sl-SI"/>
        </w:rPr>
        <w:t xml:space="preserve"> pa ugotavljamo naslednje:</w:t>
      </w:r>
    </w:p>
    <w:p w:rsidR="00B000DB" w:rsidRPr="00B275CA" w:rsidRDefault="00B000DB" w:rsidP="008D01D3">
      <w:pPr>
        <w:jc w:val="both"/>
        <w:rPr>
          <w:rFonts w:cs="Arial"/>
          <w:szCs w:val="20"/>
          <w:lang w:val="sl-SI"/>
        </w:rPr>
      </w:pPr>
    </w:p>
    <w:p w:rsidR="00B275CA" w:rsidRDefault="00B000DB" w:rsidP="00B275CA">
      <w:pPr>
        <w:jc w:val="both"/>
        <w:rPr>
          <w:rFonts w:cs="Arial"/>
          <w:color w:val="000000"/>
          <w:szCs w:val="20"/>
          <w:lang w:val="sl-SI" w:eastAsia="sl-SI"/>
        </w:rPr>
      </w:pPr>
      <w:r w:rsidRPr="00B275CA">
        <w:rPr>
          <w:rFonts w:cs="Arial"/>
          <w:szCs w:val="20"/>
          <w:lang w:val="sl-SI"/>
        </w:rPr>
        <w:t xml:space="preserve">Med definicijami je v 2. členu definirana storitev informacijske družbe v smislu navezave na direktivo (EU) 2015/1535. Poleg navedenega so iz ponudnikov storitev deljenja vsebin na spletu izvzete </w:t>
      </w:r>
      <w:r w:rsidRPr="00B275CA">
        <w:rPr>
          <w:rFonts w:cs="Arial"/>
          <w:color w:val="000000"/>
          <w:szCs w:val="20"/>
          <w:lang w:val="sl-SI" w:eastAsia="sl-SI"/>
        </w:rPr>
        <w:t>nepridobitne spletne enciklopedije, nepridobitne izobraževalne in znanstvene baze, platforme za razvoj in skupno rabo odprtokodne programske opreme, ponudniki elektronskih komunikacijskih storitev, kot so opredeljeni v Direktivi (EU) 2018/1972, spletne tržnice in storitve v oblaku med podjetji ter storitve v oblaku, ki uporabnikom omogočajo nalaganje vsebin za lastno uporabo na strežnik. Vse navedeno ocenjujemo kot pozitivne rešitve nove direktive.</w:t>
      </w:r>
    </w:p>
    <w:p w:rsidR="00B275CA" w:rsidRDefault="00B275CA" w:rsidP="00B275CA">
      <w:pPr>
        <w:jc w:val="both"/>
        <w:rPr>
          <w:rFonts w:cs="Arial"/>
          <w:color w:val="000000"/>
          <w:szCs w:val="20"/>
          <w:lang w:val="sl-SI" w:eastAsia="sl-SI"/>
        </w:rPr>
      </w:pPr>
    </w:p>
    <w:p w:rsidR="00436D5A" w:rsidRDefault="00B000DB" w:rsidP="00436D5A">
      <w:pPr>
        <w:jc w:val="both"/>
        <w:rPr>
          <w:rFonts w:cs="Arial"/>
          <w:szCs w:val="20"/>
          <w:lang w:val="sl-SI"/>
        </w:rPr>
      </w:pPr>
      <w:r w:rsidRPr="00B275CA">
        <w:rPr>
          <w:rFonts w:cs="Arial"/>
          <w:iCs/>
          <w:color w:val="000000"/>
          <w:szCs w:val="20"/>
          <w:lang w:val="sl-SI" w:eastAsia="sl-SI"/>
        </w:rPr>
        <w:t>V 17. členu, ki ureja u</w:t>
      </w:r>
      <w:r w:rsidRPr="00B275CA">
        <w:rPr>
          <w:rFonts w:cs="Arial"/>
          <w:bCs/>
          <w:color w:val="000000"/>
          <w:szCs w:val="20"/>
          <w:lang w:val="sl-SI" w:eastAsia="sl-SI"/>
        </w:rPr>
        <w:t xml:space="preserve">porabo varovanih vsebin s strani ponudnikov storitev deljenja vsebin na spletu so med drugim navedene izjeme </w:t>
      </w:r>
      <w:r w:rsidRPr="00B275CA">
        <w:rPr>
          <w:rFonts w:cs="Arial"/>
          <w:color w:val="000000"/>
          <w:szCs w:val="20"/>
          <w:lang w:val="sl-SI" w:eastAsia="sl-SI"/>
        </w:rPr>
        <w:t xml:space="preserve">pri nalaganju na strežnik in dajanju na voljo vsebin, ki jih ustvarijo uporabniki na področju storitev deljenja vsebin na spletu in sicer so to citati, kritika, ocena, uporaba v namene karikature, parodije ali </w:t>
      </w:r>
      <w:proofErr w:type="spellStart"/>
      <w:r w:rsidRPr="00B275CA">
        <w:rPr>
          <w:rFonts w:cs="Arial"/>
          <w:color w:val="000000"/>
          <w:szCs w:val="20"/>
          <w:lang w:val="sl-SI" w:eastAsia="sl-SI"/>
        </w:rPr>
        <w:t>pastiša</w:t>
      </w:r>
      <w:proofErr w:type="spellEnd"/>
      <w:r w:rsidRPr="00B275CA">
        <w:rPr>
          <w:rFonts w:cs="Arial"/>
          <w:color w:val="000000"/>
          <w:szCs w:val="20"/>
          <w:lang w:val="sl-SI" w:eastAsia="sl-SI"/>
        </w:rPr>
        <w:t xml:space="preserve">. Tekom obravnave predloga direktive smo si sicer prizadevali tudi </w:t>
      </w:r>
      <w:r w:rsidRPr="00B275CA">
        <w:rPr>
          <w:rFonts w:cs="Arial"/>
          <w:szCs w:val="20"/>
          <w:lang w:val="sl-SI"/>
        </w:rPr>
        <w:t>za izključitev domačih video posnetkov, v katerih je varovano delo uporabljeno kot nebistvena pritiklina, kar ni bilo upoštevano</w:t>
      </w:r>
      <w:r w:rsidR="00436D5A">
        <w:rPr>
          <w:rFonts w:cs="Arial"/>
          <w:szCs w:val="20"/>
          <w:lang w:val="sl-SI"/>
        </w:rPr>
        <w:t xml:space="preserve">. </w:t>
      </w:r>
    </w:p>
    <w:p w:rsidR="00436D5A" w:rsidRDefault="00436D5A" w:rsidP="00436D5A">
      <w:pPr>
        <w:jc w:val="both"/>
        <w:rPr>
          <w:rFonts w:cs="Arial"/>
          <w:szCs w:val="20"/>
          <w:lang w:val="sl-SI"/>
        </w:rPr>
      </w:pPr>
    </w:p>
    <w:p w:rsidR="00094ED9" w:rsidRDefault="00B000DB" w:rsidP="00094ED9">
      <w:pPr>
        <w:jc w:val="both"/>
        <w:rPr>
          <w:rFonts w:cs="Arial"/>
          <w:color w:val="000000"/>
          <w:szCs w:val="20"/>
          <w:lang w:val="sl-SI" w:eastAsia="sl-SI"/>
        </w:rPr>
      </w:pPr>
      <w:r w:rsidRPr="00B275CA">
        <w:rPr>
          <w:rFonts w:cs="Arial"/>
          <w:color w:val="000000"/>
          <w:szCs w:val="20"/>
          <w:lang w:val="sl-SI" w:eastAsia="sl-SI"/>
        </w:rPr>
        <w:t>Poleg tega je izrecno navedeno, da uporaba tega člena ne sme privesti do splošne obveznosti spremljanja internetnega prometa. Ocenjujemo pa, da se pri izvajanju te določbe ne bo mogoče izogniti splošnemu spremljanju internetnega prometa, kar je v nasprotju s temeljnimi postulati odprtega svobodnega int</w:t>
      </w:r>
      <w:r w:rsidR="008D01D3" w:rsidRPr="00B275CA">
        <w:rPr>
          <w:rFonts w:cs="Arial"/>
          <w:color w:val="000000"/>
          <w:szCs w:val="20"/>
          <w:lang w:val="sl-SI" w:eastAsia="sl-SI"/>
        </w:rPr>
        <w:t>e</w:t>
      </w:r>
      <w:r w:rsidRPr="00B275CA">
        <w:rPr>
          <w:rFonts w:cs="Arial"/>
          <w:color w:val="000000"/>
          <w:szCs w:val="20"/>
          <w:lang w:val="sl-SI" w:eastAsia="sl-SI"/>
        </w:rPr>
        <w:t>rn</w:t>
      </w:r>
      <w:r w:rsidR="008D01D3" w:rsidRPr="00B275CA">
        <w:rPr>
          <w:rFonts w:cs="Arial"/>
          <w:color w:val="000000"/>
          <w:szCs w:val="20"/>
          <w:lang w:val="sl-SI" w:eastAsia="sl-SI"/>
        </w:rPr>
        <w:t>e</w:t>
      </w:r>
      <w:r w:rsidRPr="00B275CA">
        <w:rPr>
          <w:rFonts w:cs="Arial"/>
          <w:color w:val="000000"/>
          <w:szCs w:val="20"/>
          <w:lang w:val="sl-SI" w:eastAsia="sl-SI"/>
        </w:rPr>
        <w:t>ta, hkrati posega v veljavno zakonsko ureditev interneta, zato je treba biti pri prenosu te določbe zelo pazljiv.</w:t>
      </w:r>
    </w:p>
    <w:p w:rsidR="00094ED9" w:rsidRDefault="00094ED9" w:rsidP="00094ED9">
      <w:pPr>
        <w:jc w:val="both"/>
        <w:rPr>
          <w:rFonts w:cs="Arial"/>
          <w:color w:val="000000"/>
          <w:szCs w:val="20"/>
          <w:lang w:val="sl-SI" w:eastAsia="sl-SI"/>
        </w:rPr>
      </w:pPr>
    </w:p>
    <w:p w:rsidR="00B000DB" w:rsidRPr="00B275CA" w:rsidRDefault="00B000DB" w:rsidP="00094ED9">
      <w:pPr>
        <w:jc w:val="both"/>
        <w:rPr>
          <w:rFonts w:cs="Arial"/>
          <w:color w:val="000000"/>
          <w:szCs w:val="20"/>
          <w:lang w:val="sl-SI" w:eastAsia="sl-SI"/>
        </w:rPr>
      </w:pPr>
      <w:r w:rsidRPr="00B275CA">
        <w:rPr>
          <w:rFonts w:cs="Arial"/>
          <w:color w:val="000000"/>
          <w:szCs w:val="20"/>
          <w:lang w:val="sl-SI" w:eastAsia="sl-SI"/>
        </w:rPr>
        <w:t>Kot problematično ocenjujemo tudi dejstvo, da bodo morale spletne platforme pridobivati dovoljenja za avtorsko zaščitene vsebine. Pri tem ocenjujemo, da obstaja resna</w:t>
      </w:r>
      <w:r w:rsidRPr="00B275CA">
        <w:rPr>
          <w:rFonts w:cs="Arial"/>
          <w:szCs w:val="20"/>
          <w:lang w:val="sl-SI"/>
        </w:rPr>
        <w:t xml:space="preserve"> nevarnost, da vsebine, ki niso zanimive širokemu krogu ljudi, po novi ureditvi ne bodo dobile priložnosti objave na internetu (npr. vsebine za majhne trge ali vsebine za majhne jezikovne skupine) – kar bi nedvomno negativno vplivalo na trge majhnih držav. Taka ureditev bo hkrati pogubno vplivala na kulturno (in informacijsko) raznovrstnost objavljenih vsebin. Raziskave pa že sedaj potrjujejo vse bolj očitno dejstvo, da za povprečnega uporabnika internet, kljub njegovim neizmernim virom, </w:t>
      </w:r>
      <w:r w:rsidRPr="00B275CA">
        <w:rPr>
          <w:rFonts w:cs="Arial"/>
          <w:szCs w:val="20"/>
          <w:lang w:val="sl-SI"/>
        </w:rPr>
        <w:lastRenderedPageBreak/>
        <w:t xml:space="preserve">zaradi sistemov profiliranja uporabnikov z algoritmi umetne inteligence, postaja vse izraziteje omejen vir informacij in vsebin (internet filter </w:t>
      </w:r>
      <w:proofErr w:type="spellStart"/>
      <w:r w:rsidRPr="00B275CA">
        <w:rPr>
          <w:rFonts w:cs="Arial"/>
          <w:szCs w:val="20"/>
          <w:lang w:val="sl-SI"/>
        </w:rPr>
        <w:t>bubble</w:t>
      </w:r>
      <w:proofErr w:type="spellEnd"/>
      <w:r w:rsidRPr="00B275CA">
        <w:rPr>
          <w:rFonts w:cs="Arial"/>
          <w:szCs w:val="20"/>
          <w:lang w:val="sl-SI"/>
        </w:rPr>
        <w:t xml:space="preserve">). Dodatno osiromašenje vsebinsko raznolikih vsebin zaradi pridobivanja dovoljenj za avtorsko zaščitene vsebine bo to še dodatno zaostrilo. Kot majhno jezikovno in kulturno okolje bi morala Republika Slovenija navedenim vidikom pri prenosu direktive posvetiti posebno pozornost. </w:t>
      </w:r>
    </w:p>
    <w:p w:rsidR="00B000DB" w:rsidRPr="00B275CA" w:rsidRDefault="00B000DB" w:rsidP="008D01D3">
      <w:pPr>
        <w:jc w:val="both"/>
        <w:rPr>
          <w:rFonts w:cs="Arial"/>
          <w:szCs w:val="20"/>
          <w:lang w:val="sl-SI"/>
        </w:rPr>
      </w:pPr>
    </w:p>
    <w:p w:rsidR="00B000DB" w:rsidRPr="00B275CA" w:rsidRDefault="00B000DB" w:rsidP="008D01D3">
      <w:pPr>
        <w:jc w:val="both"/>
        <w:rPr>
          <w:rFonts w:cs="Arial"/>
          <w:szCs w:val="20"/>
          <w:lang w:val="sl-SI"/>
        </w:rPr>
      </w:pPr>
    </w:p>
    <w:p w:rsidR="00B000DB" w:rsidRPr="00B275CA" w:rsidRDefault="00B000DB" w:rsidP="008D01D3">
      <w:pPr>
        <w:shd w:val="clear" w:color="auto" w:fill="FFFFFF"/>
        <w:spacing w:before="120"/>
        <w:jc w:val="both"/>
        <w:rPr>
          <w:rFonts w:asciiTheme="minorHAnsi" w:hAnsiTheme="minorHAnsi" w:cstheme="minorHAnsi"/>
          <w:color w:val="000000"/>
          <w:lang w:val="sl-SI" w:eastAsia="sl-SI"/>
        </w:rPr>
      </w:pPr>
    </w:p>
    <w:p w:rsidR="00B000DB" w:rsidRPr="00B275CA" w:rsidRDefault="00B000DB" w:rsidP="008D01D3">
      <w:pPr>
        <w:rPr>
          <w:lang w:val="sl-SI"/>
        </w:rPr>
      </w:pPr>
    </w:p>
    <w:p w:rsidR="00005D69" w:rsidRPr="00B275CA" w:rsidRDefault="00005D69" w:rsidP="008D01D3">
      <w:pPr>
        <w:rPr>
          <w:lang w:val="sl-SI"/>
        </w:rPr>
      </w:pPr>
    </w:p>
    <w:p w:rsidR="00005D69" w:rsidRPr="00B275CA" w:rsidRDefault="00094ED9" w:rsidP="008D01D3">
      <w:pPr>
        <w:rPr>
          <w:lang w:val="sl-SI"/>
        </w:rPr>
      </w:pPr>
      <w:r>
        <w:rPr>
          <w:lang w:val="sl-SI"/>
        </w:rPr>
        <w:t>Lepo pozdravljeni</w:t>
      </w:r>
      <w:r w:rsidR="00005D69" w:rsidRPr="00B275CA">
        <w:rPr>
          <w:lang w:val="sl-SI"/>
        </w:rPr>
        <w:t>,</w:t>
      </w:r>
    </w:p>
    <w:p w:rsidR="00005D69" w:rsidRPr="00B275CA" w:rsidRDefault="00005D69" w:rsidP="008D01D3">
      <w:pPr>
        <w:rPr>
          <w:lang w:val="sl-SI"/>
        </w:rPr>
      </w:pPr>
    </w:p>
    <w:p w:rsidR="00005D69" w:rsidRPr="00B275CA" w:rsidRDefault="00005D69" w:rsidP="008D01D3">
      <w:pPr>
        <w:rPr>
          <w:lang w:val="sl-SI"/>
        </w:rPr>
      </w:pPr>
    </w:p>
    <w:p w:rsidR="00005D69" w:rsidRPr="00B275CA" w:rsidRDefault="00005D69" w:rsidP="008D01D3">
      <w:pPr>
        <w:pStyle w:val="podpisi"/>
        <w:rPr>
          <w:lang w:val="sl-SI"/>
        </w:rPr>
      </w:pPr>
      <w:r w:rsidRPr="00B275CA">
        <w:rPr>
          <w:lang w:val="sl-SI"/>
        </w:rPr>
        <w:t>Pripravila:</w:t>
      </w:r>
    </w:p>
    <w:p w:rsidR="00005D69" w:rsidRPr="00B275CA" w:rsidRDefault="00C1309B" w:rsidP="008D01D3">
      <w:pPr>
        <w:pStyle w:val="podpisi"/>
        <w:rPr>
          <w:lang w:val="sl-SI"/>
        </w:rPr>
      </w:pPr>
      <w:r w:rsidRPr="00B275CA">
        <w:rPr>
          <w:lang w:val="sl-SI"/>
        </w:rPr>
        <w:t>Mojca Jarc</w:t>
      </w:r>
      <w:r w:rsidR="00005D69" w:rsidRPr="00B275CA">
        <w:rPr>
          <w:lang w:val="sl-SI"/>
        </w:rPr>
        <w:tab/>
      </w:r>
      <w:r w:rsidRPr="00B275CA">
        <w:rPr>
          <w:lang w:val="sl-SI"/>
        </w:rPr>
        <w:t>mag. Miha Krišelj</w:t>
      </w:r>
    </w:p>
    <w:p w:rsidR="00005D69" w:rsidRPr="00B275CA" w:rsidRDefault="00094ED9" w:rsidP="008D01D3">
      <w:pPr>
        <w:pStyle w:val="podpisi"/>
        <w:rPr>
          <w:lang w:val="sl-SI"/>
        </w:rPr>
      </w:pPr>
      <w:r>
        <w:rPr>
          <w:lang w:val="sl-SI"/>
        </w:rPr>
        <w:t>v</w:t>
      </w:r>
      <w:r w:rsidR="00C1309B" w:rsidRPr="00B275CA">
        <w:rPr>
          <w:lang w:val="sl-SI"/>
        </w:rPr>
        <w:t>odja sektorja</w:t>
      </w:r>
      <w:r w:rsidR="00005D69" w:rsidRPr="00B275CA">
        <w:rPr>
          <w:lang w:val="sl-SI"/>
        </w:rPr>
        <w:tab/>
      </w:r>
      <w:proofErr w:type="spellStart"/>
      <w:r w:rsidR="00C1309B" w:rsidRPr="00B275CA">
        <w:rPr>
          <w:lang w:val="sl-SI"/>
        </w:rPr>
        <w:t>v.d</w:t>
      </w:r>
      <w:proofErr w:type="spellEnd"/>
      <w:r w:rsidR="00C1309B" w:rsidRPr="00B275CA">
        <w:rPr>
          <w:lang w:val="sl-SI"/>
        </w:rPr>
        <w:t>. generalnega direktorja</w:t>
      </w:r>
    </w:p>
    <w:p w:rsidR="00005D69" w:rsidRPr="00B275CA" w:rsidRDefault="00005D69" w:rsidP="008D01D3">
      <w:pPr>
        <w:rPr>
          <w:lang w:val="sl-SI"/>
        </w:rPr>
      </w:pPr>
    </w:p>
    <w:sectPr w:rsidR="00005D69" w:rsidRPr="00B275CA" w:rsidSect="0063612A">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C3" w:rsidRDefault="001C64C3">
      <w:r>
        <w:separator/>
      </w:r>
    </w:p>
  </w:endnote>
  <w:endnote w:type="continuationSeparator" w:id="0">
    <w:p w:rsidR="001C64C3" w:rsidRDefault="001C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C3" w:rsidRDefault="001C64C3">
      <w:r>
        <w:separator/>
      </w:r>
    </w:p>
  </w:footnote>
  <w:footnote w:type="continuationSeparator" w:id="0">
    <w:p w:rsidR="001C64C3" w:rsidRDefault="001C64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2A" w:rsidRPr="00110CBD" w:rsidRDefault="0063612A" w:rsidP="0063612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3612A" w:rsidRPr="008F3500">
      <w:trPr>
        <w:cantSplit/>
        <w:trHeight w:hRule="exact" w:val="847"/>
      </w:trPr>
      <w:tc>
        <w:tcPr>
          <w:tcW w:w="567" w:type="dxa"/>
        </w:tcPr>
        <w:p w:rsidR="0063612A" w:rsidRDefault="0063612A" w:rsidP="0063612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tc>
    </w:tr>
  </w:tbl>
  <w:p w:rsidR="0063612A" w:rsidRPr="008F3500" w:rsidRDefault="0043286D" w:rsidP="0063612A">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EBD916"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3612A" w:rsidRPr="008F3500">
      <w:rPr>
        <w:rFonts w:ascii="Republika" w:hAnsi="Republika"/>
        <w:lang w:val="sl-SI"/>
      </w:rPr>
      <w:t>REPUBLIKA SLOVENIJA</w:t>
    </w:r>
  </w:p>
  <w:p w:rsidR="0063612A" w:rsidRPr="008F3500" w:rsidRDefault="0063612A" w:rsidP="0063612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rsidR="0063612A" w:rsidRPr="00552192" w:rsidRDefault="0063612A" w:rsidP="0063612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 xml:space="preserve">Direktorat za </w:t>
    </w:r>
    <w:r w:rsidR="000918AE">
      <w:rPr>
        <w:rFonts w:ascii="Republika" w:hAnsi="Republika"/>
        <w:caps/>
        <w:lang w:val="sl-SI"/>
      </w:rPr>
      <w:t xml:space="preserve">INFORMACIJSKO DRUŽBO in </w:t>
    </w:r>
    <w:r w:rsidR="00082AE6">
      <w:rPr>
        <w:rFonts w:ascii="Republika" w:hAnsi="Republika"/>
        <w:caps/>
        <w:lang w:val="sl-SI"/>
      </w:rPr>
      <w:t xml:space="preserve">informatiko </w:t>
    </w:r>
  </w:p>
  <w:p w:rsidR="0063612A" w:rsidRPr="008F3500" w:rsidRDefault="0063612A" w:rsidP="0063612A">
    <w:pPr>
      <w:pStyle w:val="Glava"/>
      <w:tabs>
        <w:tab w:val="clear" w:pos="4320"/>
        <w:tab w:val="clear" w:pos="8640"/>
        <w:tab w:val="left" w:pos="5112"/>
      </w:tabs>
      <w:spacing w:before="240" w:line="240" w:lineRule="exact"/>
      <w:rPr>
        <w:rFonts w:cs="Arial"/>
        <w:sz w:val="16"/>
        <w:lang w:val="sl-SI"/>
      </w:rPr>
    </w:pP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01 478 86 51</w:t>
    </w:r>
  </w:p>
  <w:p w:rsidR="0063612A" w:rsidRPr="008F3500" w:rsidRDefault="0063612A" w:rsidP="0063612A">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01 478 86 49</w:t>
    </w:r>
    <w:r w:rsidRPr="008F3500">
      <w:rPr>
        <w:rFonts w:cs="Arial"/>
        <w:sz w:val="16"/>
        <w:lang w:val="sl-SI"/>
      </w:rPr>
      <w:t xml:space="preserve"> </w:t>
    </w:r>
  </w:p>
  <w:p w:rsidR="00436F40" w:rsidRDefault="00436F40" w:rsidP="00436F40">
    <w:pPr>
      <w:pStyle w:val="Glava"/>
      <w:tabs>
        <w:tab w:val="clear" w:pos="4320"/>
        <w:tab w:val="left" w:pos="5112"/>
      </w:tabs>
      <w:spacing w:line="240" w:lineRule="exact"/>
      <w:rPr>
        <w:rFonts w:cs="Arial"/>
        <w:sz w:val="16"/>
        <w:lang w:val="sl-SI"/>
      </w:rPr>
    </w:pPr>
    <w:r>
      <w:rPr>
        <w:rFonts w:cs="Arial"/>
        <w:sz w:val="16"/>
        <w:lang w:val="sl-SI"/>
      </w:rPr>
      <w:tab/>
      <w:t>E: gp.mju@gov.si</w:t>
    </w:r>
  </w:p>
  <w:p w:rsidR="00436F40" w:rsidRDefault="00436F40" w:rsidP="00436F40">
    <w:pPr>
      <w:pStyle w:val="Glava"/>
      <w:tabs>
        <w:tab w:val="clear" w:pos="4320"/>
        <w:tab w:val="left" w:pos="5112"/>
      </w:tabs>
      <w:spacing w:line="240" w:lineRule="exact"/>
      <w:rPr>
        <w:rFonts w:cs="Arial"/>
        <w:sz w:val="16"/>
        <w:lang w:val="sl-SI"/>
      </w:rPr>
    </w:pPr>
    <w:r>
      <w:rPr>
        <w:rFonts w:cs="Arial"/>
        <w:sz w:val="16"/>
        <w:lang w:val="sl-SI"/>
      </w:rPr>
      <w:tab/>
      <w:t>www.mju.gov.si</w:t>
    </w:r>
  </w:p>
  <w:p w:rsidR="0063612A" w:rsidRPr="008F3500" w:rsidRDefault="0063612A" w:rsidP="0063612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D9E"/>
    <w:multiLevelType w:val="hybridMultilevel"/>
    <w:tmpl w:val="7F320B9A"/>
    <w:lvl w:ilvl="0" w:tplc="8350223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13E4B61"/>
    <w:multiLevelType w:val="hybridMultilevel"/>
    <w:tmpl w:val="17068E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C3"/>
    <w:rsid w:val="00005D69"/>
    <w:rsid w:val="00082AE6"/>
    <w:rsid w:val="000918AE"/>
    <w:rsid w:val="00094ED9"/>
    <w:rsid w:val="000C60AD"/>
    <w:rsid w:val="00137315"/>
    <w:rsid w:val="00190974"/>
    <w:rsid w:val="001C64C3"/>
    <w:rsid w:val="00207279"/>
    <w:rsid w:val="00227D9A"/>
    <w:rsid w:val="003B13D4"/>
    <w:rsid w:val="0043286D"/>
    <w:rsid w:val="00436D5A"/>
    <w:rsid w:val="00436F40"/>
    <w:rsid w:val="005A75A2"/>
    <w:rsid w:val="005D088E"/>
    <w:rsid w:val="0063318D"/>
    <w:rsid w:val="0063612A"/>
    <w:rsid w:val="007507AF"/>
    <w:rsid w:val="00807D1E"/>
    <w:rsid w:val="008D01D3"/>
    <w:rsid w:val="009725BB"/>
    <w:rsid w:val="00A82737"/>
    <w:rsid w:val="00B000DB"/>
    <w:rsid w:val="00B275CA"/>
    <w:rsid w:val="00BF508F"/>
    <w:rsid w:val="00C1309B"/>
    <w:rsid w:val="00DD1D22"/>
    <w:rsid w:val="00E40CFC"/>
    <w:rsid w:val="00EC6C20"/>
    <w:rsid w:val="00F10C8B"/>
    <w:rsid w:val="00F21A85"/>
    <w:rsid w:val="00FB09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9B00D2C-65AF-4023-901B-9F2CDB24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5D69"/>
    <w:pPr>
      <w:spacing w:line="260" w:lineRule="exac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05D69"/>
    <w:pPr>
      <w:tabs>
        <w:tab w:val="center" w:pos="4320"/>
        <w:tab w:val="right" w:pos="8640"/>
      </w:tabs>
    </w:pPr>
  </w:style>
  <w:style w:type="paragraph" w:customStyle="1" w:styleId="datumtevilka">
    <w:name w:val="datum številka"/>
    <w:basedOn w:val="Navaden"/>
    <w:qFormat/>
    <w:rsid w:val="00005D69"/>
    <w:pPr>
      <w:tabs>
        <w:tab w:val="left" w:pos="1701"/>
      </w:tabs>
    </w:pPr>
    <w:rPr>
      <w:szCs w:val="20"/>
      <w:lang w:val="sl-SI" w:eastAsia="sl-SI"/>
    </w:rPr>
  </w:style>
  <w:style w:type="paragraph" w:customStyle="1" w:styleId="ZADEVA">
    <w:name w:val="ZADEVA"/>
    <w:basedOn w:val="Navaden"/>
    <w:qFormat/>
    <w:rsid w:val="00005D69"/>
    <w:pPr>
      <w:tabs>
        <w:tab w:val="left" w:pos="1701"/>
      </w:tabs>
      <w:ind w:left="1701" w:hanging="1701"/>
    </w:pPr>
    <w:rPr>
      <w:b/>
      <w:lang w:val="it-IT"/>
    </w:rPr>
  </w:style>
  <w:style w:type="paragraph" w:customStyle="1" w:styleId="podpisi">
    <w:name w:val="podpisi"/>
    <w:basedOn w:val="Navaden"/>
    <w:qFormat/>
    <w:rsid w:val="00005D69"/>
    <w:pPr>
      <w:tabs>
        <w:tab w:val="left" w:pos="3402"/>
      </w:tabs>
    </w:pPr>
    <w:rPr>
      <w:lang w:val="it-IT"/>
    </w:rPr>
  </w:style>
  <w:style w:type="paragraph" w:styleId="Noga">
    <w:name w:val="footer"/>
    <w:basedOn w:val="Navaden"/>
    <w:rsid w:val="00DD1D22"/>
    <w:pPr>
      <w:tabs>
        <w:tab w:val="center" w:pos="4536"/>
        <w:tab w:val="right" w:pos="9072"/>
      </w:tabs>
    </w:pPr>
  </w:style>
  <w:style w:type="character" w:styleId="Pripombasklic">
    <w:name w:val="annotation reference"/>
    <w:basedOn w:val="Privzetapisavaodstavka"/>
    <w:uiPriority w:val="99"/>
    <w:unhideWhenUsed/>
    <w:rsid w:val="00B000DB"/>
    <w:rPr>
      <w:sz w:val="16"/>
      <w:szCs w:val="16"/>
    </w:rPr>
  </w:style>
  <w:style w:type="paragraph" w:styleId="Pripombabesedilo">
    <w:name w:val="annotation text"/>
    <w:basedOn w:val="Navaden"/>
    <w:link w:val="PripombabesediloZnak"/>
    <w:uiPriority w:val="99"/>
    <w:unhideWhenUsed/>
    <w:rsid w:val="00B000DB"/>
    <w:pPr>
      <w:spacing w:line="240" w:lineRule="auto"/>
    </w:pPr>
    <w:rPr>
      <w:rFonts w:ascii="Times New Roman" w:hAnsi="Times New Roman"/>
      <w:szCs w:val="20"/>
      <w:lang w:val="sl-SI" w:eastAsia="sl-SI"/>
    </w:rPr>
  </w:style>
  <w:style w:type="character" w:customStyle="1" w:styleId="PripombabesediloZnak">
    <w:name w:val="Pripomba – besedilo Znak"/>
    <w:basedOn w:val="Privzetapisavaodstavka"/>
    <w:link w:val="Pripombabesedilo"/>
    <w:uiPriority w:val="99"/>
    <w:rsid w:val="00B000DB"/>
  </w:style>
  <w:style w:type="paragraph" w:customStyle="1" w:styleId="doc-ti">
    <w:name w:val="doc-ti"/>
    <w:basedOn w:val="Navaden"/>
    <w:rsid w:val="00B000DB"/>
    <w:pPr>
      <w:spacing w:before="240" w:after="120" w:line="240" w:lineRule="auto"/>
      <w:jc w:val="center"/>
    </w:pPr>
    <w:rPr>
      <w:rFonts w:ascii="Times New Roman" w:hAnsi="Times New Roman"/>
      <w:b/>
      <w:bCs/>
      <w:sz w:val="24"/>
      <w:lang w:val="sl-SI" w:eastAsia="sl-SI"/>
    </w:rPr>
  </w:style>
  <w:style w:type="paragraph" w:styleId="Besedilooblaka">
    <w:name w:val="Balloon Text"/>
    <w:basedOn w:val="Navaden"/>
    <w:link w:val="BesedilooblakaZnak"/>
    <w:rsid w:val="00B000D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B000DB"/>
    <w:rPr>
      <w:rFonts w:ascii="Segoe UI" w:hAnsi="Segoe UI" w:cs="Segoe UI"/>
      <w:sz w:val="18"/>
      <w:szCs w:val="18"/>
      <w:lang w:val="en-US" w:eastAsia="en-US"/>
    </w:rPr>
  </w:style>
  <w:style w:type="paragraph" w:styleId="Odstavekseznama">
    <w:name w:val="List Paragraph"/>
    <w:basedOn w:val="Navaden"/>
    <w:uiPriority w:val="34"/>
    <w:qFormat/>
    <w:rsid w:val="00E40CFC"/>
    <w:pPr>
      <w:spacing w:line="240" w:lineRule="auto"/>
      <w:ind w:left="720"/>
    </w:pPr>
    <w:rPr>
      <w:rFonts w:ascii="Calibri" w:eastAsiaTheme="minorHAnsi" w:hAnsi="Calibri" w:cs="Calibri"/>
      <w:sz w:val="22"/>
      <w:szCs w:val="22"/>
      <w:lang w:val="sl-SI"/>
    </w:rPr>
  </w:style>
  <w:style w:type="character" w:styleId="Hiperpovezava">
    <w:name w:val="Hyperlink"/>
    <w:basedOn w:val="Privzetapisavaodstavka"/>
    <w:rsid w:val="008D01D3"/>
    <w:rPr>
      <w:color w:val="0563C1" w:themeColor="hyperlink"/>
      <w:u w:val="single"/>
    </w:rPr>
  </w:style>
  <w:style w:type="character" w:customStyle="1" w:styleId="UnresolvedMention">
    <w:name w:val="Unresolved Mention"/>
    <w:basedOn w:val="Privzetapisavaodstavka"/>
    <w:uiPriority w:val="99"/>
    <w:semiHidden/>
    <w:unhideWhenUsed/>
    <w:rsid w:val="008D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mgrt@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5484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 Jarc</dc:creator>
  <cp:keywords/>
  <dc:description/>
  <cp:lastModifiedBy>Aleš Gorišek</cp:lastModifiedBy>
  <cp:revision>2</cp:revision>
  <cp:lastPrinted>1899-12-31T23:00:00Z</cp:lastPrinted>
  <dcterms:created xsi:type="dcterms:W3CDTF">2020-04-28T13:22:00Z</dcterms:created>
  <dcterms:modified xsi:type="dcterms:W3CDTF">2020-04-28T13:22:00Z</dcterms:modified>
</cp:coreProperties>
</file>