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Pošiljatelj: </w:t>
      </w:r>
      <w:r w:rsidR="00DC6D4B">
        <w:rPr>
          <w:rFonts w:ascii="Courier" w:hAnsi="Courier" w:cs="Courier"/>
          <w:color w:val="000000"/>
          <w:sz w:val="20"/>
          <w:szCs w:val="20"/>
        </w:rPr>
        <w:t>xxx (prikrito zaradi GDPR)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Datum:       </w:t>
      </w:r>
      <w:r>
        <w:rPr>
          <w:rFonts w:ascii="Courier" w:hAnsi="Courier" w:cs="Courier"/>
          <w:color w:val="000000"/>
          <w:sz w:val="20"/>
          <w:szCs w:val="20"/>
        </w:rPr>
        <w:t>30.04.2020 08:58:26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Prejemnik:   </w:t>
      </w:r>
      <w:r>
        <w:rPr>
          <w:rFonts w:ascii="Courier" w:hAnsi="Courier" w:cs="Courier"/>
          <w:color w:val="000000"/>
          <w:sz w:val="20"/>
          <w:szCs w:val="20"/>
        </w:rPr>
        <w:t>"gp.mgrt@gov.si" &lt;gp.mgrt@gov.si&gt;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80008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V vednost:   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800080"/>
          <w:sz w:val="20"/>
          <w:szCs w:val="20"/>
        </w:rPr>
        <w:t xml:space="preserve">Zadeva:      </w:t>
      </w:r>
      <w:r>
        <w:rPr>
          <w:rFonts w:ascii="Courier" w:hAnsi="Courier" w:cs="Courier"/>
          <w:color w:val="000000"/>
          <w:sz w:val="20"/>
          <w:szCs w:val="20"/>
        </w:rPr>
        <w:t xml:space="preserve">IFLA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calls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for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the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best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implementation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of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the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EU-DSM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for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Libraries</w:t>
      </w:r>
      <w:proofErr w:type="spellEnd"/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000000"/>
          <w:sz w:val="20"/>
          <w:szCs w:val="20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Ministry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Economic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Development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Technology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I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am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contacting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you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on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behalf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International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Federation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Library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Associations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Institutions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(IFLA),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which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represents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3500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members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in 135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countries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including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Slovenia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For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many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years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IFLA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has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been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working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with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governments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around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world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on copyright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issues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ensure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that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libraries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benefit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from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 legal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framework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adapted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their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needs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those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their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users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Libraries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are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unique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public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organisations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that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provide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their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users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with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access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education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knowledge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information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research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Through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these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services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public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research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academic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heritage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libraries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act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socio-economic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actors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facilitate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progress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our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societies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towards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knowledge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innovation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implementation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EU-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Directive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2019/790 (DSM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Directive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) is 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unique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opportunity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for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libraries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archives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museums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educational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research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institutions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benefit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from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copyright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laws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that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meet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their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needs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needs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their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users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evolve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with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digital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age.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However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it is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essential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that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provisions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are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both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simple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implement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clear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Heritage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institutions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have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limited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human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financial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resources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introduction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complex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costly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procedures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could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lead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abandonment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attempts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to take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advantage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these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opportunities.Therefore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IFLA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recommends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adoption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exceptions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which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are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most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suitable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legal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means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for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our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members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because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they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are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clear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simple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IFLA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would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like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draw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your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attention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articles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(in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annexe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) in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particular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in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order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provide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new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perspective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on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needs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of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public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libraries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research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libraries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academic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libraries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heritage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libraries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 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We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thank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you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for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your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attention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remain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at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your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disposal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for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further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discussion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Best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regards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 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Camille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Francoise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  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7A63A8" w:rsidRDefault="007A63A8" w:rsidP="007A63A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191"/>
        <w:gridCol w:w="4881"/>
      </w:tblGrid>
      <w:tr w:rsidR="007A63A8">
        <w:tc>
          <w:tcPr>
            <w:tcW w:w="2310" w:type="pct"/>
          </w:tcPr>
          <w:p w:rsidR="007A63A8" w:rsidRDefault="00DC6D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FF0000"/>
                <w:sz w:val="18"/>
                <w:szCs w:val="18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</w:t>
            </w:r>
            <w:bookmarkStart w:id="0" w:name="_GoBack"/>
            <w:bookmarkEnd w:id="0"/>
            <w:r>
              <w:rPr>
                <w:rFonts w:ascii="Tms Rmn" w:hAnsi="Tms Rmn" w:cs="Tms Rmn"/>
                <w:color w:val="000000"/>
                <w:sz w:val="24"/>
                <w:szCs w:val="24"/>
              </w:rPr>
              <w:t>xx (prikrito zaradi GDPR)</w:t>
            </w:r>
          </w:p>
          <w:p w:rsidR="007A63A8" w:rsidRDefault="007A63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FF0000"/>
                <w:sz w:val="18"/>
                <w:szCs w:val="18"/>
              </w:rPr>
            </w:pPr>
          </w:p>
        </w:tc>
        <w:tc>
          <w:tcPr>
            <w:tcW w:w="2689" w:type="pct"/>
          </w:tcPr>
          <w:p w:rsidR="007A63A8" w:rsidRDefault="007A63A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FF0000"/>
                <w:sz w:val="18"/>
                <w:szCs w:val="18"/>
              </w:rPr>
            </w:pPr>
          </w:p>
          <w:p w:rsidR="007A63A8" w:rsidRDefault="007A63A8" w:rsidP="00DC6D4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</w:tr>
    </w:tbl>
    <w:p w:rsidR="00623DF0" w:rsidRDefault="00623DF0"/>
    <w:sectPr w:rsidR="0062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A8"/>
    <w:rsid w:val="00623DF0"/>
    <w:rsid w:val="007A63A8"/>
    <w:rsid w:val="00D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F223"/>
  <w15:chartTrackingRefBased/>
  <w15:docId w15:val="{FB83052D-F100-43B1-94DC-B091E022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Gorišek</dc:creator>
  <cp:keywords/>
  <dc:description/>
  <cp:lastModifiedBy>Aleš Gorišek</cp:lastModifiedBy>
  <cp:revision>2</cp:revision>
  <dcterms:created xsi:type="dcterms:W3CDTF">2020-06-10T07:30:00Z</dcterms:created>
  <dcterms:modified xsi:type="dcterms:W3CDTF">2020-06-10T07:30:00Z</dcterms:modified>
</cp:coreProperties>
</file>