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73682" w:rsidRPr="001E7E23" w14:paraId="03168FED" w14:textId="77777777" w:rsidTr="001E7E23">
        <w:trPr>
          <w:trHeight w:val="164"/>
        </w:trPr>
        <w:tc>
          <w:tcPr>
            <w:tcW w:w="4385" w:type="dxa"/>
            <w:tcMar>
              <w:top w:w="100" w:type="dxa"/>
              <w:left w:w="100" w:type="dxa"/>
              <w:bottom w:w="100" w:type="dxa"/>
              <w:right w:w="100" w:type="dxa"/>
            </w:tcMar>
          </w:tcPr>
          <w:p w14:paraId="3EBA1A06" w14:textId="77777777" w:rsidR="00473682" w:rsidRPr="001E7E23" w:rsidRDefault="00473682" w:rsidP="00473682">
            <w:pPr>
              <w:spacing w:after="0" w:line="240" w:lineRule="auto"/>
              <w:rPr>
                <w:rFonts w:ascii="Open Sans" w:eastAsia="Arial" w:hAnsi="Open Sans" w:cs="Open Sans"/>
                <w:b/>
                <w:sz w:val="20"/>
                <w:szCs w:val="20"/>
                <w:lang w:eastAsia="sl-SI"/>
              </w:rPr>
            </w:pPr>
            <w:bookmarkStart w:id="0" w:name="_Hlk107907275"/>
            <w:r w:rsidRPr="001E7E23">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651D4BAF" w:rsidR="00473682" w:rsidRPr="001E7E23" w:rsidRDefault="00797E6F" w:rsidP="00473682">
            <w:pPr>
              <w:spacing w:after="0" w:line="240" w:lineRule="auto"/>
              <w:rPr>
                <w:rFonts w:ascii="Open Sans" w:eastAsia="Arial" w:hAnsi="Open Sans" w:cs="Open Sans"/>
                <w:b/>
                <w:bCs/>
                <w:color w:val="833C0B" w:themeColor="accent2" w:themeShade="80"/>
                <w:sz w:val="20"/>
                <w:szCs w:val="20"/>
                <w:lang w:eastAsia="sl-SI"/>
              </w:rPr>
            </w:pPr>
            <w:r w:rsidRPr="001E7E23">
              <w:rPr>
                <w:rFonts w:ascii="Open Sans" w:hAnsi="Open Sans" w:cs="Open Sans"/>
                <w:b/>
                <w:bCs/>
                <w:color w:val="833C0B" w:themeColor="accent2" w:themeShade="80"/>
                <w:sz w:val="20"/>
                <w:szCs w:val="20"/>
                <w:shd w:val="clear" w:color="auto" w:fill="FFFFFF"/>
              </w:rPr>
              <w:t>Tesarstvo</w:t>
            </w:r>
          </w:p>
        </w:tc>
      </w:tr>
      <w:tr w:rsidR="00473682" w:rsidRPr="001E7E23" w14:paraId="15B45EC4" w14:textId="77777777" w:rsidTr="001E7E23">
        <w:trPr>
          <w:trHeight w:val="151"/>
        </w:trPr>
        <w:tc>
          <w:tcPr>
            <w:tcW w:w="9030" w:type="dxa"/>
            <w:gridSpan w:val="2"/>
            <w:tcMar>
              <w:top w:w="100" w:type="dxa"/>
              <w:left w:w="100" w:type="dxa"/>
              <w:bottom w:w="100" w:type="dxa"/>
              <w:right w:w="100" w:type="dxa"/>
            </w:tcMar>
          </w:tcPr>
          <w:p w14:paraId="76221CB6" w14:textId="21F79499" w:rsidR="00473682" w:rsidRPr="001E7E23" w:rsidRDefault="00473682" w:rsidP="00473682">
            <w:pPr>
              <w:spacing w:after="0" w:line="240" w:lineRule="auto"/>
              <w:rPr>
                <w:rFonts w:ascii="Open Sans" w:eastAsia="Arial" w:hAnsi="Open Sans" w:cs="Open Sans"/>
                <w:b/>
                <w:sz w:val="20"/>
                <w:szCs w:val="20"/>
                <w:lang w:eastAsia="sl-SI"/>
              </w:rPr>
            </w:pPr>
            <w:r w:rsidRPr="001E7E23">
              <w:rPr>
                <w:rFonts w:ascii="Open Sans" w:eastAsia="Arial" w:hAnsi="Open Sans" w:cs="Open Sans"/>
                <w:b/>
                <w:sz w:val="20"/>
                <w:szCs w:val="20"/>
                <w:lang w:eastAsia="sl-SI"/>
              </w:rPr>
              <w:t>POVZETEK</w:t>
            </w:r>
          </w:p>
        </w:tc>
      </w:tr>
      <w:tr w:rsidR="00473682" w:rsidRPr="001E7E23" w14:paraId="1052A38A" w14:textId="77777777" w:rsidTr="001E7E23">
        <w:trPr>
          <w:trHeight w:val="1005"/>
        </w:trPr>
        <w:tc>
          <w:tcPr>
            <w:tcW w:w="9030" w:type="dxa"/>
            <w:gridSpan w:val="2"/>
            <w:tcMar>
              <w:top w:w="100" w:type="dxa"/>
              <w:left w:w="100" w:type="dxa"/>
              <w:bottom w:w="100" w:type="dxa"/>
              <w:right w:w="100" w:type="dxa"/>
            </w:tcMar>
          </w:tcPr>
          <w:p w14:paraId="43A4475D" w14:textId="7B9B38F9" w:rsidR="00EA296E" w:rsidRPr="001E7E23" w:rsidRDefault="006C3691" w:rsidP="00720C68">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Tesarstvo je ena starejših obrti, povezana z graditvijo človekovega bivališča, postavljanjem gospodarskih objektov (kozolcev) ter prometnih objektov (lesenih mostov) in plovil. Osnovo tesarskega dela predstavlja odlično poznavanje lesa, njegove rasti in ustroja. Največji dosežek tesarskega dela in stoletnega mojstrstva predstavlja slovenski dvojni kozolec (toplar).</w:t>
            </w:r>
          </w:p>
        </w:tc>
      </w:tr>
      <w:tr w:rsidR="00473682" w:rsidRPr="001E7E23" w14:paraId="5A81AEBD" w14:textId="77777777" w:rsidTr="001E7E23">
        <w:trPr>
          <w:trHeight w:val="306"/>
        </w:trPr>
        <w:tc>
          <w:tcPr>
            <w:tcW w:w="9030" w:type="dxa"/>
            <w:gridSpan w:val="2"/>
            <w:tcMar>
              <w:top w:w="100" w:type="dxa"/>
              <w:left w:w="100" w:type="dxa"/>
              <w:bottom w:w="100" w:type="dxa"/>
              <w:right w:w="100" w:type="dxa"/>
            </w:tcMar>
          </w:tcPr>
          <w:p w14:paraId="4D58960F" w14:textId="2FE40ACA" w:rsidR="00473682" w:rsidRPr="001E7E23" w:rsidRDefault="00473682" w:rsidP="001E7E23">
            <w:pPr>
              <w:spacing w:after="0" w:line="240" w:lineRule="auto"/>
              <w:jc w:val="both"/>
              <w:rPr>
                <w:rFonts w:ascii="Open Sans" w:eastAsia="Arial" w:hAnsi="Open Sans" w:cs="Open Sans"/>
                <w:sz w:val="20"/>
                <w:szCs w:val="20"/>
                <w:lang w:eastAsia="sl-SI"/>
              </w:rPr>
            </w:pPr>
            <w:r w:rsidRPr="001E7E23">
              <w:rPr>
                <w:rFonts w:ascii="Open Sans" w:eastAsia="Arial" w:hAnsi="Open Sans" w:cs="Open Sans"/>
                <w:b/>
                <w:sz w:val="20"/>
                <w:szCs w:val="20"/>
                <w:lang w:eastAsia="sl-SI"/>
              </w:rPr>
              <w:t xml:space="preserve">OPIS PANOGE </w:t>
            </w:r>
          </w:p>
        </w:tc>
      </w:tr>
      <w:tr w:rsidR="00473682" w:rsidRPr="001E7E23" w14:paraId="0B330F84" w14:textId="77777777" w:rsidTr="001E7E23">
        <w:trPr>
          <w:trHeight w:val="458"/>
        </w:trPr>
        <w:tc>
          <w:tcPr>
            <w:tcW w:w="9030" w:type="dxa"/>
            <w:gridSpan w:val="2"/>
            <w:tcMar>
              <w:top w:w="100" w:type="dxa"/>
              <w:left w:w="100" w:type="dxa"/>
              <w:bottom w:w="100" w:type="dxa"/>
              <w:right w:w="100" w:type="dxa"/>
            </w:tcMar>
          </w:tcPr>
          <w:p w14:paraId="7512AB5C" w14:textId="77777777" w:rsidR="006C3691" w:rsidRP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 xml:space="preserve">Tesarstvo kot način preoblikovanja lesa v ploskovite gradbene elemente za vezavo nosilnih konstrukcijskih elementov bivalnih, gospodarskih in komunikacijskih zgradb velja za eno od najstarejših obrti. V vseh obdobjih zgodovinskega razvoja je bilo razširjeno po celotnem slovenskem ozemlju, tako v mestih kot na podeželju. Zaradi potrebe po gradnji varnih bivališč so se ljudje že v zgodnjih obdobjih kovin srečali z obdelavo lesa, in tako so nastajale različne stanovanjske in gospodarske stavbe, brvi, mostovi in drugi uporabni objekti. </w:t>
            </w:r>
          </w:p>
          <w:p w14:paraId="6844E4F3" w14:textId="77777777" w:rsidR="006C3691" w:rsidRPr="006C3691" w:rsidRDefault="006C3691" w:rsidP="006C3691">
            <w:pPr>
              <w:spacing w:after="0" w:line="240" w:lineRule="auto"/>
              <w:jc w:val="both"/>
              <w:rPr>
                <w:rFonts w:ascii="Open Sans" w:eastAsia="Arial" w:hAnsi="Open Sans" w:cs="Open Sans"/>
                <w:sz w:val="20"/>
                <w:szCs w:val="20"/>
                <w:lang w:eastAsia="sl-SI"/>
              </w:rPr>
            </w:pPr>
          </w:p>
          <w:p w14:paraId="36103A49" w14:textId="51A52E8B" w:rsid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Tesarji (</w:t>
            </w:r>
            <w:proofErr w:type="spellStart"/>
            <w:r w:rsidRPr="006C3691">
              <w:rPr>
                <w:rFonts w:ascii="Open Sans" w:eastAsia="Arial" w:hAnsi="Open Sans" w:cs="Open Sans"/>
                <w:sz w:val="20"/>
                <w:szCs w:val="20"/>
                <w:lang w:eastAsia="sl-SI"/>
              </w:rPr>
              <w:t>cimpermani</w:t>
            </w:r>
            <w:proofErr w:type="spellEnd"/>
            <w:r w:rsidRPr="006C3691">
              <w:rPr>
                <w:rFonts w:ascii="Open Sans" w:eastAsia="Arial" w:hAnsi="Open Sans" w:cs="Open Sans"/>
                <w:sz w:val="20"/>
                <w:szCs w:val="20"/>
                <w:lang w:eastAsia="sl-SI"/>
              </w:rPr>
              <w:t>) sodijo med tiste obrtnike, ki jih lahko dokumentirano spremljamo že od srednjega veka (freske in drugi slikovni viri), ko so se začeli združevati v cehe. V preteklosti je kmet obvladal tudi tesarska znanja, saj si je moral številne pripomočke izdelati sam. Posamezni mojstri pa so obvladovali panogo bolj detajlno, saj je med tesarskimi opravili tudi nekaj takšnih, ki zahtevajo posebne spretnosti ter obvladovanje orodja in materiala, s katerim izdelujejo.</w:t>
            </w:r>
          </w:p>
          <w:p w14:paraId="48F766E2" w14:textId="77777777" w:rsidR="006C3691" w:rsidRPr="006C3691" w:rsidRDefault="006C3691" w:rsidP="006C3691">
            <w:pPr>
              <w:spacing w:after="0" w:line="240" w:lineRule="auto"/>
              <w:jc w:val="both"/>
              <w:rPr>
                <w:rFonts w:ascii="Open Sans" w:eastAsia="Arial" w:hAnsi="Open Sans" w:cs="Open Sans"/>
                <w:sz w:val="20"/>
                <w:szCs w:val="20"/>
                <w:lang w:eastAsia="sl-SI"/>
              </w:rPr>
            </w:pPr>
          </w:p>
          <w:p w14:paraId="2798CD99" w14:textId="5632C484" w:rsid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 xml:space="preserve">Zelo zahtevna za izdelavo so bila ostrešja nad bivališči in v zvonikih cerkva, samostanih in grajskih stavbah. Posebnost na Slovenskem je zagotovo sušilna naprava, imenovana kozolec. Poznamo jih različnih oblik, posebno mojstrovino predstavlja kozolec toplar, torej dvojni vezani kozolec. </w:t>
            </w:r>
          </w:p>
          <w:p w14:paraId="74A9E2AD" w14:textId="77777777" w:rsidR="006C3691" w:rsidRPr="006C3691" w:rsidRDefault="006C3691" w:rsidP="006C3691">
            <w:pPr>
              <w:spacing w:after="0" w:line="240" w:lineRule="auto"/>
              <w:jc w:val="both"/>
              <w:rPr>
                <w:rFonts w:ascii="Open Sans" w:eastAsia="Arial" w:hAnsi="Open Sans" w:cs="Open Sans"/>
                <w:sz w:val="20"/>
                <w:szCs w:val="20"/>
                <w:lang w:eastAsia="sl-SI"/>
              </w:rPr>
            </w:pPr>
          </w:p>
          <w:p w14:paraId="2C144093" w14:textId="77777777" w:rsidR="006C3691" w:rsidRP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 xml:space="preserve">Tesarstvo zahteva veliko znanja in izkušenj. Za tesarskega mojstra je bilo treba opraviti pripravništvo, ki je zajemalo praktično učenje od mojstrov. Pripravništvo je bil čas, ko so se vajenci naučili obdelovati les in obvladati zakonitosti, ki veljajo pri gradnji lesenih objektov. Osnovna pogoja za tesarstvo sta bila dobro orodje, s katerim so tesali, in dobro pripravljen les. Tesarska sezona je potekala od pomladi do jeseni. V zimskem času so posekali les, ki se je sušil do pomladi, ko so začeli s tesanjem lesa in nato z vezavo posameznih sklopov konstrukcije. Glavno delo tesarjev je bilo obdelava požaganega lesa, ročno ali z žago. Tako so dobili tesane ali žagane gredi, tramove, špirovce, lege, late in druge osnovne lesene sestavne dele. Naslednjo skupino tesarskih opravil je predstavljalo vezanje ali sestavljanje lesene konstrukcije v ostrešja, lesene stene, mostove, kozolce in druge naprave. Pri tem je šlo za dve glavni skupini opravil: tesanje sestavnih delov in sestavljanje ali montaža. To je bilo še posebej značilno pri izdelavi ostrešij, ki so jih najprej v celoti stesali, sestavili na tleh, jih znova razdrli, dvignili posamezne sestavne elemente na stavbo in jih nato spet sestavili. Glavno tesarjevo orodje so različne sekire (plenkača, </w:t>
            </w:r>
            <w:proofErr w:type="spellStart"/>
            <w:r w:rsidRPr="006C3691">
              <w:rPr>
                <w:rFonts w:ascii="Open Sans" w:eastAsia="Arial" w:hAnsi="Open Sans" w:cs="Open Sans"/>
                <w:sz w:val="20"/>
                <w:szCs w:val="20"/>
                <w:lang w:eastAsia="sl-SI"/>
              </w:rPr>
              <w:t>cimerarka</w:t>
            </w:r>
            <w:proofErr w:type="spellEnd"/>
            <w:r w:rsidRPr="006C3691">
              <w:rPr>
                <w:rFonts w:ascii="Open Sans" w:eastAsia="Arial" w:hAnsi="Open Sans" w:cs="Open Sans"/>
                <w:sz w:val="20"/>
                <w:szCs w:val="20"/>
                <w:lang w:eastAsia="sl-SI"/>
              </w:rPr>
              <w:t xml:space="preserve">, </w:t>
            </w:r>
            <w:proofErr w:type="spellStart"/>
            <w:r w:rsidRPr="006C3691">
              <w:rPr>
                <w:rFonts w:ascii="Open Sans" w:eastAsia="Arial" w:hAnsi="Open Sans" w:cs="Open Sans"/>
                <w:sz w:val="20"/>
                <w:szCs w:val="20"/>
                <w:lang w:eastAsia="sl-SI"/>
              </w:rPr>
              <w:t>malarin</w:t>
            </w:r>
            <w:proofErr w:type="spellEnd"/>
            <w:r w:rsidRPr="006C3691">
              <w:rPr>
                <w:rFonts w:ascii="Open Sans" w:eastAsia="Arial" w:hAnsi="Open Sans" w:cs="Open Sans"/>
                <w:sz w:val="20"/>
                <w:szCs w:val="20"/>
                <w:lang w:eastAsia="sl-SI"/>
              </w:rPr>
              <w:t xml:space="preserve">, bradlja..). </w:t>
            </w:r>
          </w:p>
          <w:p w14:paraId="1FFE00A6" w14:textId="77777777" w:rsidR="006C3691" w:rsidRPr="006C3691" w:rsidRDefault="006C3691" w:rsidP="006C3691">
            <w:pPr>
              <w:spacing w:after="0" w:line="240" w:lineRule="auto"/>
              <w:jc w:val="both"/>
              <w:rPr>
                <w:rFonts w:ascii="Open Sans" w:eastAsia="Arial" w:hAnsi="Open Sans" w:cs="Open Sans"/>
                <w:sz w:val="20"/>
                <w:szCs w:val="20"/>
                <w:lang w:eastAsia="sl-SI"/>
              </w:rPr>
            </w:pPr>
          </w:p>
          <w:p w14:paraId="6E6BB173" w14:textId="77777777" w:rsidR="006C3691" w:rsidRP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 xml:space="preserve">Panoga je po celotni Sloveniji zelo živa, saj je praviloma večina ostrešij še vedno izdelana iz lesa. Kot rokodelsko panogo lahko opredelimo le del tesarskih del sodobnih tesarjev, in sicer izdelovanje detajlov v zvezi s kulturnimi spomeniki naše dediščine, izdelovanje kozolcev (vendar ne pomanjšav, ki spadajo v rokodelsko panogo </w:t>
            </w:r>
            <w:proofErr w:type="spellStart"/>
            <w:r w:rsidRPr="006C3691">
              <w:rPr>
                <w:rFonts w:ascii="Open Sans" w:eastAsia="Arial" w:hAnsi="Open Sans" w:cs="Open Sans"/>
                <w:sz w:val="20"/>
                <w:szCs w:val="20"/>
                <w:lang w:eastAsia="sl-SI"/>
              </w:rPr>
              <w:t>maketarstva</w:t>
            </w:r>
            <w:proofErr w:type="spellEnd"/>
            <w:r w:rsidRPr="006C3691">
              <w:rPr>
                <w:rFonts w:ascii="Open Sans" w:eastAsia="Arial" w:hAnsi="Open Sans" w:cs="Open Sans"/>
                <w:sz w:val="20"/>
                <w:szCs w:val="20"/>
                <w:lang w:eastAsia="sl-SI"/>
              </w:rPr>
              <w:t xml:space="preserve">), lesenih tradicionalnih preš za grozdje, lesenih mlinskih delov za tradicionalne vodne in druge tipe mlinov, razna dela s </w:t>
            </w:r>
            <w:r w:rsidRPr="006C3691">
              <w:rPr>
                <w:rFonts w:ascii="Open Sans" w:eastAsia="Arial" w:hAnsi="Open Sans" w:cs="Open Sans"/>
                <w:sz w:val="20"/>
                <w:szCs w:val="20"/>
                <w:lang w:eastAsia="sl-SI"/>
              </w:rPr>
              <w:lastRenderedPageBreak/>
              <w:t xml:space="preserve">področja tesarskega restavratorstva in izdelovanje replik dediščine, za kar je potrebno temeljito tesarsko znanje. </w:t>
            </w:r>
          </w:p>
          <w:p w14:paraId="34837E1E" w14:textId="77777777" w:rsidR="006C3691" w:rsidRPr="006C3691" w:rsidRDefault="006C3691" w:rsidP="006C3691">
            <w:pPr>
              <w:spacing w:after="0" w:line="240" w:lineRule="auto"/>
              <w:jc w:val="both"/>
              <w:rPr>
                <w:rFonts w:ascii="Open Sans" w:eastAsia="Arial" w:hAnsi="Open Sans" w:cs="Open Sans"/>
                <w:sz w:val="20"/>
                <w:szCs w:val="20"/>
                <w:lang w:eastAsia="sl-SI"/>
              </w:rPr>
            </w:pPr>
          </w:p>
          <w:p w14:paraId="38936FC1" w14:textId="338A09C2" w:rsidR="00493DF4" w:rsidRPr="001E7E23"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Tesarstvo je kot pomembna obrtniška dejavnost močno zaznamovalo zlasti območje mirnske doline.</w:t>
            </w:r>
          </w:p>
        </w:tc>
      </w:tr>
      <w:tr w:rsidR="00473682" w:rsidRPr="001E7E23" w14:paraId="75C32A3A" w14:textId="77777777" w:rsidTr="001E7E23">
        <w:trPr>
          <w:trHeight w:val="269"/>
        </w:trPr>
        <w:tc>
          <w:tcPr>
            <w:tcW w:w="9030" w:type="dxa"/>
            <w:gridSpan w:val="2"/>
            <w:tcMar>
              <w:top w:w="100" w:type="dxa"/>
              <w:left w:w="100" w:type="dxa"/>
              <w:bottom w:w="100" w:type="dxa"/>
              <w:right w:w="100" w:type="dxa"/>
            </w:tcMar>
          </w:tcPr>
          <w:p w14:paraId="40E6EA9C" w14:textId="5A7EAA11" w:rsidR="00473682" w:rsidRPr="001E7E23" w:rsidRDefault="00473682" w:rsidP="00720C68">
            <w:pPr>
              <w:spacing w:after="0" w:line="240" w:lineRule="auto"/>
              <w:jc w:val="both"/>
              <w:rPr>
                <w:rFonts w:ascii="Open Sans" w:eastAsia="Arial" w:hAnsi="Open Sans" w:cs="Open Sans"/>
                <w:b/>
                <w:sz w:val="20"/>
                <w:szCs w:val="20"/>
                <w:lang w:eastAsia="sl-SI"/>
              </w:rPr>
            </w:pPr>
            <w:r w:rsidRPr="001E7E23">
              <w:rPr>
                <w:rFonts w:ascii="Open Sans" w:eastAsia="Arial" w:hAnsi="Open Sans" w:cs="Open Sans"/>
                <w:b/>
                <w:sz w:val="20"/>
                <w:szCs w:val="20"/>
                <w:lang w:eastAsia="sl-SI"/>
              </w:rPr>
              <w:lastRenderedPageBreak/>
              <w:t xml:space="preserve">EVALVACIJA PANOGE </w:t>
            </w:r>
          </w:p>
        </w:tc>
      </w:tr>
      <w:tr w:rsidR="006C3691" w:rsidRPr="001E7E23" w14:paraId="7730F864" w14:textId="77777777" w:rsidTr="006C3691">
        <w:trPr>
          <w:trHeight w:val="484"/>
        </w:trPr>
        <w:tc>
          <w:tcPr>
            <w:tcW w:w="4385" w:type="dxa"/>
            <w:tcMar>
              <w:top w:w="100" w:type="dxa"/>
              <w:left w:w="100" w:type="dxa"/>
              <w:bottom w:w="100" w:type="dxa"/>
              <w:right w:w="100" w:type="dxa"/>
            </w:tcMar>
          </w:tcPr>
          <w:p w14:paraId="5B22C4B8" w14:textId="77777777" w:rsidR="006C3691" w:rsidRPr="001E7E23" w:rsidRDefault="006C3691" w:rsidP="006C3691">
            <w:pPr>
              <w:spacing w:after="0" w:line="240" w:lineRule="auto"/>
              <w:jc w:val="both"/>
              <w:rPr>
                <w:rFonts w:ascii="Open Sans" w:eastAsia="Arial" w:hAnsi="Open Sans" w:cs="Open Sans"/>
                <w:b/>
                <w:sz w:val="20"/>
                <w:szCs w:val="20"/>
                <w:lang w:eastAsia="sl-SI"/>
              </w:rPr>
            </w:pPr>
            <w:r w:rsidRPr="001E7E23">
              <w:rPr>
                <w:rFonts w:ascii="Open Sans" w:eastAsia="Arial" w:hAnsi="Open Sans" w:cs="Open Sans"/>
                <w:b/>
                <w:sz w:val="20"/>
                <w:szCs w:val="20"/>
                <w:lang w:eastAsia="sl-SI"/>
              </w:rPr>
              <w:t xml:space="preserve">Vidik rokodelskih in obrtniških znanj, spretnosti in veščin </w:t>
            </w:r>
          </w:p>
          <w:p w14:paraId="096BD990" w14:textId="484F4157" w:rsidR="006C3691" w:rsidRPr="001E7E23" w:rsidRDefault="006C3691" w:rsidP="006C3691">
            <w:pPr>
              <w:spacing w:after="0" w:line="240" w:lineRule="auto"/>
              <w:jc w:val="both"/>
              <w:rPr>
                <w:rFonts w:ascii="Open Sans" w:eastAsia="Arial" w:hAnsi="Open Sans" w:cs="Open Sans"/>
                <w:bCs/>
                <w:i/>
                <w:iCs/>
                <w:sz w:val="20"/>
                <w:szCs w:val="20"/>
                <w:lang w:eastAsia="sl-SI"/>
              </w:rPr>
            </w:pPr>
          </w:p>
        </w:tc>
        <w:tc>
          <w:tcPr>
            <w:tcW w:w="4645" w:type="dxa"/>
          </w:tcPr>
          <w:p w14:paraId="0986106E" w14:textId="3C189EC8" w:rsidR="006C3691" w:rsidRP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Za obvladovanje panoge mora tesar pripraviti les, kar vključuje poznavanje njegove rasti, sečnje in nadaljnje obdelave, ročno s sekiro ali žago. Poznati mora različne vrste lesa in osnove gradbeništva v smislu sestavljanja lesenih konstrukcij, znati mora ravnati tudi z orodjem. Tesar mora dobro poznati in upoštevati tudi zahtevno zakonodajo s področja varnosti in zdravja pri delu, varstva okolja, varstva pred požarom itd. Zelo pomemben je občutek za restavratorstvo in poznavanje področja varovanja in obnove objektov kulturne dediščine. Vrhunsko rokodelsko ustvarjanje zahteva veliko prakse in učenja od drugih bolj izkušenih mojstrov. Formalno izobraževanje za tesarja izvajajo srednje poklicne šole, v sodelovanju s temi šolami se izvaja tudi vajeništvo. V katalogu nacionalnih poklicnih kvalifikacij je opredeljen poklic tesar, restavratorski sodelavec/tesarka, restavratorska sodelavka.</w:t>
            </w:r>
          </w:p>
        </w:tc>
      </w:tr>
      <w:tr w:rsidR="006C3691" w:rsidRPr="001E7E23" w14:paraId="5D0BD473" w14:textId="77777777" w:rsidTr="006C3691">
        <w:trPr>
          <w:trHeight w:val="484"/>
        </w:trPr>
        <w:tc>
          <w:tcPr>
            <w:tcW w:w="4385" w:type="dxa"/>
            <w:tcMar>
              <w:top w:w="100" w:type="dxa"/>
              <w:left w:w="100" w:type="dxa"/>
              <w:bottom w:w="100" w:type="dxa"/>
              <w:right w:w="100" w:type="dxa"/>
            </w:tcMar>
          </w:tcPr>
          <w:p w14:paraId="2CB60984" w14:textId="77777777" w:rsidR="006C3691" w:rsidRPr="001E7E23" w:rsidRDefault="006C3691" w:rsidP="006C3691">
            <w:pPr>
              <w:spacing w:after="0" w:line="240" w:lineRule="auto"/>
              <w:jc w:val="both"/>
              <w:rPr>
                <w:rFonts w:ascii="Open Sans" w:eastAsia="Arial" w:hAnsi="Open Sans" w:cs="Open Sans"/>
                <w:b/>
                <w:sz w:val="20"/>
                <w:szCs w:val="20"/>
                <w:lang w:eastAsia="sl-SI"/>
              </w:rPr>
            </w:pPr>
            <w:r w:rsidRPr="001E7E23">
              <w:rPr>
                <w:rFonts w:ascii="Open Sans" w:eastAsia="Arial" w:hAnsi="Open Sans" w:cs="Open Sans"/>
                <w:b/>
                <w:sz w:val="20"/>
                <w:szCs w:val="20"/>
                <w:lang w:eastAsia="sl-SI"/>
              </w:rPr>
              <w:t>Vidik ohranjanja regionalnih razpoznavnosti in kultur, varstva in bogatenja kulturne dediščine</w:t>
            </w:r>
          </w:p>
          <w:p w14:paraId="5E97EA16" w14:textId="238A876A" w:rsidR="006C3691" w:rsidRPr="001E7E23" w:rsidRDefault="006C3691" w:rsidP="006C3691">
            <w:pPr>
              <w:spacing w:after="0" w:line="240" w:lineRule="auto"/>
              <w:jc w:val="both"/>
              <w:rPr>
                <w:rFonts w:ascii="Open Sans" w:eastAsia="Arial" w:hAnsi="Open Sans" w:cs="Open Sans"/>
                <w:b/>
                <w:sz w:val="20"/>
                <w:szCs w:val="20"/>
                <w:lang w:eastAsia="sl-SI"/>
              </w:rPr>
            </w:pPr>
          </w:p>
        </w:tc>
        <w:tc>
          <w:tcPr>
            <w:tcW w:w="4645" w:type="dxa"/>
          </w:tcPr>
          <w:p w14:paraId="04FC45BB" w14:textId="179030B5" w:rsidR="006C3691" w:rsidRPr="006C3691" w:rsidRDefault="006C3691" w:rsidP="006C3691">
            <w:pPr>
              <w:spacing w:after="0" w:line="240" w:lineRule="auto"/>
              <w:jc w:val="both"/>
              <w:rPr>
                <w:rFonts w:ascii="Open Sans" w:eastAsia="Times New Roman" w:hAnsi="Open Sans" w:cs="Open Sans"/>
                <w:sz w:val="20"/>
                <w:szCs w:val="20"/>
                <w:lang w:eastAsia="sl-SI"/>
              </w:rPr>
            </w:pPr>
            <w:r w:rsidRPr="006C3691">
              <w:rPr>
                <w:rFonts w:ascii="Open Sans" w:eastAsia="Times New Roman" w:hAnsi="Open Sans" w:cs="Open Sans"/>
                <w:sz w:val="20"/>
                <w:szCs w:val="20"/>
                <w:lang w:eastAsia="sl-SI"/>
              </w:rPr>
              <w:t>Panoga še ni vpisana v slovenski Register nesnovne kulturne dediščine, razen izdelovanja drevakov, ki zahteva prav tako določeno tesarsko znanje. Tesarstvo je v Sloveniji precej razširjeno, izginja pa število veščih tesarskih mojstrov.</w:t>
            </w:r>
          </w:p>
        </w:tc>
      </w:tr>
      <w:tr w:rsidR="006C3691" w:rsidRPr="001E7E23" w14:paraId="273588DE" w14:textId="77777777" w:rsidTr="006C3691">
        <w:trPr>
          <w:trHeight w:val="591"/>
        </w:trPr>
        <w:tc>
          <w:tcPr>
            <w:tcW w:w="4385" w:type="dxa"/>
            <w:tcMar>
              <w:top w:w="100" w:type="dxa"/>
              <w:left w:w="100" w:type="dxa"/>
              <w:bottom w:w="100" w:type="dxa"/>
              <w:right w:w="100" w:type="dxa"/>
            </w:tcMar>
          </w:tcPr>
          <w:p w14:paraId="29E21E7D" w14:textId="77777777" w:rsidR="006C3691" w:rsidRPr="001E7E23" w:rsidRDefault="006C3691" w:rsidP="006C3691">
            <w:pPr>
              <w:spacing w:after="0" w:line="240" w:lineRule="auto"/>
              <w:jc w:val="both"/>
              <w:rPr>
                <w:rFonts w:ascii="Open Sans" w:eastAsia="Arial" w:hAnsi="Open Sans" w:cs="Open Sans"/>
                <w:b/>
                <w:sz w:val="20"/>
                <w:szCs w:val="20"/>
                <w:lang w:eastAsia="sl-SI"/>
              </w:rPr>
            </w:pPr>
            <w:r w:rsidRPr="001E7E23">
              <w:rPr>
                <w:rFonts w:ascii="Open Sans" w:eastAsia="Arial" w:hAnsi="Open Sans" w:cs="Open Sans"/>
                <w:b/>
                <w:sz w:val="20"/>
                <w:szCs w:val="20"/>
                <w:lang w:eastAsia="sl-SI"/>
              </w:rPr>
              <w:t xml:space="preserve">Vidik identitete in prepoznavnosti </w:t>
            </w:r>
          </w:p>
          <w:p w14:paraId="62B86BAA" w14:textId="1479BB10" w:rsidR="006C3691" w:rsidRPr="001E7E23" w:rsidRDefault="006C3691" w:rsidP="006C3691">
            <w:pPr>
              <w:spacing w:after="0" w:line="240" w:lineRule="auto"/>
              <w:jc w:val="both"/>
              <w:rPr>
                <w:rFonts w:ascii="Open Sans" w:eastAsia="Arial" w:hAnsi="Open Sans" w:cs="Open Sans"/>
                <w:b/>
                <w:sz w:val="20"/>
                <w:szCs w:val="20"/>
                <w:lang w:eastAsia="sl-SI"/>
              </w:rPr>
            </w:pPr>
          </w:p>
        </w:tc>
        <w:tc>
          <w:tcPr>
            <w:tcW w:w="4645" w:type="dxa"/>
          </w:tcPr>
          <w:p w14:paraId="11A93F43" w14:textId="059E4D3E" w:rsid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Tesarje obrtnike povezuje Obrtno-podjetniška zbornica Slovenije v okviru Sekcije lesnih strok in znotraj te Odbora tesarjev. Sodobni tesarji, člani zbornice, se mesečno srečujejo, udeležujejo seminarjev, dogodkov</w:t>
            </w:r>
            <w:r>
              <w:rPr>
                <w:rFonts w:ascii="Open Sans" w:eastAsia="Arial" w:hAnsi="Open Sans" w:cs="Open Sans"/>
                <w:sz w:val="20"/>
                <w:szCs w:val="20"/>
                <w:lang w:eastAsia="sl-SI"/>
              </w:rPr>
              <w:t>,</w:t>
            </w:r>
            <w:r w:rsidRPr="006C3691">
              <w:rPr>
                <w:rFonts w:ascii="Open Sans" w:eastAsia="Arial" w:hAnsi="Open Sans" w:cs="Open Sans"/>
                <w:sz w:val="20"/>
                <w:szCs w:val="20"/>
                <w:lang w:eastAsia="sl-SI"/>
              </w:rPr>
              <w:t xml:space="preserve"> itd. </w:t>
            </w:r>
          </w:p>
          <w:p w14:paraId="2505ECBC" w14:textId="77777777" w:rsidR="006C3691" w:rsidRPr="006C3691" w:rsidRDefault="006C3691" w:rsidP="006C3691">
            <w:pPr>
              <w:spacing w:after="0" w:line="240" w:lineRule="auto"/>
              <w:jc w:val="both"/>
              <w:rPr>
                <w:rFonts w:ascii="Open Sans" w:eastAsia="Arial" w:hAnsi="Open Sans" w:cs="Open Sans"/>
                <w:sz w:val="20"/>
                <w:szCs w:val="20"/>
                <w:lang w:eastAsia="sl-SI"/>
              </w:rPr>
            </w:pPr>
          </w:p>
          <w:p w14:paraId="580732D2" w14:textId="24ECA6F6" w:rsidR="006C3691" w:rsidRP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 xml:space="preserve">Kozolci in drugi leseni objekti so pomemben del slovenske kulturne krajine. V Šentrupertu na Dolenjskem so na primer s projektom Muzej na prostem – kozolci v Šentrupertu tesarstvo znova povzdignili in mu dali veljavo, saj so bila njegova izhodišča in zakonitosti podlaga za postavitev muzeja. Prav tako so kozolci pomemben del </w:t>
            </w:r>
            <w:r w:rsidRPr="006C3691">
              <w:rPr>
                <w:rFonts w:ascii="Open Sans" w:eastAsia="Arial" w:hAnsi="Open Sans" w:cs="Open Sans"/>
                <w:sz w:val="20"/>
                <w:szCs w:val="20"/>
                <w:lang w:eastAsia="sl-SI"/>
              </w:rPr>
              <w:lastRenderedPageBreak/>
              <w:t xml:space="preserve">kulturne krajine drugih krajev po Sloveniji, npr. v </w:t>
            </w:r>
            <w:proofErr w:type="spellStart"/>
            <w:r w:rsidRPr="006C3691">
              <w:rPr>
                <w:rFonts w:ascii="Open Sans" w:eastAsia="Arial" w:hAnsi="Open Sans" w:cs="Open Sans"/>
                <w:sz w:val="20"/>
                <w:szCs w:val="20"/>
                <w:lang w:eastAsia="sl-SI"/>
              </w:rPr>
              <w:t>Studorju</w:t>
            </w:r>
            <w:proofErr w:type="spellEnd"/>
            <w:r w:rsidRPr="006C3691">
              <w:rPr>
                <w:rFonts w:ascii="Open Sans" w:eastAsia="Arial" w:hAnsi="Open Sans" w:cs="Open Sans"/>
                <w:sz w:val="20"/>
                <w:szCs w:val="20"/>
                <w:lang w:eastAsia="sl-SI"/>
              </w:rPr>
              <w:t xml:space="preserve"> v Bohinju … Ob slovenskih etnoloških prireditvah potekajo prikazi rokodelskih panog, tudi tesarstva, razstave in družabni dogodki pod kozolci. </w:t>
            </w:r>
          </w:p>
        </w:tc>
      </w:tr>
      <w:tr w:rsidR="006C3691" w:rsidRPr="001E7E23" w14:paraId="3B5EF15E" w14:textId="77777777" w:rsidTr="006C3691">
        <w:trPr>
          <w:trHeight w:val="900"/>
        </w:trPr>
        <w:tc>
          <w:tcPr>
            <w:tcW w:w="4385" w:type="dxa"/>
            <w:tcMar>
              <w:top w:w="100" w:type="dxa"/>
              <w:left w:w="100" w:type="dxa"/>
              <w:bottom w:w="100" w:type="dxa"/>
              <w:right w:w="100" w:type="dxa"/>
            </w:tcMar>
          </w:tcPr>
          <w:p w14:paraId="4BD079AD" w14:textId="77777777" w:rsidR="006C3691" w:rsidRPr="001E7E23" w:rsidRDefault="006C3691" w:rsidP="006C3691">
            <w:pPr>
              <w:spacing w:after="0" w:line="240" w:lineRule="auto"/>
              <w:rPr>
                <w:rFonts w:ascii="Open Sans" w:eastAsia="Arial" w:hAnsi="Open Sans" w:cs="Open Sans"/>
                <w:b/>
                <w:sz w:val="20"/>
                <w:szCs w:val="20"/>
                <w:lang w:eastAsia="sl-SI"/>
              </w:rPr>
            </w:pPr>
            <w:r w:rsidRPr="001E7E23">
              <w:rPr>
                <w:rFonts w:ascii="Open Sans" w:eastAsia="Arial" w:hAnsi="Open Sans" w:cs="Open Sans"/>
                <w:b/>
                <w:sz w:val="20"/>
                <w:szCs w:val="20"/>
                <w:lang w:eastAsia="sl-SI"/>
              </w:rPr>
              <w:lastRenderedPageBreak/>
              <w:t>Vidik družbenega in gospodarskega napredka</w:t>
            </w:r>
          </w:p>
          <w:p w14:paraId="17D8B133" w14:textId="539058C5" w:rsidR="006C3691" w:rsidRPr="001E7E23" w:rsidRDefault="006C3691" w:rsidP="006C3691">
            <w:pPr>
              <w:spacing w:after="0" w:line="240" w:lineRule="auto"/>
              <w:jc w:val="both"/>
              <w:rPr>
                <w:rFonts w:ascii="Open Sans" w:eastAsia="Arial" w:hAnsi="Open Sans" w:cs="Open Sans"/>
                <w:b/>
                <w:sz w:val="20"/>
                <w:szCs w:val="20"/>
                <w:lang w:eastAsia="sl-SI"/>
              </w:rPr>
            </w:pPr>
          </w:p>
        </w:tc>
        <w:tc>
          <w:tcPr>
            <w:tcW w:w="4645" w:type="dxa"/>
          </w:tcPr>
          <w:p w14:paraId="6F12B2B6" w14:textId="25CDF8FF" w:rsidR="006C3691" w:rsidRPr="006C3691" w:rsidRDefault="006C3691" w:rsidP="006C3691">
            <w:pPr>
              <w:spacing w:after="0" w:line="240" w:lineRule="auto"/>
              <w:jc w:val="both"/>
              <w:rPr>
                <w:rFonts w:ascii="Open Sans" w:eastAsia="Arial" w:hAnsi="Open Sans" w:cs="Open Sans"/>
                <w:sz w:val="20"/>
                <w:szCs w:val="20"/>
                <w:lang w:eastAsia="sl-SI"/>
              </w:rPr>
            </w:pPr>
            <w:r w:rsidRPr="006C3691">
              <w:rPr>
                <w:rFonts w:ascii="Open Sans" w:eastAsia="Arial" w:hAnsi="Open Sans" w:cs="Open Sans"/>
                <w:sz w:val="20"/>
                <w:szCs w:val="20"/>
                <w:lang w:eastAsia="sl-SI"/>
              </w:rPr>
              <w:t xml:space="preserve">Pri tesanju se še vedno uporablja tesarsko ročno orodje, mojstri pa si pri določenih delih pomagajo tudi s sodobnimi stroji, kar omogoča varnejše in hitrejše delo. Panoga se spreminja pod vplivom vzorov, ki prihajajo iz mednarodnega okolja. Les ima pomembno mesto v sodobni gradnji, zato je tudi delo tesarjev pomembno in zaželeno v sodobni družbi. Kot takšna panoga pripore k varovanju okolja, saj je les obnovljiv vir energije, ki ga imamo v Sloveniji dovolj na razpolago. </w:t>
            </w:r>
          </w:p>
        </w:tc>
      </w:tr>
      <w:tr w:rsidR="006C3691" w:rsidRPr="001E7E23" w14:paraId="46551BA7" w14:textId="77777777" w:rsidTr="006C3691">
        <w:trPr>
          <w:trHeight w:val="900"/>
        </w:trPr>
        <w:tc>
          <w:tcPr>
            <w:tcW w:w="4385" w:type="dxa"/>
            <w:tcMar>
              <w:top w:w="100" w:type="dxa"/>
              <w:left w:w="100" w:type="dxa"/>
              <w:bottom w:w="100" w:type="dxa"/>
              <w:right w:w="100" w:type="dxa"/>
            </w:tcMar>
          </w:tcPr>
          <w:p w14:paraId="552D0A3A" w14:textId="77777777" w:rsidR="006C3691" w:rsidRPr="001E7E23" w:rsidRDefault="006C3691" w:rsidP="006C3691">
            <w:pPr>
              <w:spacing w:after="0" w:line="240" w:lineRule="auto"/>
              <w:rPr>
                <w:rFonts w:ascii="Open Sans" w:eastAsia="Arial" w:hAnsi="Open Sans" w:cs="Open Sans"/>
                <w:b/>
                <w:sz w:val="20"/>
                <w:szCs w:val="20"/>
                <w:lang w:eastAsia="sl-SI"/>
              </w:rPr>
            </w:pPr>
            <w:r w:rsidRPr="001E7E23">
              <w:rPr>
                <w:rFonts w:ascii="Open Sans" w:eastAsia="Arial" w:hAnsi="Open Sans" w:cs="Open Sans"/>
                <w:b/>
                <w:sz w:val="20"/>
                <w:szCs w:val="20"/>
                <w:lang w:eastAsia="sl-SI"/>
              </w:rPr>
              <w:t>Vidik učinkov na medgeneracijsko povezovanje in vseživljenjsko učenje</w:t>
            </w:r>
          </w:p>
          <w:p w14:paraId="5C5FB8DC" w14:textId="63AA4D37" w:rsidR="006C3691" w:rsidRPr="001E7E23" w:rsidRDefault="006C3691" w:rsidP="006C3691">
            <w:pPr>
              <w:spacing w:after="0" w:line="240" w:lineRule="auto"/>
              <w:jc w:val="both"/>
              <w:rPr>
                <w:rFonts w:ascii="Open Sans" w:eastAsia="Arial" w:hAnsi="Open Sans" w:cs="Open Sans"/>
                <w:b/>
                <w:sz w:val="20"/>
                <w:szCs w:val="20"/>
                <w:lang w:eastAsia="sl-SI"/>
              </w:rPr>
            </w:pPr>
          </w:p>
        </w:tc>
        <w:tc>
          <w:tcPr>
            <w:tcW w:w="4645" w:type="dxa"/>
          </w:tcPr>
          <w:p w14:paraId="5F43C7CE" w14:textId="69D60901" w:rsidR="006C3691" w:rsidRPr="006C3691" w:rsidRDefault="006C3691" w:rsidP="006C3691">
            <w:pPr>
              <w:spacing w:after="0" w:line="240" w:lineRule="auto"/>
              <w:jc w:val="both"/>
              <w:rPr>
                <w:rFonts w:ascii="Open Sans" w:eastAsia="Times New Roman" w:hAnsi="Open Sans" w:cs="Open Sans"/>
                <w:sz w:val="20"/>
                <w:szCs w:val="20"/>
                <w:lang w:eastAsia="sl-SI"/>
              </w:rPr>
            </w:pPr>
            <w:r w:rsidRPr="006C3691">
              <w:rPr>
                <w:rFonts w:ascii="Open Sans" w:eastAsia="Times New Roman" w:hAnsi="Open Sans" w:cs="Open Sans"/>
                <w:sz w:val="20"/>
                <w:szCs w:val="20"/>
                <w:lang w:eastAsia="sl-SI"/>
              </w:rPr>
              <w:t xml:space="preserve">Prenos znanj poteka prek izvajanja vajeništva med poklicnimi šolami in tesarskimi mojstri, vendar v Sloveniji ta način še ni najbolj uveljavljen. Tesarstvo kot obrtna panoga samo po sebi ni namenjeno medgeneracijskemu povezovanju. </w:t>
            </w:r>
          </w:p>
        </w:tc>
      </w:tr>
      <w:tr w:rsidR="006C3691" w:rsidRPr="001E7E23" w14:paraId="0EDF9717" w14:textId="77777777" w:rsidTr="006C3691">
        <w:trPr>
          <w:trHeight w:val="15"/>
        </w:trPr>
        <w:tc>
          <w:tcPr>
            <w:tcW w:w="4385" w:type="dxa"/>
            <w:tcMar>
              <w:top w:w="100" w:type="dxa"/>
              <w:left w:w="100" w:type="dxa"/>
              <w:bottom w:w="100" w:type="dxa"/>
              <w:right w:w="100" w:type="dxa"/>
            </w:tcMar>
          </w:tcPr>
          <w:p w14:paraId="445E89BA" w14:textId="77777777" w:rsidR="006C3691" w:rsidRPr="001E7E23" w:rsidRDefault="006C3691" w:rsidP="006C3691">
            <w:pPr>
              <w:spacing w:after="0" w:line="240" w:lineRule="auto"/>
              <w:rPr>
                <w:rFonts w:ascii="Open Sans" w:eastAsia="Arial" w:hAnsi="Open Sans" w:cs="Open Sans"/>
                <w:b/>
                <w:sz w:val="20"/>
                <w:szCs w:val="20"/>
                <w:lang w:eastAsia="sl-SI"/>
              </w:rPr>
            </w:pPr>
            <w:r w:rsidRPr="001E7E23">
              <w:rPr>
                <w:rFonts w:ascii="Open Sans" w:eastAsia="Arial" w:hAnsi="Open Sans" w:cs="Open Sans"/>
                <w:b/>
                <w:sz w:val="20"/>
                <w:szCs w:val="20"/>
                <w:lang w:eastAsia="sl-SI"/>
              </w:rPr>
              <w:t xml:space="preserve">Vidik učinkov na turizem </w:t>
            </w:r>
          </w:p>
          <w:p w14:paraId="79D67198" w14:textId="1761140B" w:rsidR="006C3691" w:rsidRPr="001E7E23" w:rsidRDefault="006C3691" w:rsidP="006C3691">
            <w:pPr>
              <w:spacing w:after="0" w:line="240" w:lineRule="auto"/>
              <w:jc w:val="both"/>
              <w:rPr>
                <w:rFonts w:ascii="Open Sans" w:eastAsia="Arial" w:hAnsi="Open Sans" w:cs="Open Sans"/>
                <w:b/>
                <w:i/>
                <w:iCs/>
                <w:sz w:val="20"/>
                <w:szCs w:val="20"/>
                <w:lang w:eastAsia="sl-SI"/>
              </w:rPr>
            </w:pPr>
          </w:p>
        </w:tc>
        <w:tc>
          <w:tcPr>
            <w:tcW w:w="4645" w:type="dxa"/>
          </w:tcPr>
          <w:p w14:paraId="32D0C9EF" w14:textId="5324584F" w:rsidR="006C3691" w:rsidRPr="006C3691" w:rsidRDefault="006C3691" w:rsidP="006C3691">
            <w:pPr>
              <w:spacing w:after="0" w:line="240" w:lineRule="auto"/>
              <w:jc w:val="both"/>
              <w:rPr>
                <w:rFonts w:ascii="Open Sans" w:eastAsia="Times New Roman" w:hAnsi="Open Sans" w:cs="Open Sans"/>
                <w:sz w:val="20"/>
                <w:szCs w:val="20"/>
                <w:lang w:eastAsia="sl-SI"/>
              </w:rPr>
            </w:pPr>
            <w:r w:rsidRPr="006C3691">
              <w:rPr>
                <w:rFonts w:ascii="Open Sans" w:eastAsia="Times New Roman" w:hAnsi="Open Sans" w:cs="Open Sans"/>
                <w:sz w:val="20"/>
                <w:szCs w:val="20"/>
                <w:lang w:eastAsia="sl-SI"/>
              </w:rPr>
              <w:t xml:space="preserve">V zadnjih letih je spet več zanimanja za kozolce, kar pripomore tudi k popularizaciji tesarstva. Mnogi kozolci so se ohranili oz. obnovili za turistični namen (spanje na kozolcu, piknik ali prireditveni prostor, postajališče za avtodome ipd.). Primer je Dežela kozolcev, muzej na prostem s kozolci v Šentrupertu na Dolenjskem, ki je ena od osrednjih turističnih atrakcij v Sloveniji. V muzeju so na sporedu različni dogodki, ki prispevajo tudi k popularizaciji tesarstva. Nekateri izmed kozolcev so pridobili status kulturnega spomenika državnega pomena. </w:t>
            </w:r>
          </w:p>
        </w:tc>
      </w:tr>
      <w:tr w:rsidR="006C3691" w:rsidRPr="001E7E23" w14:paraId="33F8B413" w14:textId="77777777" w:rsidTr="006C3691">
        <w:trPr>
          <w:trHeight w:val="458"/>
        </w:trPr>
        <w:tc>
          <w:tcPr>
            <w:tcW w:w="4385" w:type="dxa"/>
            <w:tcMar>
              <w:top w:w="100" w:type="dxa"/>
              <w:left w:w="100" w:type="dxa"/>
              <w:bottom w:w="100" w:type="dxa"/>
              <w:right w:w="100" w:type="dxa"/>
            </w:tcMar>
          </w:tcPr>
          <w:p w14:paraId="32B408DA" w14:textId="77777777" w:rsidR="006C3691" w:rsidRPr="001E7E23" w:rsidRDefault="006C3691" w:rsidP="006C3691">
            <w:pPr>
              <w:spacing w:after="0" w:line="240" w:lineRule="auto"/>
              <w:rPr>
                <w:rFonts w:ascii="Open Sans" w:eastAsia="Arial" w:hAnsi="Open Sans" w:cs="Open Sans"/>
                <w:b/>
                <w:sz w:val="20"/>
                <w:szCs w:val="20"/>
                <w:lang w:eastAsia="sl-SI"/>
              </w:rPr>
            </w:pPr>
            <w:r w:rsidRPr="001E7E23">
              <w:rPr>
                <w:rFonts w:ascii="Open Sans" w:eastAsia="Arial" w:hAnsi="Open Sans" w:cs="Open Sans"/>
                <w:b/>
                <w:sz w:val="20"/>
                <w:szCs w:val="20"/>
                <w:lang w:eastAsia="sl-SI"/>
              </w:rPr>
              <w:t>Viri in literatura</w:t>
            </w:r>
          </w:p>
        </w:tc>
        <w:tc>
          <w:tcPr>
            <w:tcW w:w="4645" w:type="dxa"/>
          </w:tcPr>
          <w:p w14:paraId="345CAC96" w14:textId="77777777" w:rsidR="006C3691" w:rsidRPr="006C3691" w:rsidRDefault="006C3691" w:rsidP="006C3691">
            <w:pPr>
              <w:spacing w:after="0" w:line="240" w:lineRule="auto"/>
              <w:jc w:val="both"/>
              <w:rPr>
                <w:rFonts w:ascii="Open Sans" w:eastAsia="Times New Roman" w:hAnsi="Open Sans" w:cs="Open Sans"/>
                <w:sz w:val="20"/>
                <w:szCs w:val="20"/>
                <w:lang w:eastAsia="sl-SI"/>
              </w:rPr>
            </w:pPr>
            <w:r w:rsidRPr="006C3691">
              <w:rPr>
                <w:rFonts w:ascii="Open Sans" w:eastAsia="Times New Roman" w:hAnsi="Open Sans" w:cs="Open Sans"/>
                <w:sz w:val="20"/>
                <w:szCs w:val="20"/>
                <w:lang w:eastAsia="sl-SI"/>
              </w:rPr>
              <w:t>Janez Bogataj, Mojstrovine Slovenije: Srečanja s sodobnimi rokodelci, Gorenjski tisk, Ljubljana 1999.</w:t>
            </w:r>
          </w:p>
          <w:p w14:paraId="6255C0D2" w14:textId="77777777" w:rsidR="006C3691" w:rsidRPr="006C3691" w:rsidRDefault="006C3691" w:rsidP="006C3691">
            <w:pPr>
              <w:spacing w:after="0" w:line="240" w:lineRule="auto"/>
              <w:jc w:val="both"/>
              <w:rPr>
                <w:rFonts w:ascii="Open Sans" w:eastAsia="Times New Roman" w:hAnsi="Open Sans" w:cs="Open Sans"/>
                <w:sz w:val="20"/>
                <w:szCs w:val="20"/>
                <w:lang w:eastAsia="sl-SI"/>
              </w:rPr>
            </w:pPr>
          </w:p>
          <w:p w14:paraId="0ED31953" w14:textId="77777777" w:rsidR="006C3691" w:rsidRPr="006C3691" w:rsidRDefault="006C3691" w:rsidP="006C3691">
            <w:pPr>
              <w:spacing w:after="0" w:line="240" w:lineRule="auto"/>
              <w:jc w:val="both"/>
              <w:rPr>
                <w:rFonts w:ascii="Open Sans" w:eastAsia="Times New Roman" w:hAnsi="Open Sans" w:cs="Open Sans"/>
                <w:sz w:val="20"/>
                <w:szCs w:val="20"/>
                <w:lang w:eastAsia="sl-SI"/>
              </w:rPr>
            </w:pPr>
            <w:r w:rsidRPr="006C3691">
              <w:rPr>
                <w:rFonts w:ascii="Open Sans" w:eastAsia="Times New Roman" w:hAnsi="Open Sans" w:cs="Open Sans"/>
                <w:sz w:val="20"/>
                <w:szCs w:val="20"/>
                <w:lang w:eastAsia="sl-SI"/>
              </w:rPr>
              <w:t xml:space="preserve">Janez Bogataj, Domače obrti na Slovenskem, DZS, Ljubljana 1989. </w:t>
            </w:r>
          </w:p>
          <w:p w14:paraId="537F413E" w14:textId="77777777" w:rsidR="006C3691" w:rsidRPr="006C3691" w:rsidRDefault="006C3691" w:rsidP="006C3691">
            <w:pPr>
              <w:spacing w:after="0" w:line="240" w:lineRule="auto"/>
              <w:jc w:val="both"/>
              <w:rPr>
                <w:rStyle w:val="Hiperpovezava"/>
                <w:rFonts w:ascii="Open Sans" w:eastAsia="Times New Roman" w:hAnsi="Open Sans" w:cs="Open Sans"/>
                <w:color w:val="auto"/>
                <w:sz w:val="20"/>
                <w:szCs w:val="20"/>
                <w:u w:val="none"/>
                <w:lang w:eastAsia="sl-SI"/>
              </w:rPr>
            </w:pPr>
          </w:p>
          <w:p w14:paraId="53F6DB49" w14:textId="77777777" w:rsidR="006C3691" w:rsidRPr="006C3691" w:rsidRDefault="006C3691" w:rsidP="006C3691">
            <w:pPr>
              <w:spacing w:after="0" w:line="240" w:lineRule="auto"/>
              <w:jc w:val="both"/>
              <w:rPr>
                <w:rFonts w:ascii="Open Sans" w:eastAsia="Times New Roman" w:hAnsi="Open Sans" w:cs="Open Sans"/>
                <w:sz w:val="20"/>
                <w:szCs w:val="20"/>
                <w:lang w:eastAsia="sl-SI"/>
              </w:rPr>
            </w:pPr>
            <w:r w:rsidRPr="006C3691">
              <w:rPr>
                <w:rStyle w:val="Hiperpovezava"/>
                <w:rFonts w:ascii="Open Sans" w:eastAsia="Times New Roman" w:hAnsi="Open Sans" w:cs="Open Sans"/>
                <w:color w:val="auto"/>
                <w:sz w:val="20"/>
                <w:szCs w:val="20"/>
                <w:u w:val="none"/>
                <w:lang w:eastAsia="sl-SI"/>
              </w:rPr>
              <w:t>Tehniški muzej Slovenije.</w:t>
            </w:r>
          </w:p>
          <w:p w14:paraId="404771B6" w14:textId="77777777" w:rsidR="006C3691" w:rsidRPr="006C3691" w:rsidRDefault="006C3691" w:rsidP="006C3691">
            <w:pPr>
              <w:spacing w:after="0" w:line="240" w:lineRule="auto"/>
              <w:jc w:val="both"/>
              <w:rPr>
                <w:rFonts w:ascii="Open Sans" w:hAnsi="Open Sans" w:cs="Open Sans"/>
                <w:sz w:val="20"/>
                <w:szCs w:val="20"/>
              </w:rPr>
            </w:pPr>
          </w:p>
          <w:p w14:paraId="0FE22611" w14:textId="77777777" w:rsidR="006C3691" w:rsidRPr="006C3691" w:rsidRDefault="00000000" w:rsidP="006C3691">
            <w:pPr>
              <w:spacing w:after="0" w:line="240" w:lineRule="auto"/>
              <w:jc w:val="both"/>
              <w:rPr>
                <w:rStyle w:val="Hiperpovezava"/>
                <w:rFonts w:ascii="Open Sans" w:eastAsia="Times New Roman" w:hAnsi="Open Sans" w:cs="Open Sans"/>
                <w:color w:val="auto"/>
                <w:sz w:val="20"/>
                <w:szCs w:val="20"/>
                <w:u w:val="none"/>
                <w:lang w:eastAsia="sl-SI"/>
              </w:rPr>
            </w:pPr>
            <w:hyperlink r:id="rId8" w:history="1">
              <w:r w:rsidR="006C3691" w:rsidRPr="006C3691">
                <w:rPr>
                  <w:rStyle w:val="Hiperpovezava"/>
                  <w:rFonts w:ascii="Open Sans" w:eastAsia="Times New Roman" w:hAnsi="Open Sans" w:cs="Open Sans"/>
                  <w:color w:val="auto"/>
                  <w:sz w:val="20"/>
                  <w:szCs w:val="20"/>
                  <w:u w:val="none"/>
                  <w:lang w:eastAsia="sl-SI"/>
                </w:rPr>
                <w:t xml:space="preserve">Naše kulturno bogastvo: Vrednotenje nesnovne dediščine, več avtorjev, ur. Vito </w:t>
              </w:r>
              <w:proofErr w:type="spellStart"/>
              <w:r w:rsidR="006C3691" w:rsidRPr="006C3691">
                <w:rPr>
                  <w:rStyle w:val="Hiperpovezava"/>
                  <w:rFonts w:ascii="Open Sans" w:eastAsia="Times New Roman" w:hAnsi="Open Sans" w:cs="Open Sans"/>
                  <w:color w:val="auto"/>
                  <w:sz w:val="20"/>
                  <w:szCs w:val="20"/>
                  <w:u w:val="none"/>
                  <w:lang w:eastAsia="sl-SI"/>
                </w:rPr>
                <w:t>Hazler</w:t>
              </w:r>
              <w:proofErr w:type="spellEnd"/>
              <w:r w:rsidR="006C3691" w:rsidRPr="006C3691">
                <w:rPr>
                  <w:rStyle w:val="Hiperpovezava"/>
                  <w:rFonts w:ascii="Open Sans" w:eastAsia="Times New Roman" w:hAnsi="Open Sans" w:cs="Open Sans"/>
                  <w:color w:val="auto"/>
                  <w:sz w:val="20"/>
                  <w:szCs w:val="20"/>
                  <w:u w:val="none"/>
                  <w:lang w:eastAsia="sl-SI"/>
                </w:rPr>
                <w:t xml:space="preserve"> in Tina Mučič, Razvojni center Srca Slovenije, Litija 2000.</w:t>
              </w:r>
            </w:hyperlink>
          </w:p>
          <w:p w14:paraId="71DB1092" w14:textId="77777777" w:rsidR="006C3691" w:rsidRPr="006C3691" w:rsidRDefault="006C3691" w:rsidP="006C3691">
            <w:pPr>
              <w:spacing w:after="0" w:line="240" w:lineRule="auto"/>
              <w:jc w:val="both"/>
              <w:rPr>
                <w:rStyle w:val="Hiperpovezava"/>
                <w:rFonts w:ascii="Open Sans" w:eastAsia="Times New Roman" w:hAnsi="Open Sans" w:cs="Open Sans"/>
                <w:color w:val="auto"/>
                <w:sz w:val="20"/>
                <w:szCs w:val="20"/>
                <w:u w:val="none"/>
                <w:lang w:eastAsia="sl-SI"/>
              </w:rPr>
            </w:pPr>
          </w:p>
          <w:p w14:paraId="00CC2D76" w14:textId="7C17AC4B" w:rsidR="006C3691" w:rsidRPr="006C3691" w:rsidRDefault="006C3691" w:rsidP="006C3691">
            <w:pPr>
              <w:spacing w:after="0" w:line="240" w:lineRule="auto"/>
              <w:jc w:val="both"/>
              <w:rPr>
                <w:rFonts w:ascii="Open Sans" w:eastAsia="Times New Roman" w:hAnsi="Open Sans" w:cs="Open Sans"/>
                <w:color w:val="0000FF"/>
                <w:sz w:val="20"/>
                <w:szCs w:val="20"/>
                <w:u w:val="single"/>
                <w:lang w:eastAsia="sl-SI"/>
              </w:rPr>
            </w:pPr>
            <w:r w:rsidRPr="006C3691">
              <w:rPr>
                <w:rStyle w:val="Hiperpovezava"/>
                <w:rFonts w:ascii="Open Sans" w:eastAsia="Times New Roman" w:hAnsi="Open Sans" w:cs="Open Sans"/>
                <w:color w:val="auto"/>
                <w:sz w:val="20"/>
                <w:szCs w:val="20"/>
                <w:u w:val="none"/>
                <w:lang w:eastAsia="sl-SI"/>
              </w:rPr>
              <w:t>Alenka Stražišar Lamovšek, Dolenjski muzej.</w:t>
            </w:r>
          </w:p>
        </w:tc>
      </w:tr>
    </w:tbl>
    <w:p w14:paraId="67211D2F" w14:textId="77777777" w:rsidR="003435D6" w:rsidRPr="00427F04" w:rsidRDefault="003435D6" w:rsidP="003435D6">
      <w:pPr>
        <w:spacing w:after="0" w:line="240" w:lineRule="auto"/>
        <w:rPr>
          <w:rFonts w:ascii="Arial" w:eastAsia="Arial" w:hAnsi="Arial" w:cs="Arial"/>
          <w:sz w:val="20"/>
          <w:szCs w:val="20"/>
          <w:lang w:eastAsia="sl-SI"/>
        </w:rPr>
      </w:pPr>
    </w:p>
    <w:bookmarkEnd w:id="0"/>
    <w:p w14:paraId="7C698912" w14:textId="77777777" w:rsidR="003435D6" w:rsidRPr="00427F04" w:rsidRDefault="003435D6" w:rsidP="003435D6">
      <w:pPr>
        <w:spacing w:after="0" w:line="240" w:lineRule="auto"/>
        <w:rPr>
          <w:rFonts w:ascii="Arial" w:eastAsia="Arial" w:hAnsi="Arial" w:cs="Arial"/>
          <w:sz w:val="20"/>
          <w:szCs w:val="20"/>
          <w:lang w:eastAsia="sl-SI"/>
        </w:rPr>
      </w:pPr>
    </w:p>
    <w:p w14:paraId="77BC7CC2" w14:textId="77777777" w:rsidR="003435D6" w:rsidRPr="00427F04" w:rsidRDefault="003435D6" w:rsidP="003435D6">
      <w:pPr>
        <w:spacing w:after="0" w:line="240" w:lineRule="auto"/>
        <w:jc w:val="both"/>
        <w:rPr>
          <w:rFonts w:ascii="Arial" w:eastAsia="Arial" w:hAnsi="Arial" w:cs="Arial"/>
          <w:sz w:val="20"/>
          <w:szCs w:val="20"/>
          <w:lang w:eastAsia="sl-SI"/>
        </w:rPr>
      </w:pPr>
    </w:p>
    <w:p w14:paraId="150B1D2F" w14:textId="77777777" w:rsidR="003435D6" w:rsidRPr="00427F04" w:rsidRDefault="003435D6" w:rsidP="003435D6">
      <w:pPr>
        <w:spacing w:after="0" w:line="240" w:lineRule="auto"/>
        <w:jc w:val="both"/>
        <w:rPr>
          <w:rFonts w:ascii="Arial" w:eastAsia="Arial" w:hAnsi="Arial" w:cs="Arial"/>
          <w:sz w:val="20"/>
          <w:szCs w:val="20"/>
          <w:lang w:eastAsia="sl-SI"/>
        </w:rPr>
      </w:pPr>
    </w:p>
    <w:p w14:paraId="666B4D8B" w14:textId="77777777" w:rsidR="003435D6" w:rsidRPr="00427F04" w:rsidRDefault="003435D6" w:rsidP="003435D6">
      <w:pPr>
        <w:spacing w:after="0" w:line="240" w:lineRule="auto"/>
        <w:jc w:val="both"/>
        <w:rPr>
          <w:rFonts w:ascii="Arial" w:eastAsia="Arial" w:hAnsi="Arial" w:cs="Arial"/>
          <w:sz w:val="20"/>
          <w:szCs w:val="20"/>
          <w:lang w:eastAsia="sl-SI"/>
        </w:rPr>
      </w:pPr>
    </w:p>
    <w:p w14:paraId="3D8AB38D" w14:textId="77777777" w:rsidR="003435D6" w:rsidRPr="00427F04" w:rsidRDefault="003435D6" w:rsidP="003435D6">
      <w:pPr>
        <w:spacing w:after="0" w:line="240" w:lineRule="auto"/>
        <w:rPr>
          <w:rFonts w:ascii="Arial" w:eastAsia="Arial" w:hAnsi="Arial" w:cs="Arial"/>
          <w:sz w:val="20"/>
          <w:szCs w:val="20"/>
          <w:lang w:eastAsia="sl-SI"/>
        </w:rPr>
      </w:pPr>
    </w:p>
    <w:p w14:paraId="0D16EAD6" w14:textId="77777777" w:rsidR="003435D6" w:rsidRPr="00427F04" w:rsidRDefault="003435D6" w:rsidP="003435D6">
      <w:pPr>
        <w:spacing w:after="0" w:line="240" w:lineRule="auto"/>
        <w:rPr>
          <w:rFonts w:ascii="Arial" w:eastAsia="Arial" w:hAnsi="Arial" w:cs="Arial"/>
          <w:sz w:val="20"/>
          <w:szCs w:val="20"/>
          <w:lang w:eastAsia="sl-SI"/>
        </w:rPr>
      </w:pPr>
      <w:r w:rsidRPr="00427F04">
        <w:rPr>
          <w:rFonts w:ascii="Arial" w:eastAsia="Arial" w:hAnsi="Arial" w:cs="Arial"/>
          <w:sz w:val="20"/>
          <w:szCs w:val="20"/>
          <w:lang w:eastAsia="sl-SI"/>
        </w:rPr>
        <w:t xml:space="preserve"> </w:t>
      </w:r>
    </w:p>
    <w:p w14:paraId="433BD993" w14:textId="77777777" w:rsidR="003435D6" w:rsidRPr="00427F04" w:rsidRDefault="003435D6" w:rsidP="003435D6">
      <w:pPr>
        <w:spacing w:after="0" w:line="240" w:lineRule="auto"/>
        <w:jc w:val="both"/>
        <w:rPr>
          <w:rFonts w:ascii="Arial" w:eastAsia="Arial" w:hAnsi="Arial" w:cs="Arial"/>
          <w:sz w:val="20"/>
          <w:szCs w:val="20"/>
          <w:lang w:eastAsia="sl-SI"/>
        </w:rPr>
      </w:pPr>
    </w:p>
    <w:p w14:paraId="6A16C154" w14:textId="77777777" w:rsidR="003435D6" w:rsidRPr="00427F04" w:rsidRDefault="003435D6" w:rsidP="003435D6">
      <w:pPr>
        <w:spacing w:after="0" w:line="240" w:lineRule="auto"/>
        <w:jc w:val="both"/>
        <w:rPr>
          <w:rFonts w:ascii="Arial" w:eastAsia="Arial" w:hAnsi="Arial" w:cs="Arial"/>
          <w:sz w:val="20"/>
          <w:szCs w:val="20"/>
          <w:lang w:eastAsia="sl-SI"/>
        </w:rPr>
      </w:pPr>
    </w:p>
    <w:p w14:paraId="0603A70F" w14:textId="77777777" w:rsidR="003435D6" w:rsidRPr="00427F04" w:rsidRDefault="003435D6" w:rsidP="003435D6">
      <w:pPr>
        <w:spacing w:after="0" w:line="240" w:lineRule="auto"/>
        <w:rPr>
          <w:rFonts w:ascii="Arial" w:eastAsia="Arial" w:hAnsi="Arial" w:cs="Arial"/>
          <w:sz w:val="20"/>
          <w:szCs w:val="20"/>
          <w:lang w:eastAsia="sl-SI"/>
        </w:rPr>
      </w:pPr>
    </w:p>
    <w:p w14:paraId="552CA15F" w14:textId="77777777" w:rsidR="003435D6" w:rsidRPr="00427F04" w:rsidRDefault="003435D6" w:rsidP="003435D6">
      <w:pPr>
        <w:spacing w:after="0" w:line="276" w:lineRule="auto"/>
        <w:rPr>
          <w:rFonts w:ascii="Arial" w:eastAsia="Arial" w:hAnsi="Arial" w:cs="Arial"/>
          <w:sz w:val="20"/>
          <w:szCs w:val="20"/>
          <w:lang w:eastAsia="sl-SI"/>
        </w:rPr>
      </w:pPr>
    </w:p>
    <w:p w14:paraId="2C3798D2" w14:textId="77777777" w:rsidR="003435D6" w:rsidRPr="00427F04" w:rsidRDefault="003435D6" w:rsidP="003435D6">
      <w:pPr>
        <w:rPr>
          <w:rFonts w:ascii="Arial" w:hAnsi="Arial" w:cs="Arial"/>
          <w:sz w:val="20"/>
          <w:szCs w:val="20"/>
        </w:rPr>
      </w:pPr>
    </w:p>
    <w:p w14:paraId="6BEE8BED" w14:textId="77777777" w:rsidR="005E6733" w:rsidRPr="00427F04" w:rsidRDefault="005E6733">
      <w:pPr>
        <w:rPr>
          <w:rFonts w:ascii="Arial" w:hAnsi="Arial" w:cs="Arial"/>
          <w:sz w:val="20"/>
          <w:szCs w:val="20"/>
        </w:rPr>
      </w:pPr>
    </w:p>
    <w:sectPr w:rsidR="005E6733" w:rsidRPr="00427F04">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774B" w14:textId="77777777" w:rsidR="00782AF6" w:rsidRDefault="00782AF6">
      <w:pPr>
        <w:spacing w:after="0" w:line="240" w:lineRule="auto"/>
      </w:pPr>
      <w:r>
        <w:separator/>
      </w:r>
    </w:p>
  </w:endnote>
  <w:endnote w:type="continuationSeparator" w:id="0">
    <w:p w14:paraId="6F04684B" w14:textId="77777777" w:rsidR="00782AF6" w:rsidRDefault="0078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EC96" w14:textId="77777777" w:rsidR="00FC11D5" w:rsidRDefault="00FC11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F2BA" w14:textId="77777777" w:rsidR="00FC11D5" w:rsidRDefault="00FC11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BA4A" w14:textId="77777777" w:rsidR="00FC11D5" w:rsidRDefault="00FC11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3AF9" w14:textId="77777777" w:rsidR="00782AF6" w:rsidRDefault="00782AF6">
      <w:pPr>
        <w:spacing w:after="0" w:line="240" w:lineRule="auto"/>
      </w:pPr>
      <w:r>
        <w:separator/>
      </w:r>
    </w:p>
  </w:footnote>
  <w:footnote w:type="continuationSeparator" w:id="0">
    <w:p w14:paraId="476B4E03" w14:textId="77777777" w:rsidR="00782AF6" w:rsidRDefault="00782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7790" w14:textId="77777777" w:rsidR="00FC11D5" w:rsidRDefault="00FC11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AC2A" w14:textId="02047147" w:rsidR="001E7E23" w:rsidRPr="00653652" w:rsidRDefault="001E7E23" w:rsidP="001E7E23">
    <w:pPr>
      <w:pStyle w:val="Glava"/>
      <w:rPr>
        <w:rFonts w:ascii="Open Sans" w:hAnsi="Open Sans" w:cs="Open Sans"/>
      </w:rPr>
    </w:pPr>
    <w:r w:rsidRPr="00A532B9">
      <w:rPr>
        <w:rFonts w:ascii="Open Sans" w:hAnsi="Open Sans" w:cs="Open Sans"/>
        <w:noProof/>
      </w:rPr>
      <w:drawing>
        <wp:inline distT="0" distB="0" distL="0" distR="0" wp14:anchorId="71042944" wp14:editId="0989AED2">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7B01C33" wp14:editId="3CCF95E8">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7B39BC92" w:rsidR="00D97B47" w:rsidRPr="001E7E23" w:rsidRDefault="00000000" w:rsidP="001E7E2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15A1" w14:textId="77777777" w:rsidR="00FC11D5" w:rsidRDefault="00FC11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E52"/>
    <w:multiLevelType w:val="multilevel"/>
    <w:tmpl w:val="70D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81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C3F"/>
    <w:rsid w:val="000414C8"/>
    <w:rsid w:val="000434AC"/>
    <w:rsid w:val="00084A2D"/>
    <w:rsid w:val="000B3C0E"/>
    <w:rsid w:val="000D4D52"/>
    <w:rsid w:val="001459EB"/>
    <w:rsid w:val="0015447C"/>
    <w:rsid w:val="001C668C"/>
    <w:rsid w:val="001D3591"/>
    <w:rsid w:val="001E7E23"/>
    <w:rsid w:val="00232C57"/>
    <w:rsid w:val="00235574"/>
    <w:rsid w:val="002663F7"/>
    <w:rsid w:val="002A1ACF"/>
    <w:rsid w:val="002A442F"/>
    <w:rsid w:val="002C5556"/>
    <w:rsid w:val="00304BA3"/>
    <w:rsid w:val="00340FBA"/>
    <w:rsid w:val="003435D6"/>
    <w:rsid w:val="00395845"/>
    <w:rsid w:val="003A0891"/>
    <w:rsid w:val="003C2839"/>
    <w:rsid w:val="003D119C"/>
    <w:rsid w:val="003E6578"/>
    <w:rsid w:val="003F54EF"/>
    <w:rsid w:val="003F6E51"/>
    <w:rsid w:val="0040014F"/>
    <w:rsid w:val="00417854"/>
    <w:rsid w:val="00420F9D"/>
    <w:rsid w:val="0042147B"/>
    <w:rsid w:val="00425277"/>
    <w:rsid w:val="00425663"/>
    <w:rsid w:val="00427F04"/>
    <w:rsid w:val="0043378D"/>
    <w:rsid w:val="00450833"/>
    <w:rsid w:val="00473682"/>
    <w:rsid w:val="004850CB"/>
    <w:rsid w:val="00493DF4"/>
    <w:rsid w:val="004B525F"/>
    <w:rsid w:val="004C1306"/>
    <w:rsid w:val="00505B13"/>
    <w:rsid w:val="00530C33"/>
    <w:rsid w:val="00542DC1"/>
    <w:rsid w:val="00544884"/>
    <w:rsid w:val="00544CFE"/>
    <w:rsid w:val="005535E4"/>
    <w:rsid w:val="0056090B"/>
    <w:rsid w:val="005A5627"/>
    <w:rsid w:val="005E6733"/>
    <w:rsid w:val="006148F8"/>
    <w:rsid w:val="006269C7"/>
    <w:rsid w:val="006330A9"/>
    <w:rsid w:val="0066672D"/>
    <w:rsid w:val="006C3691"/>
    <w:rsid w:val="006D185D"/>
    <w:rsid w:val="006E0B94"/>
    <w:rsid w:val="006F41B2"/>
    <w:rsid w:val="00710E8F"/>
    <w:rsid w:val="00720C68"/>
    <w:rsid w:val="0072181A"/>
    <w:rsid w:val="00757EF8"/>
    <w:rsid w:val="00760E21"/>
    <w:rsid w:val="007807B5"/>
    <w:rsid w:val="00782AF6"/>
    <w:rsid w:val="00785016"/>
    <w:rsid w:val="00791849"/>
    <w:rsid w:val="00797E6F"/>
    <w:rsid w:val="007B60C3"/>
    <w:rsid w:val="007B773E"/>
    <w:rsid w:val="008126D4"/>
    <w:rsid w:val="008627CF"/>
    <w:rsid w:val="008671CD"/>
    <w:rsid w:val="008812B8"/>
    <w:rsid w:val="00886782"/>
    <w:rsid w:val="008C3403"/>
    <w:rsid w:val="008C3D51"/>
    <w:rsid w:val="008D202E"/>
    <w:rsid w:val="008E248A"/>
    <w:rsid w:val="0094322B"/>
    <w:rsid w:val="00971B17"/>
    <w:rsid w:val="00996FF1"/>
    <w:rsid w:val="009A20A6"/>
    <w:rsid w:val="009C6FF5"/>
    <w:rsid w:val="009D0703"/>
    <w:rsid w:val="00A1647C"/>
    <w:rsid w:val="00A361D9"/>
    <w:rsid w:val="00A3645B"/>
    <w:rsid w:val="00A677AF"/>
    <w:rsid w:val="00A721B6"/>
    <w:rsid w:val="00A7434E"/>
    <w:rsid w:val="00A93A42"/>
    <w:rsid w:val="00AD2C8F"/>
    <w:rsid w:val="00AF4CBF"/>
    <w:rsid w:val="00B15320"/>
    <w:rsid w:val="00B2249E"/>
    <w:rsid w:val="00B276B0"/>
    <w:rsid w:val="00BC30D0"/>
    <w:rsid w:val="00BD18CE"/>
    <w:rsid w:val="00BD6CD9"/>
    <w:rsid w:val="00BD7EDE"/>
    <w:rsid w:val="00C10824"/>
    <w:rsid w:val="00C414C5"/>
    <w:rsid w:val="00C6263B"/>
    <w:rsid w:val="00C739D9"/>
    <w:rsid w:val="00C74D30"/>
    <w:rsid w:val="00C85B24"/>
    <w:rsid w:val="00C93378"/>
    <w:rsid w:val="00CA5CA0"/>
    <w:rsid w:val="00CF5A75"/>
    <w:rsid w:val="00D54FE4"/>
    <w:rsid w:val="00D56403"/>
    <w:rsid w:val="00D9779C"/>
    <w:rsid w:val="00DC2DB4"/>
    <w:rsid w:val="00DC49E6"/>
    <w:rsid w:val="00E02510"/>
    <w:rsid w:val="00E12E11"/>
    <w:rsid w:val="00E21997"/>
    <w:rsid w:val="00E25E22"/>
    <w:rsid w:val="00E52925"/>
    <w:rsid w:val="00E56CFB"/>
    <w:rsid w:val="00E63EB0"/>
    <w:rsid w:val="00E8193D"/>
    <w:rsid w:val="00EA296E"/>
    <w:rsid w:val="00EF2386"/>
    <w:rsid w:val="00F00B5E"/>
    <w:rsid w:val="00FB5A3F"/>
    <w:rsid w:val="00FC11D5"/>
    <w:rsid w:val="00FD04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473682"/>
    <w:rPr>
      <w:color w:val="0000FF"/>
      <w:u w:val="single"/>
    </w:rPr>
  </w:style>
  <w:style w:type="character" w:customStyle="1" w:styleId="UnresolvedMention1">
    <w:name w:val="Unresolved Mention1"/>
    <w:basedOn w:val="Privzetapisavaodstavka"/>
    <w:uiPriority w:val="99"/>
    <w:semiHidden/>
    <w:unhideWhenUsed/>
    <w:rsid w:val="008C3D51"/>
    <w:rPr>
      <w:color w:val="605E5C"/>
      <w:shd w:val="clear" w:color="auto" w:fill="E1DFDD"/>
    </w:rPr>
  </w:style>
  <w:style w:type="character" w:styleId="Pripombasklic">
    <w:name w:val="annotation reference"/>
    <w:basedOn w:val="Privzetapisavaodstavka"/>
    <w:uiPriority w:val="99"/>
    <w:semiHidden/>
    <w:unhideWhenUsed/>
    <w:rsid w:val="00A721B6"/>
    <w:rPr>
      <w:sz w:val="16"/>
      <w:szCs w:val="16"/>
    </w:rPr>
  </w:style>
  <w:style w:type="paragraph" w:styleId="Pripombabesedilo">
    <w:name w:val="annotation text"/>
    <w:basedOn w:val="Navaden"/>
    <w:link w:val="PripombabesediloZnak"/>
    <w:uiPriority w:val="99"/>
    <w:unhideWhenUsed/>
    <w:rsid w:val="00A721B6"/>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1B6"/>
    <w:rPr>
      <w:sz w:val="20"/>
      <w:szCs w:val="20"/>
    </w:rPr>
  </w:style>
  <w:style w:type="paragraph" w:styleId="Zadevapripombe">
    <w:name w:val="annotation subject"/>
    <w:basedOn w:val="Pripombabesedilo"/>
    <w:next w:val="Pripombabesedilo"/>
    <w:link w:val="ZadevapripombeZnak"/>
    <w:uiPriority w:val="99"/>
    <w:semiHidden/>
    <w:unhideWhenUsed/>
    <w:rsid w:val="00A721B6"/>
    <w:rPr>
      <w:b/>
      <w:bCs/>
    </w:rPr>
  </w:style>
  <w:style w:type="character" w:customStyle="1" w:styleId="ZadevapripombeZnak">
    <w:name w:val="Zadeva pripombe Znak"/>
    <w:basedOn w:val="PripombabesediloZnak"/>
    <w:link w:val="Zadevapripombe"/>
    <w:uiPriority w:val="99"/>
    <w:semiHidden/>
    <w:rsid w:val="00A721B6"/>
    <w:rPr>
      <w:b/>
      <w:bCs/>
      <w:sz w:val="20"/>
      <w:szCs w:val="20"/>
    </w:rPr>
  </w:style>
  <w:style w:type="paragraph" w:styleId="Besedilooblaka">
    <w:name w:val="Balloon Text"/>
    <w:basedOn w:val="Navaden"/>
    <w:link w:val="BesedilooblakaZnak"/>
    <w:uiPriority w:val="99"/>
    <w:semiHidden/>
    <w:unhideWhenUsed/>
    <w:rsid w:val="00A721B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21B6"/>
    <w:rPr>
      <w:rFonts w:ascii="Segoe UI" w:hAnsi="Segoe UI" w:cs="Segoe UI"/>
      <w:sz w:val="18"/>
      <w:szCs w:val="18"/>
    </w:rPr>
  </w:style>
  <w:style w:type="paragraph" w:styleId="Noga">
    <w:name w:val="footer"/>
    <w:basedOn w:val="Navaden"/>
    <w:link w:val="NogaZnak"/>
    <w:uiPriority w:val="99"/>
    <w:unhideWhenUsed/>
    <w:rsid w:val="001E7E23"/>
    <w:pPr>
      <w:tabs>
        <w:tab w:val="center" w:pos="4536"/>
        <w:tab w:val="right" w:pos="9072"/>
      </w:tabs>
      <w:spacing w:after="0" w:line="240" w:lineRule="auto"/>
    </w:pPr>
  </w:style>
  <w:style w:type="character" w:customStyle="1" w:styleId="NogaZnak">
    <w:name w:val="Noga Znak"/>
    <w:basedOn w:val="Privzetapisavaodstavka"/>
    <w:link w:val="Noga"/>
    <w:uiPriority w:val="99"/>
    <w:rsid w:val="001E7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7779">
      <w:bodyDiv w:val="1"/>
      <w:marLeft w:val="0"/>
      <w:marRight w:val="0"/>
      <w:marTop w:val="0"/>
      <w:marBottom w:val="0"/>
      <w:divBdr>
        <w:top w:val="none" w:sz="0" w:space="0" w:color="auto"/>
        <w:left w:val="none" w:sz="0" w:space="0" w:color="auto"/>
        <w:bottom w:val="none" w:sz="0" w:space="0" w:color="auto"/>
        <w:right w:val="none" w:sz="0" w:space="0" w:color="auto"/>
      </w:divBdr>
      <w:divsChild>
        <w:div w:id="1964845276">
          <w:marLeft w:val="0"/>
          <w:marRight w:val="0"/>
          <w:marTop w:val="0"/>
          <w:marBottom w:val="0"/>
          <w:divBdr>
            <w:top w:val="none" w:sz="0" w:space="0" w:color="auto"/>
            <w:left w:val="none" w:sz="0" w:space="0" w:color="auto"/>
            <w:bottom w:val="none" w:sz="0" w:space="0" w:color="auto"/>
            <w:right w:val="none" w:sz="0" w:space="0" w:color="auto"/>
          </w:divBdr>
          <w:divsChild>
            <w:div w:id="1864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6184">
      <w:bodyDiv w:val="1"/>
      <w:marLeft w:val="0"/>
      <w:marRight w:val="0"/>
      <w:marTop w:val="0"/>
      <w:marBottom w:val="0"/>
      <w:divBdr>
        <w:top w:val="none" w:sz="0" w:space="0" w:color="auto"/>
        <w:left w:val="none" w:sz="0" w:space="0" w:color="auto"/>
        <w:bottom w:val="none" w:sz="0" w:space="0" w:color="auto"/>
        <w:right w:val="none" w:sz="0" w:space="0" w:color="auto"/>
      </w:divBdr>
      <w:divsChild>
        <w:div w:id="1691567467">
          <w:marLeft w:val="0"/>
          <w:marRight w:val="0"/>
          <w:marTop w:val="0"/>
          <w:marBottom w:val="0"/>
          <w:divBdr>
            <w:top w:val="none" w:sz="0" w:space="0" w:color="auto"/>
            <w:left w:val="none" w:sz="0" w:space="0" w:color="auto"/>
            <w:bottom w:val="none" w:sz="0" w:space="0" w:color="auto"/>
            <w:right w:val="none" w:sz="0" w:space="0" w:color="auto"/>
          </w:divBdr>
          <w:divsChild>
            <w:div w:id="573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412">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1358694716">
      <w:bodyDiv w:val="1"/>
      <w:marLeft w:val="0"/>
      <w:marRight w:val="0"/>
      <w:marTop w:val="0"/>
      <w:marBottom w:val="0"/>
      <w:divBdr>
        <w:top w:val="none" w:sz="0" w:space="0" w:color="auto"/>
        <w:left w:val="none" w:sz="0" w:space="0" w:color="auto"/>
        <w:bottom w:val="none" w:sz="0" w:space="0" w:color="auto"/>
        <w:right w:val="none" w:sz="0" w:space="0" w:color="auto"/>
      </w:divBdr>
    </w:div>
    <w:div w:id="17653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voj.si/UserFiles/File/Brochure_PP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41F2A2-7C1B-4B0C-84B5-154DC3AE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1151</Words>
  <Characters>6564</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5</cp:revision>
  <cp:lastPrinted>2022-07-07T09:30:00Z</cp:lastPrinted>
  <dcterms:created xsi:type="dcterms:W3CDTF">2023-09-20T16:01:00Z</dcterms:created>
  <dcterms:modified xsi:type="dcterms:W3CDTF">2023-11-30T13:40:00Z</dcterms:modified>
</cp:coreProperties>
</file>