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045236" w:rsidRPr="002663A8" w14:paraId="38C5DB40" w14:textId="77777777" w:rsidTr="002663A8">
        <w:trPr>
          <w:trHeight w:val="164"/>
        </w:trPr>
        <w:tc>
          <w:tcPr>
            <w:tcW w:w="4385" w:type="dxa"/>
            <w:tcMar>
              <w:top w:w="100" w:type="dxa"/>
              <w:left w:w="100" w:type="dxa"/>
              <w:bottom w:w="100" w:type="dxa"/>
              <w:right w:w="100" w:type="dxa"/>
            </w:tcMar>
          </w:tcPr>
          <w:p w14:paraId="7D9D7083" w14:textId="77777777" w:rsidR="00586C03" w:rsidRPr="002663A8" w:rsidRDefault="00586C03" w:rsidP="000F71E5">
            <w:pPr>
              <w:spacing w:after="0" w:line="240" w:lineRule="auto"/>
              <w:jc w:val="both"/>
              <w:rPr>
                <w:rFonts w:ascii="Open Sans" w:eastAsia="Arial" w:hAnsi="Open Sans" w:cs="Open Sans"/>
                <w:b/>
                <w:sz w:val="20"/>
                <w:szCs w:val="20"/>
                <w:lang w:eastAsia="sl-SI"/>
              </w:rPr>
            </w:pPr>
            <w:bookmarkStart w:id="0" w:name="_Hlk107907275"/>
            <w:r w:rsidRPr="002663A8">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1BF24821" w14:textId="77777777" w:rsidR="00586C03" w:rsidRPr="002663A8" w:rsidRDefault="00586C03" w:rsidP="000F71E5">
            <w:pPr>
              <w:spacing w:after="0" w:line="240" w:lineRule="auto"/>
              <w:jc w:val="both"/>
              <w:rPr>
                <w:rFonts w:ascii="Open Sans" w:eastAsia="Arial" w:hAnsi="Open Sans" w:cs="Open Sans"/>
                <w:b/>
                <w:sz w:val="20"/>
                <w:szCs w:val="20"/>
                <w:lang w:eastAsia="sl-SI"/>
              </w:rPr>
            </w:pPr>
            <w:proofErr w:type="spellStart"/>
            <w:r w:rsidRPr="002663A8">
              <w:rPr>
                <w:rFonts w:ascii="Open Sans" w:eastAsia="Arial" w:hAnsi="Open Sans" w:cs="Open Sans"/>
                <w:b/>
                <w:color w:val="833C0B" w:themeColor="accent2" w:themeShade="80"/>
                <w:sz w:val="20"/>
                <w:szCs w:val="20"/>
                <w:lang w:eastAsia="sl-SI"/>
              </w:rPr>
              <w:t>Apneničarstvo</w:t>
            </w:r>
            <w:proofErr w:type="spellEnd"/>
          </w:p>
        </w:tc>
      </w:tr>
      <w:tr w:rsidR="00045236" w:rsidRPr="002663A8" w14:paraId="5338D630" w14:textId="77777777" w:rsidTr="002663A8">
        <w:trPr>
          <w:trHeight w:val="151"/>
        </w:trPr>
        <w:tc>
          <w:tcPr>
            <w:tcW w:w="9030" w:type="dxa"/>
            <w:gridSpan w:val="2"/>
            <w:tcMar>
              <w:top w:w="100" w:type="dxa"/>
              <w:left w:w="100" w:type="dxa"/>
              <w:bottom w:w="100" w:type="dxa"/>
              <w:right w:w="100" w:type="dxa"/>
            </w:tcMar>
          </w:tcPr>
          <w:p w14:paraId="1979081C" w14:textId="50C66EA8" w:rsidR="00586C03" w:rsidRPr="002663A8" w:rsidRDefault="00586C03" w:rsidP="000F71E5">
            <w:pPr>
              <w:spacing w:after="0" w:line="240" w:lineRule="auto"/>
              <w:jc w:val="both"/>
              <w:rPr>
                <w:rFonts w:ascii="Open Sans" w:eastAsia="Arial" w:hAnsi="Open Sans" w:cs="Open Sans"/>
                <w:b/>
                <w:sz w:val="20"/>
                <w:szCs w:val="20"/>
                <w:lang w:eastAsia="sl-SI"/>
              </w:rPr>
            </w:pPr>
            <w:r w:rsidRPr="002663A8">
              <w:rPr>
                <w:rFonts w:ascii="Open Sans" w:eastAsia="Arial" w:hAnsi="Open Sans" w:cs="Open Sans"/>
                <w:b/>
                <w:sz w:val="20"/>
                <w:szCs w:val="20"/>
                <w:lang w:eastAsia="sl-SI"/>
              </w:rPr>
              <w:t xml:space="preserve">POVZETEK </w:t>
            </w:r>
          </w:p>
        </w:tc>
      </w:tr>
      <w:tr w:rsidR="00045236" w:rsidRPr="002663A8" w14:paraId="6576B9BE" w14:textId="77777777" w:rsidTr="002663A8">
        <w:trPr>
          <w:trHeight w:val="721"/>
        </w:trPr>
        <w:tc>
          <w:tcPr>
            <w:tcW w:w="9030" w:type="dxa"/>
            <w:gridSpan w:val="2"/>
            <w:tcMar>
              <w:top w:w="100" w:type="dxa"/>
              <w:left w:w="100" w:type="dxa"/>
              <w:bottom w:w="100" w:type="dxa"/>
              <w:right w:w="100" w:type="dxa"/>
            </w:tcMar>
          </w:tcPr>
          <w:p w14:paraId="467DDC3C" w14:textId="7072AB01" w:rsidR="00586C03" w:rsidRPr="002663A8" w:rsidRDefault="002663A8" w:rsidP="000F71E5">
            <w:pPr>
              <w:spacing w:after="0" w:line="240" w:lineRule="auto"/>
              <w:jc w:val="both"/>
              <w:rPr>
                <w:rFonts w:ascii="Open Sans" w:eastAsia="Arial" w:hAnsi="Open Sans" w:cs="Open Sans"/>
                <w:sz w:val="20"/>
                <w:szCs w:val="20"/>
                <w:lang w:eastAsia="sl-SI"/>
              </w:rPr>
            </w:pPr>
            <w:r w:rsidRPr="002663A8">
              <w:rPr>
                <w:rFonts w:ascii="Open Sans" w:hAnsi="Open Sans" w:cs="Open Sans"/>
                <w:sz w:val="20"/>
                <w:szCs w:val="20"/>
              </w:rPr>
              <w:t>Apnarstvo je tradicionalna obrtna dejavnost, kjer v apnenicah oziroma velikih pletenih koših obloženih z ilovico ali kamnito obzidanih obodih žgejo ali kuhajo kamen apnenec. Izdelek takšnega postopka imenujemo žgano apno, ki se v kontaktu z vodo spremeni v mehko maso imenovano gašeno apno. Gašeno apno se je praviloma uporabljalo v gradbeništvu, sadjarstvu, strojarstvu, usnjarstvu, beljenju ipd., pomembno pa je bilo tudi pri razkuževanju, gnojenju, konzerviranju. Gre za obrt, ki jo tradicionalno opravljajo moški, ki se imenujejo apnarji.</w:t>
            </w:r>
          </w:p>
        </w:tc>
      </w:tr>
      <w:tr w:rsidR="00045236" w:rsidRPr="002663A8" w14:paraId="4A560B05" w14:textId="77777777" w:rsidTr="002663A8">
        <w:trPr>
          <w:trHeight w:val="306"/>
        </w:trPr>
        <w:tc>
          <w:tcPr>
            <w:tcW w:w="9030" w:type="dxa"/>
            <w:gridSpan w:val="2"/>
            <w:tcMar>
              <w:top w:w="100" w:type="dxa"/>
              <w:left w:w="100" w:type="dxa"/>
              <w:bottom w:w="100" w:type="dxa"/>
              <w:right w:w="100" w:type="dxa"/>
            </w:tcMar>
          </w:tcPr>
          <w:p w14:paraId="77D1E549" w14:textId="62685426" w:rsidR="00586C03" w:rsidRPr="002663A8" w:rsidRDefault="00586C03" w:rsidP="000F71E5">
            <w:pPr>
              <w:spacing w:after="0" w:line="240" w:lineRule="auto"/>
              <w:jc w:val="both"/>
              <w:rPr>
                <w:rFonts w:ascii="Open Sans" w:eastAsia="Arial" w:hAnsi="Open Sans" w:cs="Open Sans"/>
                <w:bCs/>
                <w:i/>
                <w:iCs/>
                <w:sz w:val="20"/>
                <w:szCs w:val="20"/>
                <w:lang w:eastAsia="sl-SI"/>
              </w:rPr>
            </w:pPr>
            <w:r w:rsidRPr="002663A8">
              <w:rPr>
                <w:rFonts w:ascii="Open Sans" w:eastAsia="Arial" w:hAnsi="Open Sans" w:cs="Open Sans"/>
                <w:b/>
                <w:sz w:val="20"/>
                <w:szCs w:val="20"/>
                <w:lang w:eastAsia="sl-SI"/>
              </w:rPr>
              <w:t xml:space="preserve">OPIS PANOGE </w:t>
            </w:r>
          </w:p>
        </w:tc>
      </w:tr>
      <w:tr w:rsidR="00045236" w:rsidRPr="002663A8" w14:paraId="2391D8A0" w14:textId="77777777" w:rsidTr="002663A8">
        <w:trPr>
          <w:trHeight w:val="594"/>
        </w:trPr>
        <w:tc>
          <w:tcPr>
            <w:tcW w:w="9030" w:type="dxa"/>
            <w:gridSpan w:val="2"/>
            <w:tcMar>
              <w:top w:w="100" w:type="dxa"/>
              <w:left w:w="100" w:type="dxa"/>
              <w:bottom w:w="100" w:type="dxa"/>
              <w:right w:w="100" w:type="dxa"/>
            </w:tcMar>
          </w:tcPr>
          <w:p w14:paraId="6496C2CB" w14:textId="3549C7ED" w:rsidR="002663A8" w:rsidRDefault="002663A8" w:rsidP="002663A8">
            <w:pPr>
              <w:spacing w:after="0" w:line="240" w:lineRule="auto"/>
              <w:jc w:val="both"/>
              <w:rPr>
                <w:rFonts w:ascii="Open Sans" w:hAnsi="Open Sans" w:cs="Open Sans"/>
                <w:sz w:val="20"/>
                <w:szCs w:val="20"/>
              </w:rPr>
            </w:pPr>
            <w:proofErr w:type="spellStart"/>
            <w:r w:rsidRPr="002663A8">
              <w:rPr>
                <w:rFonts w:ascii="Open Sans" w:hAnsi="Open Sans" w:cs="Open Sans"/>
                <w:sz w:val="20"/>
                <w:szCs w:val="20"/>
              </w:rPr>
              <w:t>Apneničarstvo</w:t>
            </w:r>
            <w:proofErr w:type="spellEnd"/>
            <w:r w:rsidRPr="002663A8">
              <w:rPr>
                <w:rFonts w:ascii="Open Sans" w:hAnsi="Open Sans" w:cs="Open Sans"/>
                <w:sz w:val="20"/>
                <w:szCs w:val="20"/>
              </w:rPr>
              <w:t xml:space="preserve"> je nekdaj predstavljalo pomembno vrsto domače obrti. Naloga apneničarjev je bila, da so žgali ali kuhali apno, ki so ga potrebovali v velikih količinah pri gradbeništvu, strojarstvu, beljenju in usnjarstvu in tudi pri razkuževanju, gnojenju in konzerviranju jajc. Razvito je bilo na področjih, kjer je bila prisotna kvalitetna apniška kamnina – apnenec. Žgano in gašeno apno je bilo v uporabi vse do srede 70. let prejšnjega stoletja, ko je prišlo do množične uporabe cementnih izdelkov. </w:t>
            </w:r>
          </w:p>
          <w:p w14:paraId="6A87A0EB" w14:textId="77777777" w:rsidR="002663A8" w:rsidRPr="002663A8" w:rsidRDefault="002663A8" w:rsidP="002663A8">
            <w:pPr>
              <w:spacing w:after="0" w:line="240" w:lineRule="auto"/>
              <w:jc w:val="both"/>
              <w:rPr>
                <w:rFonts w:ascii="Open Sans" w:hAnsi="Open Sans" w:cs="Open Sans"/>
                <w:sz w:val="20"/>
                <w:szCs w:val="20"/>
              </w:rPr>
            </w:pPr>
          </w:p>
          <w:p w14:paraId="06BBC668" w14:textId="70353EB2" w:rsid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Apno se v stavbarstvu uporablja kot vezivo pri pripravi malt za zidanje stavbnih konstrukcij, notranje in zunanje ometavanje, dekorativne reliefne barvne omete, imitacije marmorja, itd. Apno se pridobiva z žganjem apnenca v apneni peči. Lokacije žganja apna se imenujejo apnenice. Proces žganja traja 4 – 7 dni pri čemer se izločata voda in ogljikov dioksid. Pri žganju je pomembno gorivo, les, ki mora biti suh in čim bolj droban, da nastaja čim manj pepela. Z uporabo goriva kot je plin ali odpadni materiali se v apno vnašajo sestavine, ki škodljivo reagirajo na zraku. Žganje apna je tudi odvisno od premera peči, ki vpliva na izgorevanje. Pri izgorevanju je pomembno, da se temperatura dviguje enakomerno (do največ 980 – 1000ºC), da vročina potuje po peči enakomerno in da dim nemoteno izhaja in se CO2 izloča, sicer ostane v materialu in vpliva na kakovost apna. Zato mora biti kamnina v peči skrbno zložena in izgorevanje na vrhu peči stalno nadzorovano.</w:t>
            </w:r>
          </w:p>
          <w:p w14:paraId="45B31F03" w14:textId="77777777" w:rsidR="002663A8" w:rsidRPr="002663A8" w:rsidRDefault="002663A8" w:rsidP="002663A8">
            <w:pPr>
              <w:spacing w:after="0" w:line="240" w:lineRule="auto"/>
              <w:jc w:val="both"/>
              <w:rPr>
                <w:rFonts w:ascii="Open Sans" w:hAnsi="Open Sans" w:cs="Open Sans"/>
                <w:sz w:val="20"/>
                <w:szCs w:val="20"/>
              </w:rPr>
            </w:pPr>
          </w:p>
          <w:p w14:paraId="6CB74365" w14:textId="79F277FB" w:rsid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 xml:space="preserve">Žgano apno se zalije z vodo, da </w:t>
            </w:r>
            <w:proofErr w:type="spellStart"/>
            <w:r w:rsidRPr="002663A8">
              <w:rPr>
                <w:rFonts w:ascii="Open Sans" w:hAnsi="Open Sans" w:cs="Open Sans"/>
                <w:sz w:val="20"/>
                <w:szCs w:val="20"/>
              </w:rPr>
              <w:t>nastene</w:t>
            </w:r>
            <w:proofErr w:type="spellEnd"/>
            <w:r w:rsidRPr="002663A8">
              <w:rPr>
                <w:rFonts w:ascii="Open Sans" w:hAnsi="Open Sans" w:cs="Open Sans"/>
                <w:sz w:val="20"/>
                <w:szCs w:val="20"/>
              </w:rPr>
              <w:t xml:space="preserve"> gašeno apno. V apneni jami se shranjuje gašeno apno. Apneno jamo je nekoč po tradiciji imelo vsako gospodarstvo, v njej je shranjevalo apno za popravila, beljenje in vzdrževanje stavb. Jama je skopana v zemljo, dovolj globoko, da apno v njej ni zmrznilo. Z </w:t>
            </w:r>
            <w:proofErr w:type="spellStart"/>
            <w:r w:rsidRPr="002663A8">
              <w:rPr>
                <w:rFonts w:ascii="Open Sans" w:hAnsi="Open Sans" w:cs="Open Sans"/>
                <w:sz w:val="20"/>
                <w:szCs w:val="20"/>
              </w:rPr>
              <w:t>uležavanjem</w:t>
            </w:r>
            <w:proofErr w:type="spellEnd"/>
            <w:r w:rsidRPr="002663A8">
              <w:rPr>
                <w:rFonts w:ascii="Open Sans" w:hAnsi="Open Sans" w:cs="Open Sans"/>
                <w:sz w:val="20"/>
                <w:szCs w:val="20"/>
              </w:rPr>
              <w:t xml:space="preserve"> apna večji delci v apnu potonejo na dno. Na vrhu ostane apnena voda, v kateri je raztopljen kalcij, ki na površini stvori tanko kopreno. Apnena voda se uporablja za utrjevanje. Zaradi posedanja delcev je na dnu jame najmanj kakovostno apno, primerno za zidarske malte. Apno iz srednje je uporabno za omete, najviše ležeče apno pa je najkakovostnejše in primerno za fresko omete, štukature in beleže. Apno ni primerno le za obnovo oziroma ohranjanje starih stavb, temveč tudi za novogradnje. Glede na njegovo uporabo, danes ločimo več vrst apna, </w:t>
            </w:r>
            <w:proofErr w:type="spellStart"/>
            <w:r w:rsidRPr="002663A8">
              <w:rPr>
                <w:rFonts w:ascii="Open Sans" w:hAnsi="Open Sans" w:cs="Open Sans"/>
                <w:sz w:val="20"/>
                <w:szCs w:val="20"/>
              </w:rPr>
              <w:t>mdr</w:t>
            </w:r>
            <w:proofErr w:type="spellEnd"/>
            <w:r w:rsidRPr="002663A8">
              <w:rPr>
                <w:rFonts w:ascii="Open Sans" w:hAnsi="Open Sans" w:cs="Open Sans"/>
                <w:sz w:val="20"/>
                <w:szCs w:val="20"/>
              </w:rPr>
              <w:t xml:space="preserve">: apno za gradbene malte, apno za ometavanje, apno za izvedbo tlakov, apno v </w:t>
            </w:r>
            <w:proofErr w:type="spellStart"/>
            <w:r w:rsidRPr="002663A8">
              <w:rPr>
                <w:rFonts w:ascii="Open Sans" w:hAnsi="Open Sans" w:cs="Open Sans"/>
                <w:sz w:val="20"/>
                <w:szCs w:val="20"/>
              </w:rPr>
              <w:t>freskoslikarstvu</w:t>
            </w:r>
            <w:proofErr w:type="spellEnd"/>
            <w:r w:rsidRPr="002663A8">
              <w:rPr>
                <w:rFonts w:ascii="Open Sans" w:hAnsi="Open Sans" w:cs="Open Sans"/>
                <w:sz w:val="20"/>
                <w:szCs w:val="20"/>
              </w:rPr>
              <w:t xml:space="preserve">, apno v </w:t>
            </w:r>
            <w:proofErr w:type="spellStart"/>
            <w:r w:rsidRPr="002663A8">
              <w:rPr>
                <w:rFonts w:ascii="Open Sans" w:hAnsi="Open Sans" w:cs="Open Sans"/>
                <w:sz w:val="20"/>
                <w:szCs w:val="20"/>
              </w:rPr>
              <w:t>štukaterstvu</w:t>
            </w:r>
            <w:proofErr w:type="spellEnd"/>
            <w:r w:rsidRPr="002663A8">
              <w:rPr>
                <w:rFonts w:ascii="Open Sans" w:hAnsi="Open Sans" w:cs="Open Sans"/>
                <w:sz w:val="20"/>
                <w:szCs w:val="20"/>
              </w:rPr>
              <w:t>, apno v pleskarstvu in tudi za zaščito oz. nego sadnih dreves v sadovnjakih.</w:t>
            </w:r>
          </w:p>
          <w:p w14:paraId="65F1D7A2" w14:textId="77777777" w:rsidR="002663A8" w:rsidRPr="002663A8" w:rsidRDefault="002663A8" w:rsidP="002663A8">
            <w:pPr>
              <w:spacing w:after="0" w:line="240" w:lineRule="auto"/>
              <w:jc w:val="both"/>
              <w:rPr>
                <w:rFonts w:ascii="Open Sans" w:hAnsi="Open Sans" w:cs="Open Sans"/>
                <w:sz w:val="20"/>
                <w:szCs w:val="20"/>
              </w:rPr>
            </w:pPr>
          </w:p>
          <w:p w14:paraId="7F984691" w14:textId="77777777" w:rsidR="009D17C3"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Danes se dejavnost žganja apna v klasičnih domačih, gozdnih apnenicah, uporablja največkrat za potrebe varovanja spomenikov kulturne dediščine in zahtevne prenove.</w:t>
            </w:r>
          </w:p>
          <w:p w14:paraId="6FB9B31B" w14:textId="77777777" w:rsidR="002663A8" w:rsidRDefault="002663A8" w:rsidP="002663A8">
            <w:pPr>
              <w:spacing w:after="0" w:line="240" w:lineRule="auto"/>
              <w:jc w:val="both"/>
              <w:rPr>
                <w:rFonts w:ascii="Open Sans" w:hAnsi="Open Sans" w:cs="Open Sans"/>
                <w:sz w:val="20"/>
                <w:szCs w:val="20"/>
              </w:rPr>
            </w:pPr>
          </w:p>
          <w:p w14:paraId="0B785CEE" w14:textId="0FD81566" w:rsidR="002663A8" w:rsidRPr="002663A8" w:rsidRDefault="002663A8" w:rsidP="002663A8">
            <w:pPr>
              <w:spacing w:after="0" w:line="240" w:lineRule="auto"/>
              <w:jc w:val="both"/>
              <w:rPr>
                <w:rFonts w:ascii="Open Sans" w:eastAsia="Century Gothic" w:hAnsi="Open Sans" w:cs="Open Sans"/>
                <w:sz w:val="20"/>
                <w:szCs w:val="20"/>
              </w:rPr>
            </w:pPr>
          </w:p>
        </w:tc>
      </w:tr>
      <w:tr w:rsidR="00045236" w:rsidRPr="002663A8" w14:paraId="2D5B5CE2" w14:textId="77777777" w:rsidTr="002663A8">
        <w:trPr>
          <w:trHeight w:val="269"/>
        </w:trPr>
        <w:tc>
          <w:tcPr>
            <w:tcW w:w="9030" w:type="dxa"/>
            <w:gridSpan w:val="2"/>
            <w:tcMar>
              <w:top w:w="100" w:type="dxa"/>
              <w:left w:w="100" w:type="dxa"/>
              <w:bottom w:w="100" w:type="dxa"/>
              <w:right w:w="100" w:type="dxa"/>
            </w:tcMar>
          </w:tcPr>
          <w:p w14:paraId="2D303483" w14:textId="0AAA4869" w:rsidR="00586C03" w:rsidRPr="002663A8" w:rsidRDefault="00586C03" w:rsidP="000F71E5">
            <w:pPr>
              <w:spacing w:after="0" w:line="240" w:lineRule="auto"/>
              <w:jc w:val="both"/>
              <w:rPr>
                <w:rFonts w:ascii="Open Sans" w:eastAsia="Arial" w:hAnsi="Open Sans" w:cs="Open Sans"/>
                <w:b/>
                <w:sz w:val="20"/>
                <w:szCs w:val="20"/>
                <w:lang w:eastAsia="sl-SI"/>
              </w:rPr>
            </w:pPr>
            <w:r w:rsidRPr="002663A8">
              <w:rPr>
                <w:rFonts w:ascii="Open Sans" w:eastAsia="Arial" w:hAnsi="Open Sans" w:cs="Open Sans"/>
                <w:b/>
                <w:sz w:val="20"/>
                <w:szCs w:val="20"/>
                <w:lang w:eastAsia="sl-SI"/>
              </w:rPr>
              <w:lastRenderedPageBreak/>
              <w:t>EVALVACIJA PANOGE</w:t>
            </w:r>
          </w:p>
        </w:tc>
      </w:tr>
      <w:tr w:rsidR="002663A8" w:rsidRPr="002663A8" w14:paraId="7EB5DEF4" w14:textId="77777777" w:rsidTr="002663A8">
        <w:trPr>
          <w:trHeight w:val="484"/>
        </w:trPr>
        <w:tc>
          <w:tcPr>
            <w:tcW w:w="4385" w:type="dxa"/>
            <w:tcMar>
              <w:top w:w="100" w:type="dxa"/>
              <w:left w:w="100" w:type="dxa"/>
              <w:bottom w:w="100" w:type="dxa"/>
              <w:right w:w="100" w:type="dxa"/>
            </w:tcMar>
          </w:tcPr>
          <w:p w14:paraId="25071508" w14:textId="77777777" w:rsidR="002663A8" w:rsidRPr="002663A8" w:rsidRDefault="002663A8" w:rsidP="002663A8">
            <w:pPr>
              <w:spacing w:after="0" w:line="240" w:lineRule="auto"/>
              <w:rPr>
                <w:rFonts w:ascii="Open Sans" w:eastAsia="Arial" w:hAnsi="Open Sans" w:cs="Open Sans"/>
                <w:b/>
                <w:sz w:val="20"/>
                <w:szCs w:val="20"/>
                <w:lang w:eastAsia="sl-SI"/>
              </w:rPr>
            </w:pPr>
            <w:r w:rsidRPr="002663A8">
              <w:rPr>
                <w:rFonts w:ascii="Open Sans" w:eastAsia="Arial" w:hAnsi="Open Sans" w:cs="Open Sans"/>
                <w:b/>
                <w:sz w:val="20"/>
                <w:szCs w:val="20"/>
                <w:lang w:eastAsia="sl-SI"/>
              </w:rPr>
              <w:t xml:space="preserve">Vidik rokodelskih in obrtniških znanj, spretnosti in veščin </w:t>
            </w:r>
          </w:p>
          <w:p w14:paraId="1BBE9FF6" w14:textId="41A88B8F" w:rsidR="002663A8" w:rsidRPr="002663A8" w:rsidRDefault="002663A8" w:rsidP="002663A8">
            <w:pPr>
              <w:spacing w:after="0" w:line="240" w:lineRule="auto"/>
              <w:jc w:val="both"/>
              <w:rPr>
                <w:rFonts w:ascii="Open Sans" w:eastAsia="Arial" w:hAnsi="Open Sans" w:cs="Open Sans"/>
                <w:bCs/>
                <w:i/>
                <w:iCs/>
                <w:sz w:val="20"/>
                <w:szCs w:val="20"/>
                <w:lang w:eastAsia="sl-SI"/>
              </w:rPr>
            </w:pPr>
          </w:p>
        </w:tc>
        <w:tc>
          <w:tcPr>
            <w:tcW w:w="4645" w:type="dxa"/>
          </w:tcPr>
          <w:p w14:paraId="7B0B61DA" w14:textId="09FFF4C2"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Sam postopek žganja apna je dolgotrajno delo. Že izdelava obokanega kurišča, ki ga je treba narediti na način oboka brez podpornikov, le s pravilnim zlaganjem in opiranjem kamenja in opeke, je pravo mojstrsko delo, ki ga obvlada vse manj ljudi. Znanje prehaja iz roda v rod, dejavnost pa ni vključena v formalno izobraževanje. Za lastno uporabo obnove kulturne dediščine, ohranjanja znanja in občasno predstavljanja dejavnosti javnosti imajo svoje apnenice tudi nekatere restavratorske delavnice in območne enote ZVKDS.</w:t>
            </w:r>
          </w:p>
        </w:tc>
      </w:tr>
      <w:tr w:rsidR="002663A8" w:rsidRPr="002663A8" w14:paraId="4B0D4D4D" w14:textId="77777777" w:rsidTr="002663A8">
        <w:trPr>
          <w:trHeight w:val="1666"/>
        </w:trPr>
        <w:tc>
          <w:tcPr>
            <w:tcW w:w="4385" w:type="dxa"/>
            <w:tcMar>
              <w:top w:w="100" w:type="dxa"/>
              <w:left w:w="100" w:type="dxa"/>
              <w:bottom w:w="100" w:type="dxa"/>
              <w:right w:w="100" w:type="dxa"/>
            </w:tcMar>
          </w:tcPr>
          <w:p w14:paraId="22373319" w14:textId="77777777" w:rsidR="002663A8" w:rsidRPr="002663A8" w:rsidRDefault="002663A8" w:rsidP="002663A8">
            <w:pPr>
              <w:spacing w:after="0" w:line="240" w:lineRule="auto"/>
              <w:rPr>
                <w:rFonts w:ascii="Open Sans" w:eastAsia="Arial" w:hAnsi="Open Sans" w:cs="Open Sans"/>
                <w:b/>
                <w:sz w:val="20"/>
                <w:szCs w:val="20"/>
                <w:lang w:eastAsia="sl-SI"/>
              </w:rPr>
            </w:pPr>
            <w:r w:rsidRPr="002663A8">
              <w:rPr>
                <w:rFonts w:ascii="Open Sans" w:eastAsia="Arial" w:hAnsi="Open Sans" w:cs="Open Sans"/>
                <w:b/>
                <w:sz w:val="20"/>
                <w:szCs w:val="20"/>
                <w:lang w:eastAsia="sl-SI"/>
              </w:rPr>
              <w:t>Vidik ohranjanja regionalnih razpoznavnosti in kultur, varstva in bogatenja kulturne dediščine</w:t>
            </w:r>
          </w:p>
          <w:p w14:paraId="3AB014AF" w14:textId="79FEB540" w:rsidR="002663A8" w:rsidRPr="002663A8" w:rsidRDefault="002663A8" w:rsidP="002663A8">
            <w:pPr>
              <w:spacing w:after="0" w:line="240" w:lineRule="auto"/>
              <w:jc w:val="both"/>
              <w:rPr>
                <w:rFonts w:ascii="Open Sans" w:eastAsia="Arial" w:hAnsi="Open Sans" w:cs="Open Sans"/>
                <w:b/>
                <w:sz w:val="20"/>
                <w:szCs w:val="20"/>
                <w:lang w:eastAsia="sl-SI"/>
              </w:rPr>
            </w:pPr>
          </w:p>
        </w:tc>
        <w:tc>
          <w:tcPr>
            <w:tcW w:w="4645" w:type="dxa"/>
          </w:tcPr>
          <w:p w14:paraId="3B5D6562"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Panoga ni vpisana v Register nesnovne kulturne</w:t>
            </w:r>
          </w:p>
          <w:p w14:paraId="09072F34"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dediščine in nima drugega statusa. Nosilci znanja</w:t>
            </w:r>
          </w:p>
          <w:p w14:paraId="73AAA61E"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so v glavnem predstavniki starejše generacije, saj</w:t>
            </w:r>
          </w:p>
          <w:p w14:paraId="74B3D0FE"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pri mladih ni zanimanja za panogo, zato so</w:t>
            </w:r>
          </w:p>
          <w:p w14:paraId="3165A978"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znanja ogrožena.</w:t>
            </w:r>
          </w:p>
          <w:p w14:paraId="08694F21" w14:textId="77777777" w:rsidR="002663A8" w:rsidRPr="002663A8" w:rsidRDefault="002663A8" w:rsidP="002663A8">
            <w:pPr>
              <w:spacing w:after="0" w:line="240" w:lineRule="auto"/>
              <w:jc w:val="both"/>
              <w:rPr>
                <w:rFonts w:ascii="Open Sans" w:hAnsi="Open Sans" w:cs="Open Sans"/>
                <w:sz w:val="20"/>
                <w:szCs w:val="20"/>
              </w:rPr>
            </w:pPr>
          </w:p>
        </w:tc>
      </w:tr>
      <w:tr w:rsidR="002663A8" w:rsidRPr="002663A8" w14:paraId="5B940EDE" w14:textId="77777777" w:rsidTr="002663A8">
        <w:trPr>
          <w:trHeight w:val="900"/>
        </w:trPr>
        <w:tc>
          <w:tcPr>
            <w:tcW w:w="4385" w:type="dxa"/>
            <w:tcMar>
              <w:top w:w="100" w:type="dxa"/>
              <w:left w:w="100" w:type="dxa"/>
              <w:bottom w:w="100" w:type="dxa"/>
              <w:right w:w="100" w:type="dxa"/>
            </w:tcMar>
          </w:tcPr>
          <w:p w14:paraId="585B522C" w14:textId="77777777" w:rsidR="002663A8" w:rsidRPr="002663A8" w:rsidRDefault="002663A8" w:rsidP="002663A8">
            <w:pPr>
              <w:spacing w:after="0" w:line="240" w:lineRule="auto"/>
              <w:jc w:val="both"/>
              <w:rPr>
                <w:rFonts w:ascii="Open Sans" w:eastAsia="Arial" w:hAnsi="Open Sans" w:cs="Open Sans"/>
                <w:b/>
                <w:sz w:val="20"/>
                <w:szCs w:val="20"/>
                <w:lang w:eastAsia="sl-SI"/>
              </w:rPr>
            </w:pPr>
            <w:r w:rsidRPr="002663A8">
              <w:rPr>
                <w:rFonts w:ascii="Open Sans" w:eastAsia="Arial" w:hAnsi="Open Sans" w:cs="Open Sans"/>
                <w:b/>
                <w:sz w:val="20"/>
                <w:szCs w:val="20"/>
                <w:lang w:eastAsia="sl-SI"/>
              </w:rPr>
              <w:t xml:space="preserve">Vidik identitete in prepoznavnosti </w:t>
            </w:r>
          </w:p>
          <w:p w14:paraId="426C3B99" w14:textId="47706AFD" w:rsidR="002663A8" w:rsidRPr="002663A8" w:rsidRDefault="002663A8" w:rsidP="002663A8">
            <w:pPr>
              <w:spacing w:after="0" w:line="240" w:lineRule="auto"/>
              <w:jc w:val="both"/>
              <w:rPr>
                <w:rFonts w:ascii="Open Sans" w:eastAsia="Arial" w:hAnsi="Open Sans" w:cs="Open Sans"/>
                <w:b/>
                <w:sz w:val="20"/>
                <w:szCs w:val="20"/>
                <w:lang w:eastAsia="sl-SI"/>
              </w:rPr>
            </w:pPr>
          </w:p>
        </w:tc>
        <w:tc>
          <w:tcPr>
            <w:tcW w:w="4645" w:type="dxa"/>
          </w:tcPr>
          <w:p w14:paraId="4D373FB6" w14:textId="24232A8D"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Apneničarji med seboj niso povezani, vsak dela zase. Predvsem sodelujejo z območnimi enotami ZVKDS in restavratorji, ki delujejo po Sloveniji. Danes se apno, pridelano na tradicionalen način, ohranjanja in uporablja predvsem pri restavratorskih posegih in obnovi različnih objektov kulturne dediščine, zato je apnenic malo, žganje apna pa postaja že prava redkost.</w:t>
            </w:r>
          </w:p>
        </w:tc>
      </w:tr>
      <w:tr w:rsidR="002663A8" w:rsidRPr="002663A8" w14:paraId="60610F76" w14:textId="77777777" w:rsidTr="002663A8">
        <w:trPr>
          <w:trHeight w:val="900"/>
        </w:trPr>
        <w:tc>
          <w:tcPr>
            <w:tcW w:w="4385" w:type="dxa"/>
            <w:tcMar>
              <w:top w:w="100" w:type="dxa"/>
              <w:left w:w="100" w:type="dxa"/>
              <w:bottom w:w="100" w:type="dxa"/>
              <w:right w:w="100" w:type="dxa"/>
            </w:tcMar>
          </w:tcPr>
          <w:p w14:paraId="5A0B4E1D" w14:textId="77777777" w:rsidR="002663A8" w:rsidRPr="002663A8" w:rsidRDefault="002663A8" w:rsidP="002663A8">
            <w:pPr>
              <w:spacing w:after="0" w:line="240" w:lineRule="auto"/>
              <w:jc w:val="both"/>
              <w:rPr>
                <w:rFonts w:ascii="Open Sans" w:eastAsia="Arial" w:hAnsi="Open Sans" w:cs="Open Sans"/>
                <w:b/>
                <w:sz w:val="20"/>
                <w:szCs w:val="20"/>
                <w:lang w:eastAsia="sl-SI"/>
              </w:rPr>
            </w:pPr>
            <w:r w:rsidRPr="002663A8">
              <w:rPr>
                <w:rFonts w:ascii="Open Sans" w:eastAsia="Arial" w:hAnsi="Open Sans" w:cs="Open Sans"/>
                <w:b/>
                <w:sz w:val="20"/>
                <w:szCs w:val="20"/>
                <w:lang w:eastAsia="sl-SI"/>
              </w:rPr>
              <w:t>Vidik družbenega in gospodarskega napredka</w:t>
            </w:r>
          </w:p>
          <w:p w14:paraId="7EC084D9" w14:textId="3EC53B1C" w:rsidR="002663A8" w:rsidRPr="002663A8" w:rsidRDefault="002663A8" w:rsidP="002663A8">
            <w:pPr>
              <w:spacing w:after="0" w:line="240" w:lineRule="auto"/>
              <w:jc w:val="both"/>
              <w:rPr>
                <w:rFonts w:ascii="Open Sans" w:eastAsia="Arial" w:hAnsi="Open Sans" w:cs="Open Sans"/>
                <w:b/>
                <w:sz w:val="20"/>
                <w:szCs w:val="20"/>
                <w:lang w:eastAsia="sl-SI"/>
              </w:rPr>
            </w:pPr>
          </w:p>
        </w:tc>
        <w:tc>
          <w:tcPr>
            <w:tcW w:w="4645" w:type="dxa"/>
          </w:tcPr>
          <w:p w14:paraId="3AB582A0" w14:textId="74242169"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Apno je kot vezivo prisotno v vseh vrstah gradnje, od konstrukcijskih ali dekorativnih zahtev pa je bilo odvisno, kako so ga pripravljali in kaj so mu dodajali, da je bil primerno obdelovalen in zahtevano trden. Uporaba tradicionalno pridobljenega apna sicer prispeva k okolju in kakovosti bivanja.</w:t>
            </w:r>
          </w:p>
        </w:tc>
      </w:tr>
      <w:tr w:rsidR="002663A8" w:rsidRPr="002663A8" w14:paraId="1CEF0E22" w14:textId="77777777" w:rsidTr="002663A8">
        <w:trPr>
          <w:trHeight w:val="900"/>
        </w:trPr>
        <w:tc>
          <w:tcPr>
            <w:tcW w:w="4385" w:type="dxa"/>
            <w:tcMar>
              <w:top w:w="100" w:type="dxa"/>
              <w:left w:w="100" w:type="dxa"/>
              <w:bottom w:w="100" w:type="dxa"/>
              <w:right w:w="100" w:type="dxa"/>
            </w:tcMar>
          </w:tcPr>
          <w:p w14:paraId="069B0BD2" w14:textId="77777777" w:rsidR="002663A8" w:rsidRPr="002663A8" w:rsidRDefault="002663A8" w:rsidP="002663A8">
            <w:pPr>
              <w:spacing w:after="0" w:line="240" w:lineRule="auto"/>
              <w:rPr>
                <w:rFonts w:ascii="Open Sans" w:eastAsia="Arial" w:hAnsi="Open Sans" w:cs="Open Sans"/>
                <w:b/>
                <w:sz w:val="20"/>
                <w:szCs w:val="20"/>
                <w:lang w:eastAsia="sl-SI"/>
              </w:rPr>
            </w:pPr>
            <w:r w:rsidRPr="002663A8">
              <w:rPr>
                <w:rFonts w:ascii="Open Sans" w:eastAsia="Arial" w:hAnsi="Open Sans" w:cs="Open Sans"/>
                <w:b/>
                <w:sz w:val="20"/>
                <w:szCs w:val="20"/>
                <w:lang w:eastAsia="sl-SI"/>
              </w:rPr>
              <w:t>Vidik učinkov na medgeneracijsko povezovanje in vseživljenjsko učenje</w:t>
            </w:r>
          </w:p>
          <w:p w14:paraId="052124A0" w14:textId="58FD6B0A" w:rsidR="002663A8" w:rsidRPr="002663A8" w:rsidRDefault="002663A8" w:rsidP="002663A8">
            <w:pPr>
              <w:spacing w:after="0" w:line="240" w:lineRule="auto"/>
              <w:jc w:val="both"/>
              <w:rPr>
                <w:rFonts w:ascii="Open Sans" w:eastAsia="Arial" w:hAnsi="Open Sans" w:cs="Open Sans"/>
                <w:b/>
                <w:sz w:val="20"/>
                <w:szCs w:val="20"/>
                <w:lang w:eastAsia="sl-SI"/>
              </w:rPr>
            </w:pPr>
          </w:p>
        </w:tc>
        <w:tc>
          <w:tcPr>
            <w:tcW w:w="4645" w:type="dxa"/>
          </w:tcPr>
          <w:p w14:paraId="2922B035"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Medgeneracijsko povezovanje in prenos znanj</w:t>
            </w:r>
          </w:p>
          <w:p w14:paraId="32CEACDC"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nista izrazita. Primeri prenosa znanj od</w:t>
            </w:r>
          </w:p>
          <w:p w14:paraId="3DCA31F7"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starejših mojstrov na mlajšo generacijo so bolj</w:t>
            </w:r>
          </w:p>
          <w:p w14:paraId="23981875" w14:textId="10EB937F"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posamezni. Programi za javnost, kot so prikazi gašenja apna, prispevajo h kakovosti bivanja in večji socializaciji, saj bogatijo znanje in krepijo vezi med ljudmi.</w:t>
            </w:r>
          </w:p>
        </w:tc>
      </w:tr>
      <w:tr w:rsidR="002663A8" w:rsidRPr="002663A8" w14:paraId="71B91764" w14:textId="77777777" w:rsidTr="002663A8">
        <w:trPr>
          <w:trHeight w:val="15"/>
        </w:trPr>
        <w:tc>
          <w:tcPr>
            <w:tcW w:w="4385" w:type="dxa"/>
            <w:tcMar>
              <w:top w:w="100" w:type="dxa"/>
              <w:left w:w="100" w:type="dxa"/>
              <w:bottom w:w="100" w:type="dxa"/>
              <w:right w:w="100" w:type="dxa"/>
            </w:tcMar>
          </w:tcPr>
          <w:p w14:paraId="19FDE8B9" w14:textId="77777777" w:rsidR="002663A8" w:rsidRPr="002663A8" w:rsidRDefault="002663A8" w:rsidP="002663A8">
            <w:pPr>
              <w:spacing w:after="0" w:line="240" w:lineRule="auto"/>
              <w:jc w:val="both"/>
              <w:rPr>
                <w:rFonts w:ascii="Open Sans" w:eastAsia="Arial" w:hAnsi="Open Sans" w:cs="Open Sans"/>
                <w:b/>
                <w:sz w:val="20"/>
                <w:szCs w:val="20"/>
                <w:lang w:eastAsia="sl-SI"/>
              </w:rPr>
            </w:pPr>
            <w:r w:rsidRPr="002663A8">
              <w:rPr>
                <w:rFonts w:ascii="Open Sans" w:eastAsia="Arial" w:hAnsi="Open Sans" w:cs="Open Sans"/>
                <w:b/>
                <w:sz w:val="20"/>
                <w:szCs w:val="20"/>
                <w:lang w:eastAsia="sl-SI"/>
              </w:rPr>
              <w:lastRenderedPageBreak/>
              <w:t xml:space="preserve">Vidik učinkov na turizem </w:t>
            </w:r>
          </w:p>
          <w:p w14:paraId="3CD5C7CA" w14:textId="5E688D0C" w:rsidR="002663A8" w:rsidRPr="002663A8" w:rsidRDefault="002663A8" w:rsidP="002663A8">
            <w:pPr>
              <w:spacing w:after="0" w:line="240" w:lineRule="auto"/>
              <w:jc w:val="both"/>
              <w:rPr>
                <w:rFonts w:ascii="Open Sans" w:eastAsia="Arial" w:hAnsi="Open Sans" w:cs="Open Sans"/>
                <w:b/>
                <w:i/>
                <w:iCs/>
                <w:sz w:val="20"/>
                <w:szCs w:val="20"/>
                <w:lang w:eastAsia="sl-SI"/>
              </w:rPr>
            </w:pPr>
          </w:p>
        </w:tc>
        <w:tc>
          <w:tcPr>
            <w:tcW w:w="4645" w:type="dxa"/>
          </w:tcPr>
          <w:p w14:paraId="705E6E44" w14:textId="74D78964"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 xml:space="preserve">Apno uporabljajo pri restavratorskih posegih na različnih objektih kulturne dediščine. Prikazi </w:t>
            </w:r>
            <w:proofErr w:type="spellStart"/>
            <w:r w:rsidRPr="002663A8">
              <w:rPr>
                <w:rFonts w:ascii="Open Sans" w:hAnsi="Open Sans" w:cs="Open Sans"/>
                <w:sz w:val="20"/>
                <w:szCs w:val="20"/>
              </w:rPr>
              <w:t>apneničarstva</w:t>
            </w:r>
            <w:proofErr w:type="spellEnd"/>
            <w:r w:rsidRPr="002663A8">
              <w:rPr>
                <w:rFonts w:ascii="Open Sans" w:hAnsi="Open Sans" w:cs="Open Sans"/>
                <w:sz w:val="20"/>
                <w:szCs w:val="20"/>
              </w:rPr>
              <w:t xml:space="preserve"> v kontekstu turizma lahko pomagajo obstoju panoge.</w:t>
            </w:r>
          </w:p>
        </w:tc>
      </w:tr>
      <w:tr w:rsidR="002663A8" w:rsidRPr="002663A8" w14:paraId="4DE8AC2B" w14:textId="77777777" w:rsidTr="002663A8">
        <w:trPr>
          <w:trHeight w:val="458"/>
        </w:trPr>
        <w:tc>
          <w:tcPr>
            <w:tcW w:w="4385" w:type="dxa"/>
            <w:tcMar>
              <w:top w:w="100" w:type="dxa"/>
              <w:left w:w="100" w:type="dxa"/>
              <w:bottom w:w="100" w:type="dxa"/>
              <w:right w:w="100" w:type="dxa"/>
            </w:tcMar>
          </w:tcPr>
          <w:p w14:paraId="64C35EB9" w14:textId="77777777" w:rsidR="002663A8" w:rsidRPr="002663A8" w:rsidRDefault="002663A8" w:rsidP="002663A8">
            <w:pPr>
              <w:spacing w:after="0" w:line="240" w:lineRule="auto"/>
              <w:jc w:val="both"/>
              <w:rPr>
                <w:rFonts w:ascii="Open Sans" w:eastAsia="Arial" w:hAnsi="Open Sans" w:cs="Open Sans"/>
                <w:b/>
                <w:sz w:val="20"/>
                <w:szCs w:val="20"/>
                <w:lang w:eastAsia="sl-SI"/>
              </w:rPr>
            </w:pPr>
            <w:r w:rsidRPr="002663A8">
              <w:rPr>
                <w:rFonts w:ascii="Open Sans" w:eastAsia="Arial" w:hAnsi="Open Sans" w:cs="Open Sans"/>
                <w:b/>
                <w:sz w:val="20"/>
                <w:szCs w:val="20"/>
                <w:lang w:eastAsia="sl-SI"/>
              </w:rPr>
              <w:t>Viri in literatura</w:t>
            </w:r>
          </w:p>
        </w:tc>
        <w:tc>
          <w:tcPr>
            <w:tcW w:w="4645" w:type="dxa"/>
          </w:tcPr>
          <w:p w14:paraId="0C01DD30"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 xml:space="preserve">Janez Bogataj, Domače obrti na Slovenskem, DZS, Ljubljana 1989. </w:t>
            </w:r>
          </w:p>
          <w:p w14:paraId="3E8F2200" w14:textId="77777777" w:rsidR="002663A8" w:rsidRPr="002663A8" w:rsidRDefault="002663A8" w:rsidP="002663A8">
            <w:pPr>
              <w:spacing w:after="0" w:line="240" w:lineRule="auto"/>
              <w:jc w:val="both"/>
              <w:rPr>
                <w:rFonts w:ascii="Open Sans" w:hAnsi="Open Sans" w:cs="Open Sans"/>
                <w:sz w:val="20"/>
                <w:szCs w:val="20"/>
              </w:rPr>
            </w:pPr>
          </w:p>
          <w:p w14:paraId="1418303F" w14:textId="77777777"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ŽAGAR, Katarina. 2013, priročnik: Tradicionalne Rokodelske veščine. Dostopna na:</w:t>
            </w:r>
          </w:p>
          <w:p w14:paraId="7EFF96FB" w14:textId="77777777" w:rsidR="002663A8" w:rsidRPr="002663A8" w:rsidRDefault="00000000" w:rsidP="002663A8">
            <w:pPr>
              <w:spacing w:after="0" w:line="240" w:lineRule="auto"/>
              <w:jc w:val="both"/>
              <w:rPr>
                <w:rFonts w:ascii="Open Sans" w:hAnsi="Open Sans" w:cs="Open Sans"/>
                <w:sz w:val="20"/>
                <w:szCs w:val="20"/>
              </w:rPr>
            </w:pPr>
            <w:hyperlink r:id="rId6" w:history="1">
              <w:r w:rsidR="002663A8" w:rsidRPr="002663A8">
                <w:t>https://www.zvkds.si/sites/www.zvkds.si/files/uploads/files/publication/prirocnik_slo_sml.pdf</w:t>
              </w:r>
            </w:hyperlink>
          </w:p>
          <w:p w14:paraId="2E5020EF" w14:textId="77777777" w:rsidR="002663A8" w:rsidRPr="002663A8" w:rsidRDefault="002663A8" w:rsidP="002663A8">
            <w:pPr>
              <w:spacing w:after="0" w:line="240" w:lineRule="auto"/>
              <w:jc w:val="both"/>
              <w:rPr>
                <w:rFonts w:ascii="Open Sans" w:hAnsi="Open Sans" w:cs="Open Sans"/>
                <w:sz w:val="20"/>
                <w:szCs w:val="20"/>
              </w:rPr>
            </w:pPr>
          </w:p>
          <w:p w14:paraId="70A3906D" w14:textId="530C2D24" w:rsidR="002663A8" w:rsidRPr="002663A8" w:rsidRDefault="002663A8" w:rsidP="002663A8">
            <w:pPr>
              <w:spacing w:after="0" w:line="240" w:lineRule="auto"/>
              <w:jc w:val="both"/>
              <w:rPr>
                <w:rFonts w:ascii="Open Sans" w:hAnsi="Open Sans" w:cs="Open Sans"/>
                <w:sz w:val="20"/>
                <w:szCs w:val="20"/>
              </w:rPr>
            </w:pPr>
            <w:r w:rsidRPr="002663A8">
              <w:rPr>
                <w:rFonts w:ascii="Open Sans" w:hAnsi="Open Sans" w:cs="Open Sans"/>
                <w:sz w:val="20"/>
                <w:szCs w:val="20"/>
              </w:rPr>
              <w:t>https://www.zvkds.si/sl/video/zganje-apna</w:t>
            </w:r>
          </w:p>
        </w:tc>
      </w:tr>
      <w:bookmarkEnd w:id="0"/>
    </w:tbl>
    <w:p w14:paraId="7C570AC4" w14:textId="77777777" w:rsidR="00586C03" w:rsidRPr="00CE2066" w:rsidRDefault="00586C03" w:rsidP="000F71E5">
      <w:pPr>
        <w:spacing w:after="0" w:line="240" w:lineRule="auto"/>
        <w:jc w:val="both"/>
        <w:rPr>
          <w:rFonts w:ascii="Open Sans" w:eastAsia="Arial" w:hAnsi="Open Sans" w:cs="Open Sans"/>
          <w:sz w:val="20"/>
          <w:szCs w:val="20"/>
          <w:lang w:eastAsia="sl-SI"/>
        </w:rPr>
      </w:pPr>
    </w:p>
    <w:p w14:paraId="3244F68B" w14:textId="77777777" w:rsidR="00586C03" w:rsidRPr="00CE2066" w:rsidRDefault="00586C03" w:rsidP="000F71E5">
      <w:pPr>
        <w:spacing w:after="0" w:line="240" w:lineRule="auto"/>
        <w:jc w:val="both"/>
        <w:rPr>
          <w:rFonts w:ascii="Open Sans" w:eastAsia="Arial" w:hAnsi="Open Sans" w:cs="Open Sans"/>
          <w:sz w:val="20"/>
          <w:szCs w:val="20"/>
          <w:lang w:eastAsia="sl-SI"/>
        </w:rPr>
      </w:pPr>
    </w:p>
    <w:p w14:paraId="1AB2F75C" w14:textId="77777777" w:rsidR="00586C03" w:rsidRPr="00CE2066" w:rsidRDefault="00586C03" w:rsidP="000F71E5">
      <w:pPr>
        <w:spacing w:after="0" w:line="276" w:lineRule="auto"/>
        <w:jc w:val="both"/>
        <w:rPr>
          <w:rFonts w:ascii="Open Sans" w:eastAsia="Arial" w:hAnsi="Open Sans" w:cs="Open Sans"/>
          <w:sz w:val="20"/>
          <w:szCs w:val="20"/>
          <w:lang w:eastAsia="sl-SI"/>
        </w:rPr>
      </w:pPr>
    </w:p>
    <w:p w14:paraId="5EC83520" w14:textId="77777777" w:rsidR="00586C03" w:rsidRPr="00CE2066" w:rsidRDefault="00586C03" w:rsidP="000F71E5">
      <w:pPr>
        <w:jc w:val="both"/>
        <w:rPr>
          <w:rFonts w:ascii="Open Sans" w:hAnsi="Open Sans" w:cs="Open Sans"/>
          <w:sz w:val="20"/>
          <w:szCs w:val="20"/>
        </w:rPr>
      </w:pPr>
    </w:p>
    <w:p w14:paraId="41AAE903" w14:textId="77777777" w:rsidR="00586C03" w:rsidRPr="00CE2066" w:rsidRDefault="00586C03" w:rsidP="000F71E5">
      <w:pPr>
        <w:jc w:val="both"/>
        <w:rPr>
          <w:rFonts w:ascii="Open Sans" w:hAnsi="Open Sans" w:cs="Open Sans"/>
          <w:sz w:val="20"/>
          <w:szCs w:val="20"/>
        </w:rPr>
      </w:pPr>
      <w:r w:rsidRPr="00CE2066">
        <w:rPr>
          <w:rFonts w:ascii="Open Sans" w:hAnsi="Open Sans" w:cs="Open Sans"/>
          <w:sz w:val="20"/>
          <w:szCs w:val="20"/>
          <w:shd w:val="clear" w:color="auto" w:fill="FFFFFF"/>
        </w:rPr>
        <w:t>﻿</w:t>
      </w:r>
    </w:p>
    <w:p w14:paraId="54B9F081" w14:textId="77777777" w:rsidR="00F7176D" w:rsidRPr="00CE2066" w:rsidRDefault="00F7176D" w:rsidP="000F71E5">
      <w:pPr>
        <w:jc w:val="both"/>
        <w:rPr>
          <w:rFonts w:ascii="Open Sans" w:hAnsi="Open Sans" w:cs="Open Sans"/>
          <w:sz w:val="20"/>
          <w:szCs w:val="20"/>
        </w:rPr>
      </w:pPr>
    </w:p>
    <w:sectPr w:rsidR="00F7176D" w:rsidRPr="00CE2066" w:rsidSect="00CE2066">
      <w:headerReference w:type="even" r:id="rId7"/>
      <w:headerReference w:type="default" r:id="rId8"/>
      <w:footerReference w:type="even" r:id="rId9"/>
      <w:footerReference w:type="default" r:id="rId10"/>
      <w:headerReference w:type="first" r:id="rId11"/>
      <w:footerReference w:type="first" r:id="rId12"/>
      <w:pgSz w:w="11909" w:h="16834"/>
      <w:pgMar w:top="1708"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5D81" w14:textId="77777777" w:rsidR="001A58B1" w:rsidRDefault="001A58B1">
      <w:pPr>
        <w:spacing w:after="0" w:line="240" w:lineRule="auto"/>
      </w:pPr>
      <w:r>
        <w:separator/>
      </w:r>
    </w:p>
  </w:endnote>
  <w:endnote w:type="continuationSeparator" w:id="0">
    <w:p w14:paraId="5D92A411" w14:textId="77777777" w:rsidR="001A58B1" w:rsidRDefault="001A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B90A" w14:textId="77777777" w:rsidR="00812C08" w:rsidRDefault="00812C0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DA63" w14:textId="77777777" w:rsidR="00812C08" w:rsidRDefault="00812C0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0F2B" w14:textId="77777777" w:rsidR="00812C08" w:rsidRDefault="00812C0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357A" w14:textId="77777777" w:rsidR="001A58B1" w:rsidRDefault="001A58B1">
      <w:pPr>
        <w:spacing w:after="0" w:line="240" w:lineRule="auto"/>
      </w:pPr>
      <w:r>
        <w:separator/>
      </w:r>
    </w:p>
  </w:footnote>
  <w:footnote w:type="continuationSeparator" w:id="0">
    <w:p w14:paraId="39D17B89" w14:textId="77777777" w:rsidR="001A58B1" w:rsidRDefault="001A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0973" w14:textId="77777777" w:rsidR="00812C08" w:rsidRDefault="00812C0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192A" w14:textId="79125EA9" w:rsidR="00D97B47" w:rsidRPr="00CE2066" w:rsidRDefault="00CE2066" w:rsidP="00CE2066">
    <w:pPr>
      <w:pStyle w:val="Glava"/>
    </w:pPr>
    <w:r w:rsidRPr="00345F46">
      <w:rPr>
        <w:rFonts w:ascii="Open Sans" w:hAnsi="Open Sans" w:cs="Open Sans"/>
        <w:noProof/>
      </w:rPr>
      <w:drawing>
        <wp:inline distT="0" distB="0" distL="0" distR="0" wp14:anchorId="0E460F95" wp14:editId="30D08612">
          <wp:extent cx="2014614" cy="350595"/>
          <wp:effectExtent l="0" t="0" r="5080" b="0"/>
          <wp:docPr id="6" name="Slika 6"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Ministrstvo za gospodarstvo, turizem in špo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9545" cy="365375"/>
                  </a:xfrm>
                  <a:prstGeom prst="rect">
                    <a:avLst/>
                  </a:prstGeom>
                  <a:noFill/>
                  <a:ln>
                    <a:noFill/>
                  </a:ln>
                </pic:spPr>
              </pic:pic>
            </a:graphicData>
          </a:graphic>
        </wp:inline>
      </w:drawing>
    </w:r>
    <w:r>
      <w:t xml:space="preserve">                                                           </w:t>
    </w:r>
    <w:r>
      <w:rPr>
        <w:noProof/>
      </w:rPr>
      <w:drawing>
        <wp:inline distT="0" distB="0" distL="0" distR="0" wp14:anchorId="0330CFF7" wp14:editId="4285BA74">
          <wp:extent cx="1397000" cy="390284"/>
          <wp:effectExtent l="0" t="0" r="0" b="0"/>
          <wp:docPr id="5" name="Slika 5"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155" cy="401502"/>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6F85" w14:textId="77777777" w:rsidR="00812C08" w:rsidRDefault="00812C08">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03"/>
    <w:rsid w:val="00045236"/>
    <w:rsid w:val="00071142"/>
    <w:rsid w:val="000F71E5"/>
    <w:rsid w:val="001A58B1"/>
    <w:rsid w:val="001F59EA"/>
    <w:rsid w:val="00201FE3"/>
    <w:rsid w:val="002663A8"/>
    <w:rsid w:val="004542C1"/>
    <w:rsid w:val="00563BC9"/>
    <w:rsid w:val="00586C03"/>
    <w:rsid w:val="00670321"/>
    <w:rsid w:val="006E4B95"/>
    <w:rsid w:val="00797353"/>
    <w:rsid w:val="007F29F4"/>
    <w:rsid w:val="007F74AD"/>
    <w:rsid w:val="00812C08"/>
    <w:rsid w:val="009D082A"/>
    <w:rsid w:val="009D17C3"/>
    <w:rsid w:val="00A208AC"/>
    <w:rsid w:val="00B62E35"/>
    <w:rsid w:val="00BC136B"/>
    <w:rsid w:val="00C0096C"/>
    <w:rsid w:val="00C40B16"/>
    <w:rsid w:val="00CE2066"/>
    <w:rsid w:val="00D25C95"/>
    <w:rsid w:val="00E55A90"/>
    <w:rsid w:val="00F11827"/>
    <w:rsid w:val="00F7176D"/>
    <w:rsid w:val="00F86E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15D9"/>
  <w15:chartTrackingRefBased/>
  <w15:docId w15:val="{DC396007-724B-4085-9D53-4266CDDB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6C0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86C03"/>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586C03"/>
    <w:rPr>
      <w:rFonts w:ascii="Arial" w:eastAsia="Arial" w:hAnsi="Arial" w:cs="Arial"/>
      <w:lang w:val="sl" w:eastAsia="sl-SI"/>
    </w:rPr>
  </w:style>
  <w:style w:type="character" w:styleId="Hiperpovezava">
    <w:name w:val="Hyperlink"/>
    <w:basedOn w:val="Privzetapisavaodstavka"/>
    <w:uiPriority w:val="99"/>
    <w:unhideWhenUsed/>
    <w:rsid w:val="00586C03"/>
    <w:rPr>
      <w:color w:val="0563C1" w:themeColor="hyperlink"/>
      <w:u w:val="single"/>
    </w:rPr>
  </w:style>
  <w:style w:type="paragraph" w:styleId="Navadensplet">
    <w:name w:val="Normal (Web)"/>
    <w:basedOn w:val="Navaden"/>
    <w:uiPriority w:val="99"/>
    <w:semiHidden/>
    <w:unhideWhenUsed/>
    <w:rsid w:val="009D17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E2066"/>
    <w:pPr>
      <w:tabs>
        <w:tab w:val="center" w:pos="4536"/>
        <w:tab w:val="right" w:pos="9072"/>
      </w:tabs>
      <w:spacing w:after="0" w:line="240" w:lineRule="auto"/>
    </w:pPr>
  </w:style>
  <w:style w:type="character" w:customStyle="1" w:styleId="NogaZnak">
    <w:name w:val="Noga Znak"/>
    <w:basedOn w:val="Privzetapisavaodstavka"/>
    <w:link w:val="Noga"/>
    <w:uiPriority w:val="99"/>
    <w:rsid w:val="00CE2066"/>
  </w:style>
  <w:style w:type="character" w:styleId="Nerazreenaomemba">
    <w:name w:val="Unresolved Mention"/>
    <w:basedOn w:val="Privzetapisavaodstavka"/>
    <w:uiPriority w:val="99"/>
    <w:semiHidden/>
    <w:unhideWhenUsed/>
    <w:rsid w:val="006E4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6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vkds.si/sites/www.zvkds.si/files/uploads/files/publication/prirocnik_slo_sml.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dc:creator>
  <cp:keywords/>
  <dc:description/>
  <cp:lastModifiedBy>MiP</cp:lastModifiedBy>
  <cp:revision>3</cp:revision>
  <dcterms:created xsi:type="dcterms:W3CDTF">2023-09-25T11:58:00Z</dcterms:created>
  <dcterms:modified xsi:type="dcterms:W3CDTF">2023-11-30T13:19:00Z</dcterms:modified>
</cp:coreProperties>
</file>